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59985" w14:textId="293F8438" w:rsidR="006068D4" w:rsidRDefault="006068D4" w:rsidP="006068D4">
      <w:pPr>
        <w:spacing w:line="360" w:lineRule="auto"/>
        <w:ind w:firstLineChars="0" w:firstLine="0"/>
        <w:rPr>
          <w:rFonts w:eastAsia="宋体" w:cs="Times New Roman"/>
          <w:snapToGrid w:val="0"/>
          <w:sz w:val="21"/>
        </w:rPr>
      </w:pPr>
      <w:bookmarkStart w:id="0" w:name="_Hlk94043612"/>
      <w:bookmarkStart w:id="1" w:name="_GoBack"/>
      <w:bookmarkEnd w:id="1"/>
      <w:r>
        <w:rPr>
          <w:rFonts w:eastAsia="仿宋" w:hint="eastAsia"/>
          <w:snapToGrid w:val="0"/>
          <w:sz w:val="24"/>
          <w:szCs w:val="24"/>
        </w:rPr>
        <w:t>编号：</w:t>
      </w:r>
      <w:r>
        <w:rPr>
          <w:rFonts w:eastAsia="仿宋" w:hint="eastAsia"/>
          <w:snapToGrid w:val="0"/>
          <w:sz w:val="24"/>
          <w:szCs w:val="24"/>
        </w:rPr>
        <w:t>0</w:t>
      </w:r>
      <w:r w:rsidR="006301E5">
        <w:rPr>
          <w:rFonts w:eastAsia="仿宋"/>
          <w:snapToGrid w:val="0"/>
          <w:sz w:val="24"/>
          <w:szCs w:val="24"/>
        </w:rPr>
        <w:t>5</w:t>
      </w:r>
      <w:r>
        <w:rPr>
          <w:rFonts w:eastAsia="仿宋"/>
          <w:snapToGrid w:val="0"/>
          <w:sz w:val="24"/>
          <w:szCs w:val="24"/>
        </w:rPr>
        <w:t xml:space="preserve">                                              </w:t>
      </w:r>
      <w:r w:rsidRPr="004074D8">
        <w:rPr>
          <w:rFonts w:eastAsia="仿宋" w:hint="eastAsia"/>
          <w:snapToGrid w:val="0"/>
          <w:sz w:val="24"/>
          <w:szCs w:val="24"/>
        </w:rPr>
        <w:t>未经许可不得它用</w:t>
      </w:r>
      <w:bookmarkEnd w:id="0"/>
    </w:p>
    <w:p w14:paraId="303647DA" w14:textId="77777777" w:rsidR="004651C7" w:rsidRPr="006068D4" w:rsidRDefault="004651C7">
      <w:pPr>
        <w:spacing w:line="360" w:lineRule="auto"/>
        <w:ind w:firstLineChars="0" w:firstLine="560"/>
        <w:rPr>
          <w:rFonts w:eastAsia="宋体" w:cs="Times New Roman"/>
          <w:snapToGrid w:val="0"/>
          <w:sz w:val="21"/>
        </w:rPr>
      </w:pPr>
    </w:p>
    <w:p w14:paraId="2D6F3B0E" w14:textId="77777777" w:rsidR="004651C7" w:rsidRDefault="00BF798C" w:rsidP="004A59EB">
      <w:pPr>
        <w:spacing w:line="360" w:lineRule="auto"/>
        <w:ind w:firstLineChars="0" w:firstLine="0"/>
        <w:rPr>
          <w:rFonts w:ascii="黑体" w:eastAsia="黑体" w:hAnsi="黑体" w:cs="Times New Roman"/>
          <w:snapToGrid w:val="0"/>
          <w:sz w:val="28"/>
        </w:rPr>
      </w:pPr>
      <w:r>
        <w:rPr>
          <w:rFonts w:ascii="黑体" w:eastAsia="黑体" w:hAnsi="黑体" w:cs="Times New Roman"/>
          <w:snapToGrid w:val="0"/>
          <w:sz w:val="28"/>
        </w:rPr>
        <w:t>国家信息中心2021年度青年人才基础研究项目</w:t>
      </w:r>
      <w:r>
        <w:rPr>
          <w:rFonts w:ascii="黑体" w:eastAsia="黑体" w:hAnsi="黑体" w:cs="Times New Roman" w:hint="eastAsia"/>
          <w:snapToGrid w:val="0"/>
          <w:sz w:val="28"/>
        </w:rPr>
        <w:t>成果</w:t>
      </w:r>
    </w:p>
    <w:p w14:paraId="1F395F28" w14:textId="77777777" w:rsidR="004651C7" w:rsidRDefault="004651C7" w:rsidP="004A59EB">
      <w:pPr>
        <w:overflowPunct w:val="0"/>
        <w:spacing w:line="360" w:lineRule="auto"/>
        <w:ind w:firstLine="560"/>
        <w:rPr>
          <w:rFonts w:eastAsia="宋体" w:cs="Times New Roman"/>
          <w:sz w:val="28"/>
          <w:szCs w:val="22"/>
        </w:rPr>
      </w:pPr>
    </w:p>
    <w:p w14:paraId="7704378D" w14:textId="77777777" w:rsidR="004651C7" w:rsidRDefault="004651C7" w:rsidP="004A59EB">
      <w:pPr>
        <w:overflowPunct w:val="0"/>
        <w:spacing w:line="360" w:lineRule="auto"/>
        <w:ind w:firstLine="560"/>
        <w:rPr>
          <w:rFonts w:eastAsia="宋体" w:cs="Times New Roman"/>
          <w:sz w:val="28"/>
          <w:szCs w:val="22"/>
        </w:rPr>
      </w:pPr>
    </w:p>
    <w:p w14:paraId="77D41B00" w14:textId="77777777" w:rsidR="004651C7" w:rsidRDefault="004651C7" w:rsidP="004A59EB">
      <w:pPr>
        <w:overflowPunct w:val="0"/>
        <w:spacing w:line="360" w:lineRule="auto"/>
        <w:ind w:firstLine="560"/>
        <w:rPr>
          <w:rFonts w:eastAsia="宋体" w:cs="Times New Roman"/>
          <w:sz w:val="28"/>
          <w:szCs w:val="22"/>
        </w:rPr>
      </w:pPr>
    </w:p>
    <w:p w14:paraId="1F1CB5BB" w14:textId="77777777" w:rsidR="004651C7" w:rsidRDefault="004651C7" w:rsidP="004A59EB">
      <w:pPr>
        <w:overflowPunct w:val="0"/>
        <w:spacing w:line="360" w:lineRule="auto"/>
        <w:ind w:firstLine="560"/>
        <w:rPr>
          <w:rFonts w:eastAsia="宋体" w:cs="Times New Roman"/>
          <w:sz w:val="28"/>
          <w:szCs w:val="22"/>
        </w:rPr>
      </w:pPr>
    </w:p>
    <w:p w14:paraId="2B747B9C" w14:textId="77777777" w:rsidR="004651C7" w:rsidRDefault="00BF798C" w:rsidP="008408DB">
      <w:pPr>
        <w:pStyle w:val="1"/>
      </w:pPr>
      <w:bookmarkStart w:id="2" w:name="_Toc93841274"/>
      <w:bookmarkStart w:id="3" w:name="_Toc93924819"/>
      <w:r>
        <w:t>经济</w:t>
      </w:r>
      <w:r>
        <w:rPr>
          <w:rFonts w:hint="eastAsia"/>
        </w:rPr>
        <w:t>高质量发展背景下                     要素市场化配置改革研究</w:t>
      </w:r>
      <w:bookmarkEnd w:id="2"/>
      <w:bookmarkEnd w:id="3"/>
    </w:p>
    <w:p w14:paraId="2EB6DDC0" w14:textId="77777777" w:rsidR="004651C7" w:rsidRDefault="00BF798C" w:rsidP="004A59EB">
      <w:pPr>
        <w:overflowPunct w:val="0"/>
        <w:spacing w:line="360" w:lineRule="auto"/>
        <w:ind w:firstLineChars="0" w:firstLine="0"/>
        <w:jc w:val="center"/>
        <w:rPr>
          <w:rFonts w:ascii="楷体_GB2312" w:eastAsia="楷体_GB2312" w:cs="Times New Roman"/>
          <w:sz w:val="28"/>
          <w:szCs w:val="22"/>
        </w:rPr>
      </w:pPr>
      <w:r>
        <w:rPr>
          <w:rFonts w:ascii="楷体_GB2312" w:eastAsia="楷体_GB2312" w:cs="Times New Roman" w:hint="eastAsia"/>
          <w:sz w:val="28"/>
          <w:szCs w:val="22"/>
        </w:rPr>
        <w:t>（2022年1月修改）</w:t>
      </w:r>
    </w:p>
    <w:p w14:paraId="3865CC91" w14:textId="77777777" w:rsidR="004651C7" w:rsidRDefault="004651C7" w:rsidP="004A59EB">
      <w:pPr>
        <w:overflowPunct w:val="0"/>
        <w:spacing w:line="360" w:lineRule="auto"/>
        <w:ind w:firstLine="560"/>
        <w:rPr>
          <w:rFonts w:eastAsia="宋体" w:cs="Times New Roman"/>
          <w:sz w:val="28"/>
          <w:szCs w:val="22"/>
        </w:rPr>
      </w:pPr>
    </w:p>
    <w:p w14:paraId="3465AAE5" w14:textId="77777777" w:rsidR="004651C7" w:rsidRDefault="004651C7" w:rsidP="004A59EB">
      <w:pPr>
        <w:overflowPunct w:val="0"/>
        <w:spacing w:line="360" w:lineRule="auto"/>
        <w:ind w:firstLine="560"/>
        <w:rPr>
          <w:rFonts w:eastAsia="宋体" w:cs="Times New Roman"/>
          <w:sz w:val="28"/>
          <w:szCs w:val="22"/>
        </w:rPr>
      </w:pPr>
    </w:p>
    <w:p w14:paraId="3B59F353" w14:textId="77777777" w:rsidR="004651C7" w:rsidRDefault="004651C7" w:rsidP="004A59EB">
      <w:pPr>
        <w:overflowPunct w:val="0"/>
        <w:spacing w:line="360" w:lineRule="auto"/>
        <w:ind w:firstLine="560"/>
        <w:rPr>
          <w:rFonts w:eastAsia="宋体" w:cs="Times New Roman"/>
          <w:sz w:val="28"/>
          <w:szCs w:val="22"/>
        </w:rPr>
      </w:pPr>
    </w:p>
    <w:p w14:paraId="04D892B8" w14:textId="77777777" w:rsidR="004651C7" w:rsidRDefault="004651C7" w:rsidP="004A59EB">
      <w:pPr>
        <w:overflowPunct w:val="0"/>
        <w:spacing w:line="360" w:lineRule="auto"/>
        <w:ind w:firstLine="560"/>
        <w:rPr>
          <w:rFonts w:eastAsia="宋体" w:cs="Times New Roman"/>
          <w:sz w:val="28"/>
          <w:szCs w:val="22"/>
        </w:rPr>
      </w:pPr>
    </w:p>
    <w:p w14:paraId="03814EFA" w14:textId="77777777" w:rsidR="004651C7" w:rsidRDefault="004651C7" w:rsidP="004A59EB">
      <w:pPr>
        <w:pStyle w:val="a1"/>
        <w:ind w:firstLine="600"/>
      </w:pPr>
    </w:p>
    <w:p w14:paraId="12BF6DCB" w14:textId="77777777" w:rsidR="00FF5AB5" w:rsidRDefault="00FF5AB5" w:rsidP="004A59EB">
      <w:pPr>
        <w:pStyle w:val="a1"/>
        <w:ind w:firstLine="600"/>
      </w:pPr>
    </w:p>
    <w:p w14:paraId="54E3B539" w14:textId="77777777" w:rsidR="00FF5AB5" w:rsidRDefault="00FF5AB5" w:rsidP="004A59EB">
      <w:pPr>
        <w:pStyle w:val="a1"/>
        <w:ind w:firstLine="600"/>
      </w:pPr>
    </w:p>
    <w:p w14:paraId="3EAC398D" w14:textId="77777777" w:rsidR="00FF5AB5" w:rsidRDefault="00FF5AB5" w:rsidP="004A59EB">
      <w:pPr>
        <w:pStyle w:val="a1"/>
        <w:ind w:firstLine="600"/>
      </w:pPr>
    </w:p>
    <w:p w14:paraId="7028BB00" w14:textId="77777777" w:rsidR="004651C7" w:rsidRDefault="004651C7" w:rsidP="004A59EB">
      <w:pPr>
        <w:pStyle w:val="a1"/>
        <w:ind w:firstLine="600"/>
      </w:pPr>
    </w:p>
    <w:p w14:paraId="659AD49A" w14:textId="77777777" w:rsidR="004651C7" w:rsidRDefault="004651C7" w:rsidP="004A59EB">
      <w:pPr>
        <w:overflowPunct w:val="0"/>
        <w:spacing w:line="360" w:lineRule="auto"/>
        <w:ind w:firstLine="560"/>
        <w:rPr>
          <w:rFonts w:eastAsia="宋体" w:cs="Times New Roman"/>
          <w:sz w:val="28"/>
          <w:szCs w:val="22"/>
        </w:rPr>
      </w:pPr>
    </w:p>
    <w:p w14:paraId="4917CE28" w14:textId="3345A6C0" w:rsidR="00EA61B8" w:rsidRDefault="00EA61B8" w:rsidP="004A59EB">
      <w:pPr>
        <w:overflowPunct w:val="0"/>
        <w:spacing w:line="360" w:lineRule="auto"/>
        <w:ind w:leftChars="500" w:left="1500" w:firstLineChars="0" w:firstLine="0"/>
        <w:rPr>
          <w:rFonts w:ascii="楷体_GB2312" w:eastAsia="楷体_GB2312" w:cs="Times New Roman"/>
          <w:sz w:val="32"/>
          <w:szCs w:val="32"/>
        </w:rPr>
      </w:pPr>
      <w:r>
        <w:rPr>
          <w:rFonts w:ascii="楷体_GB2312" w:eastAsia="楷体_GB2312" w:cs="Times New Roman" w:hint="eastAsia"/>
          <w:sz w:val="32"/>
          <w:szCs w:val="32"/>
        </w:rPr>
        <w:t xml:space="preserve">部 </w:t>
      </w:r>
      <w:r>
        <w:rPr>
          <w:rFonts w:ascii="楷体_GB2312" w:eastAsia="楷体_GB2312" w:cs="Times New Roman"/>
          <w:sz w:val="32"/>
          <w:szCs w:val="32"/>
        </w:rPr>
        <w:t xml:space="preserve">   </w:t>
      </w:r>
      <w:r>
        <w:rPr>
          <w:rFonts w:ascii="楷体_GB2312" w:eastAsia="楷体_GB2312" w:cs="Times New Roman" w:hint="eastAsia"/>
          <w:sz w:val="32"/>
          <w:szCs w:val="32"/>
        </w:rPr>
        <w:t>门：经济预测部</w:t>
      </w:r>
    </w:p>
    <w:p w14:paraId="7FDAFD78" w14:textId="65F02712" w:rsidR="004651C7" w:rsidRDefault="00BF798C" w:rsidP="004A59EB">
      <w:pPr>
        <w:overflowPunct w:val="0"/>
        <w:spacing w:line="360" w:lineRule="auto"/>
        <w:ind w:leftChars="500" w:left="1500" w:firstLineChars="0" w:firstLine="0"/>
        <w:rPr>
          <w:rFonts w:ascii="楷体_GB2312" w:eastAsia="楷体_GB2312" w:cs="Times New Roman"/>
          <w:sz w:val="32"/>
          <w:szCs w:val="32"/>
        </w:rPr>
      </w:pPr>
      <w:r>
        <w:rPr>
          <w:rFonts w:ascii="楷体_GB2312" w:eastAsia="楷体_GB2312" w:cs="Times New Roman" w:hint="eastAsia"/>
          <w:sz w:val="32"/>
          <w:szCs w:val="32"/>
        </w:rPr>
        <w:t>负 责 人：胡祖铨</w:t>
      </w:r>
    </w:p>
    <w:p w14:paraId="621D4FC8" w14:textId="77777777" w:rsidR="004651C7" w:rsidRDefault="00BF798C" w:rsidP="004A59EB">
      <w:pPr>
        <w:overflowPunct w:val="0"/>
        <w:spacing w:line="360" w:lineRule="auto"/>
        <w:ind w:firstLineChars="600" w:firstLine="1800"/>
        <w:rPr>
          <w:rFonts w:eastAsia="宋体" w:cs="Times New Roman"/>
          <w:szCs w:val="30"/>
        </w:rPr>
      </w:pPr>
      <w:r>
        <w:rPr>
          <w:rFonts w:eastAsia="宋体" w:cs="Times New Roman"/>
          <w:szCs w:val="30"/>
        </w:rPr>
        <w:br w:type="page"/>
      </w:r>
    </w:p>
    <w:sdt>
      <w:sdtPr>
        <w:rPr>
          <w:rFonts w:ascii="Times New Roman" w:eastAsia="方正仿宋_GBK" w:hAnsi="Times New Roman" w:cs="宋体"/>
          <w:color w:val="auto"/>
          <w:kern w:val="2"/>
          <w:sz w:val="30"/>
          <w:szCs w:val="28"/>
          <w:lang w:val="zh-CN"/>
        </w:rPr>
        <w:id w:val="-2091225818"/>
        <w:docPartObj>
          <w:docPartGallery w:val="Table of Contents"/>
          <w:docPartUnique/>
        </w:docPartObj>
      </w:sdtPr>
      <w:sdtEndPr>
        <w:rPr>
          <w:b/>
          <w:bCs/>
        </w:rPr>
      </w:sdtEndPr>
      <w:sdtContent>
        <w:p w14:paraId="61EA86ED" w14:textId="3817A23C" w:rsidR="00F45727" w:rsidRPr="00F45727" w:rsidRDefault="00F45727" w:rsidP="00F45727">
          <w:pPr>
            <w:pStyle w:val="TOC"/>
            <w:tabs>
              <w:tab w:val="left" w:pos="1654"/>
            </w:tabs>
            <w:spacing w:before="120" w:after="120"/>
            <w:ind w:firstLine="562"/>
            <w:jc w:val="center"/>
            <w:rPr>
              <w:rFonts w:ascii="黑体" w:eastAsia="黑体" w:hAnsi="黑体"/>
              <w:color w:val="auto"/>
              <w:sz w:val="28"/>
              <w:szCs w:val="28"/>
            </w:rPr>
          </w:pPr>
          <w:r w:rsidRPr="00F45727">
            <w:rPr>
              <w:rFonts w:ascii="黑体" w:eastAsia="黑体" w:hAnsi="黑体"/>
              <w:color w:val="auto"/>
              <w:sz w:val="28"/>
              <w:szCs w:val="28"/>
              <w:lang w:val="zh-CN"/>
            </w:rPr>
            <w:t>目</w:t>
          </w:r>
          <w:r>
            <w:rPr>
              <w:rFonts w:ascii="黑体" w:eastAsia="黑体" w:hAnsi="黑体" w:hint="eastAsia"/>
              <w:color w:val="auto"/>
              <w:sz w:val="28"/>
              <w:szCs w:val="28"/>
              <w:lang w:val="zh-CN"/>
            </w:rPr>
            <w:t xml:space="preserve"> </w:t>
          </w:r>
          <w:r>
            <w:rPr>
              <w:rFonts w:ascii="黑体" w:eastAsia="黑体" w:hAnsi="黑体"/>
              <w:color w:val="auto"/>
              <w:sz w:val="28"/>
              <w:szCs w:val="28"/>
              <w:lang w:val="zh-CN"/>
            </w:rPr>
            <w:t xml:space="preserve"> </w:t>
          </w:r>
          <w:r w:rsidRPr="00F45727">
            <w:rPr>
              <w:rFonts w:ascii="黑体" w:eastAsia="黑体" w:hAnsi="黑体"/>
              <w:color w:val="auto"/>
              <w:sz w:val="28"/>
              <w:szCs w:val="28"/>
              <w:lang w:val="zh-CN"/>
            </w:rPr>
            <w:t>录</w:t>
          </w:r>
        </w:p>
        <w:p w14:paraId="33A9D9C2" w14:textId="7DB7B1A2" w:rsidR="00F45727" w:rsidRDefault="00F45727">
          <w:pPr>
            <w:pStyle w:val="TOC1"/>
            <w:tabs>
              <w:tab w:val="right" w:leader="dot" w:pos="8720"/>
            </w:tabs>
            <w:rPr>
              <w:rFonts w:asciiTheme="minorHAnsi" w:eastAsiaTheme="minorEastAsia" w:hAnsiTheme="minorHAnsi" w:cstheme="minorBidi"/>
              <w:b w:val="0"/>
              <w:noProof/>
              <w:kern w:val="2"/>
              <w:sz w:val="21"/>
              <w:szCs w:val="22"/>
            </w:rPr>
          </w:pPr>
          <w:r>
            <w:fldChar w:fldCharType="begin"/>
          </w:r>
          <w:r>
            <w:instrText xml:space="preserve"> TOC \o "1-3" \h \z \u </w:instrText>
          </w:r>
          <w:r>
            <w:fldChar w:fldCharType="separate"/>
          </w:r>
        </w:p>
        <w:p w14:paraId="1613B973" w14:textId="613BB057" w:rsidR="00F45727" w:rsidRPr="00F45727" w:rsidRDefault="00512E25" w:rsidP="00F45727">
          <w:pPr>
            <w:pStyle w:val="TOC2"/>
            <w:tabs>
              <w:tab w:val="right" w:leader="dot" w:pos="8720"/>
            </w:tabs>
            <w:spacing w:line="440" w:lineRule="exact"/>
            <w:ind w:left="600"/>
            <w:rPr>
              <w:rFonts w:ascii="黑体" w:eastAsia="黑体" w:hAnsi="黑体" w:cstheme="minorBidi"/>
              <w:smallCaps w:val="0"/>
              <w:noProof/>
              <w:kern w:val="2"/>
            </w:rPr>
          </w:pPr>
          <w:hyperlink w:anchor="_Toc93924820" w:history="1">
            <w:r w:rsidR="00F45727" w:rsidRPr="00F45727">
              <w:rPr>
                <w:rStyle w:val="aff3"/>
                <w:rFonts w:ascii="黑体" w:eastAsia="黑体" w:hAnsi="黑体"/>
                <w:noProof/>
              </w:rPr>
              <w:t>一、我国生产要素配置领域现状分析</w:t>
            </w:r>
            <w:r w:rsidR="00F45727" w:rsidRPr="00F45727">
              <w:rPr>
                <w:rFonts w:ascii="黑体" w:eastAsia="黑体" w:hAnsi="黑体"/>
                <w:noProof/>
                <w:webHidden/>
              </w:rPr>
              <w:tab/>
            </w:r>
            <w:r w:rsidR="00F45727" w:rsidRPr="00F45727">
              <w:rPr>
                <w:rFonts w:ascii="黑体" w:eastAsia="黑体" w:hAnsi="黑体"/>
                <w:noProof/>
                <w:webHidden/>
              </w:rPr>
              <w:fldChar w:fldCharType="begin"/>
            </w:r>
            <w:r w:rsidR="00F45727" w:rsidRPr="00F45727">
              <w:rPr>
                <w:rFonts w:ascii="黑体" w:eastAsia="黑体" w:hAnsi="黑体"/>
                <w:noProof/>
                <w:webHidden/>
              </w:rPr>
              <w:instrText xml:space="preserve"> PAGEREF _Toc93924820 \h </w:instrText>
            </w:r>
            <w:r w:rsidR="00F45727" w:rsidRPr="00F45727">
              <w:rPr>
                <w:rFonts w:ascii="黑体" w:eastAsia="黑体" w:hAnsi="黑体"/>
                <w:noProof/>
                <w:webHidden/>
              </w:rPr>
            </w:r>
            <w:r w:rsidR="00F45727" w:rsidRPr="00F45727">
              <w:rPr>
                <w:rFonts w:ascii="黑体" w:eastAsia="黑体" w:hAnsi="黑体"/>
                <w:noProof/>
                <w:webHidden/>
              </w:rPr>
              <w:fldChar w:fldCharType="separate"/>
            </w:r>
            <w:r w:rsidR="00F45727" w:rsidRPr="00F45727">
              <w:rPr>
                <w:rFonts w:ascii="黑体" w:eastAsia="黑体" w:hAnsi="黑体"/>
                <w:noProof/>
                <w:webHidden/>
              </w:rPr>
              <w:t>3</w:t>
            </w:r>
            <w:r w:rsidR="00F45727" w:rsidRPr="00F45727">
              <w:rPr>
                <w:rFonts w:ascii="黑体" w:eastAsia="黑体" w:hAnsi="黑体"/>
                <w:noProof/>
                <w:webHidden/>
              </w:rPr>
              <w:fldChar w:fldCharType="end"/>
            </w:r>
          </w:hyperlink>
        </w:p>
        <w:p w14:paraId="0DBE3FAE" w14:textId="26259D65"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21" w:history="1">
            <w:r w:rsidR="00F45727" w:rsidRPr="00F45727">
              <w:rPr>
                <w:rStyle w:val="aff3"/>
                <w:rFonts w:ascii="楷体" w:eastAsia="楷体" w:hAnsi="楷体"/>
                <w:noProof/>
                <w:sz w:val="24"/>
                <w:szCs w:val="24"/>
              </w:rPr>
              <w:t>（一）我国土地要素配置现状</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_Toc93924821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3</w:t>
            </w:r>
            <w:r w:rsidR="00F45727" w:rsidRPr="00F45727">
              <w:rPr>
                <w:rFonts w:ascii="楷体" w:eastAsia="楷体" w:hAnsi="楷体"/>
                <w:noProof/>
                <w:webHidden/>
                <w:sz w:val="24"/>
                <w:szCs w:val="24"/>
              </w:rPr>
              <w:fldChar w:fldCharType="end"/>
            </w:r>
          </w:hyperlink>
        </w:p>
        <w:p w14:paraId="569DB3F3" w14:textId="25B5C361"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22" w:history="1">
            <w:r w:rsidR="00F45727" w:rsidRPr="00F45727">
              <w:rPr>
                <w:rStyle w:val="aff3"/>
                <w:rFonts w:ascii="楷体" w:eastAsia="楷体" w:hAnsi="楷体"/>
                <w:noProof/>
                <w:sz w:val="24"/>
                <w:szCs w:val="24"/>
              </w:rPr>
              <w:t>（二）我国劳动力要素配置现状</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_Toc93924822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6</w:t>
            </w:r>
            <w:r w:rsidR="00F45727" w:rsidRPr="00F45727">
              <w:rPr>
                <w:rFonts w:ascii="楷体" w:eastAsia="楷体" w:hAnsi="楷体"/>
                <w:noProof/>
                <w:webHidden/>
                <w:sz w:val="24"/>
                <w:szCs w:val="24"/>
              </w:rPr>
              <w:fldChar w:fldCharType="end"/>
            </w:r>
          </w:hyperlink>
        </w:p>
        <w:p w14:paraId="7B0D64E3" w14:textId="603E9B29"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23" w:history="1">
            <w:r w:rsidR="00F45727" w:rsidRPr="00F45727">
              <w:rPr>
                <w:rStyle w:val="aff3"/>
                <w:rFonts w:ascii="楷体" w:eastAsia="楷体" w:hAnsi="楷体"/>
                <w:noProof/>
                <w:sz w:val="24"/>
                <w:szCs w:val="24"/>
              </w:rPr>
              <w:t>（三）我国资本要素配置现状</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_Toc93924823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7</w:t>
            </w:r>
            <w:r w:rsidR="00F45727" w:rsidRPr="00F45727">
              <w:rPr>
                <w:rFonts w:ascii="楷体" w:eastAsia="楷体" w:hAnsi="楷体"/>
                <w:noProof/>
                <w:webHidden/>
                <w:sz w:val="24"/>
                <w:szCs w:val="24"/>
              </w:rPr>
              <w:fldChar w:fldCharType="end"/>
            </w:r>
          </w:hyperlink>
        </w:p>
        <w:p w14:paraId="4BE46315" w14:textId="7E3AC329"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24" w:history="1">
            <w:r w:rsidR="00F45727" w:rsidRPr="00F45727">
              <w:rPr>
                <w:rStyle w:val="aff3"/>
                <w:rFonts w:ascii="楷体" w:eastAsia="楷体" w:hAnsi="楷体"/>
                <w:noProof/>
                <w:sz w:val="24"/>
                <w:szCs w:val="24"/>
              </w:rPr>
              <w:t>（四）我国技术要素配置现状</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_Toc93924824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10</w:t>
            </w:r>
            <w:r w:rsidR="00F45727" w:rsidRPr="00F45727">
              <w:rPr>
                <w:rFonts w:ascii="楷体" w:eastAsia="楷体" w:hAnsi="楷体"/>
                <w:noProof/>
                <w:webHidden/>
                <w:sz w:val="24"/>
                <w:szCs w:val="24"/>
              </w:rPr>
              <w:fldChar w:fldCharType="end"/>
            </w:r>
          </w:hyperlink>
        </w:p>
        <w:p w14:paraId="13B9F7F8" w14:textId="59C13C83"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25" w:history="1">
            <w:r w:rsidR="00F45727" w:rsidRPr="00F45727">
              <w:rPr>
                <w:rStyle w:val="aff3"/>
                <w:rFonts w:ascii="楷体" w:eastAsia="楷体" w:hAnsi="楷体"/>
                <w:noProof/>
                <w:sz w:val="24"/>
                <w:szCs w:val="24"/>
              </w:rPr>
              <w:t>（五）我国数据要素配置现状</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_Toc93924825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13</w:t>
            </w:r>
            <w:r w:rsidR="00F45727" w:rsidRPr="00F45727">
              <w:rPr>
                <w:rFonts w:ascii="楷体" w:eastAsia="楷体" w:hAnsi="楷体"/>
                <w:noProof/>
                <w:webHidden/>
                <w:sz w:val="24"/>
                <w:szCs w:val="24"/>
              </w:rPr>
              <w:fldChar w:fldCharType="end"/>
            </w:r>
          </w:hyperlink>
        </w:p>
        <w:p w14:paraId="606AA8AD" w14:textId="2A296B9A" w:rsidR="00F45727" w:rsidRPr="00F45727" w:rsidRDefault="00512E25" w:rsidP="00F45727">
          <w:pPr>
            <w:pStyle w:val="TOC2"/>
            <w:tabs>
              <w:tab w:val="right" w:leader="dot" w:pos="8720"/>
            </w:tabs>
            <w:spacing w:line="440" w:lineRule="exact"/>
            <w:ind w:left="600"/>
            <w:rPr>
              <w:rFonts w:ascii="黑体" w:eastAsia="黑体" w:hAnsi="黑体" w:cstheme="minorBidi"/>
              <w:smallCaps w:val="0"/>
              <w:noProof/>
              <w:kern w:val="2"/>
            </w:rPr>
          </w:pPr>
          <w:hyperlink w:anchor="_Toc93924826" w:history="1">
            <w:r w:rsidR="00F45727" w:rsidRPr="00F45727">
              <w:rPr>
                <w:rStyle w:val="aff3"/>
                <w:rFonts w:ascii="黑体" w:eastAsia="黑体" w:hAnsi="黑体"/>
                <w:noProof/>
              </w:rPr>
              <w:t>二、高质量发展背景下配置国内外生产要素的机遇与挑战</w:t>
            </w:r>
            <w:r w:rsidR="00F45727" w:rsidRPr="00F45727">
              <w:rPr>
                <w:rFonts w:ascii="黑体" w:eastAsia="黑体" w:hAnsi="黑体"/>
                <w:noProof/>
                <w:webHidden/>
              </w:rPr>
              <w:tab/>
            </w:r>
            <w:r w:rsidR="00F45727" w:rsidRPr="00F45727">
              <w:rPr>
                <w:rFonts w:ascii="黑体" w:eastAsia="黑体" w:hAnsi="黑体"/>
                <w:noProof/>
                <w:webHidden/>
              </w:rPr>
              <w:fldChar w:fldCharType="begin"/>
            </w:r>
            <w:r w:rsidR="00F45727" w:rsidRPr="00F45727">
              <w:rPr>
                <w:rFonts w:ascii="黑体" w:eastAsia="黑体" w:hAnsi="黑体"/>
                <w:noProof/>
                <w:webHidden/>
              </w:rPr>
              <w:instrText xml:space="preserve"> PAGEREF _Toc93924826 \h </w:instrText>
            </w:r>
            <w:r w:rsidR="00F45727" w:rsidRPr="00F45727">
              <w:rPr>
                <w:rFonts w:ascii="黑体" w:eastAsia="黑体" w:hAnsi="黑体"/>
                <w:noProof/>
                <w:webHidden/>
              </w:rPr>
            </w:r>
            <w:r w:rsidR="00F45727" w:rsidRPr="00F45727">
              <w:rPr>
                <w:rFonts w:ascii="黑体" w:eastAsia="黑体" w:hAnsi="黑体"/>
                <w:noProof/>
                <w:webHidden/>
              </w:rPr>
              <w:fldChar w:fldCharType="separate"/>
            </w:r>
            <w:r w:rsidR="00F45727" w:rsidRPr="00F45727">
              <w:rPr>
                <w:rFonts w:ascii="黑体" w:eastAsia="黑体" w:hAnsi="黑体"/>
                <w:noProof/>
                <w:webHidden/>
              </w:rPr>
              <w:t>15</w:t>
            </w:r>
            <w:r w:rsidR="00F45727" w:rsidRPr="00F45727">
              <w:rPr>
                <w:rFonts w:ascii="黑体" w:eastAsia="黑体" w:hAnsi="黑体"/>
                <w:noProof/>
                <w:webHidden/>
              </w:rPr>
              <w:fldChar w:fldCharType="end"/>
            </w:r>
          </w:hyperlink>
        </w:p>
        <w:p w14:paraId="76D5EEE7" w14:textId="39979526"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27" w:history="1">
            <w:r w:rsidR="00F45727" w:rsidRPr="00F45727">
              <w:rPr>
                <w:rStyle w:val="aff3"/>
                <w:rFonts w:ascii="楷体" w:eastAsia="楷体" w:hAnsi="楷体"/>
                <w:noProof/>
                <w:sz w:val="24"/>
                <w:szCs w:val="24"/>
              </w:rPr>
              <w:t>（一）新发展格局为国内外要素配置及整合带来的机遇</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_Toc93924827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15</w:t>
            </w:r>
            <w:r w:rsidR="00F45727" w:rsidRPr="00F45727">
              <w:rPr>
                <w:rFonts w:ascii="楷体" w:eastAsia="楷体" w:hAnsi="楷体"/>
                <w:noProof/>
                <w:webHidden/>
                <w:sz w:val="24"/>
                <w:szCs w:val="24"/>
              </w:rPr>
              <w:fldChar w:fldCharType="end"/>
            </w:r>
          </w:hyperlink>
        </w:p>
        <w:p w14:paraId="083B1001" w14:textId="4E389089"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28" w:history="1">
            <w:r w:rsidR="00F45727" w:rsidRPr="00F45727">
              <w:rPr>
                <w:rStyle w:val="aff3"/>
                <w:rFonts w:ascii="楷体" w:eastAsia="楷体" w:hAnsi="楷体"/>
                <w:noProof/>
                <w:sz w:val="24"/>
                <w:szCs w:val="24"/>
              </w:rPr>
              <w:t>（二）新发展格局对国内外要素配置及整合提出的挑战</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_Toc93924828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17</w:t>
            </w:r>
            <w:r w:rsidR="00F45727" w:rsidRPr="00F45727">
              <w:rPr>
                <w:rFonts w:ascii="楷体" w:eastAsia="楷体" w:hAnsi="楷体"/>
                <w:noProof/>
                <w:webHidden/>
                <w:sz w:val="24"/>
                <w:szCs w:val="24"/>
              </w:rPr>
              <w:fldChar w:fldCharType="end"/>
            </w:r>
          </w:hyperlink>
        </w:p>
        <w:p w14:paraId="5CE1A20C" w14:textId="60C62734"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29" w:history="1">
            <w:r w:rsidR="00F45727" w:rsidRPr="00F45727">
              <w:rPr>
                <w:rStyle w:val="aff3"/>
                <w:rFonts w:ascii="楷体" w:eastAsia="楷体" w:hAnsi="楷体"/>
                <w:noProof/>
                <w:sz w:val="24"/>
                <w:szCs w:val="24"/>
              </w:rPr>
              <w:t>（三）新发展格局下各类要素配置及整合面临的机遇挑战</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_Toc93924829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18</w:t>
            </w:r>
            <w:r w:rsidR="00F45727" w:rsidRPr="00F45727">
              <w:rPr>
                <w:rFonts w:ascii="楷体" w:eastAsia="楷体" w:hAnsi="楷体"/>
                <w:noProof/>
                <w:webHidden/>
                <w:sz w:val="24"/>
                <w:szCs w:val="24"/>
              </w:rPr>
              <w:fldChar w:fldCharType="end"/>
            </w:r>
          </w:hyperlink>
        </w:p>
        <w:p w14:paraId="57127C3A" w14:textId="44805439" w:rsidR="00F45727" w:rsidRPr="00F45727" w:rsidRDefault="00512E25" w:rsidP="00F45727">
          <w:pPr>
            <w:pStyle w:val="TOC2"/>
            <w:tabs>
              <w:tab w:val="right" w:leader="dot" w:pos="8720"/>
            </w:tabs>
            <w:spacing w:line="440" w:lineRule="exact"/>
            <w:ind w:left="600"/>
            <w:rPr>
              <w:rFonts w:ascii="黑体" w:eastAsia="黑体" w:hAnsi="黑体" w:cstheme="minorBidi"/>
              <w:smallCaps w:val="0"/>
              <w:noProof/>
              <w:kern w:val="2"/>
            </w:rPr>
          </w:pPr>
          <w:hyperlink w:anchor="_Toc93924830" w:history="1">
            <w:r w:rsidR="00F45727" w:rsidRPr="00F45727">
              <w:rPr>
                <w:rStyle w:val="aff3"/>
                <w:rFonts w:ascii="黑体" w:eastAsia="黑体" w:hAnsi="黑体"/>
                <w:noProof/>
              </w:rPr>
              <w:t>三、我国要素配置领域存在的问题分析</w:t>
            </w:r>
            <w:r w:rsidR="00F45727" w:rsidRPr="00F45727">
              <w:rPr>
                <w:rFonts w:ascii="黑体" w:eastAsia="黑体" w:hAnsi="黑体"/>
                <w:noProof/>
                <w:webHidden/>
              </w:rPr>
              <w:tab/>
            </w:r>
            <w:r w:rsidR="00F45727" w:rsidRPr="00F45727">
              <w:rPr>
                <w:rFonts w:ascii="黑体" w:eastAsia="黑体" w:hAnsi="黑体"/>
                <w:noProof/>
                <w:webHidden/>
              </w:rPr>
              <w:fldChar w:fldCharType="begin"/>
            </w:r>
            <w:r w:rsidR="00F45727" w:rsidRPr="00F45727">
              <w:rPr>
                <w:rFonts w:ascii="黑体" w:eastAsia="黑体" w:hAnsi="黑体"/>
                <w:noProof/>
                <w:webHidden/>
              </w:rPr>
              <w:instrText xml:space="preserve"> PAGEREF _Toc93924830 \h </w:instrText>
            </w:r>
            <w:r w:rsidR="00F45727" w:rsidRPr="00F45727">
              <w:rPr>
                <w:rFonts w:ascii="黑体" w:eastAsia="黑体" w:hAnsi="黑体"/>
                <w:noProof/>
                <w:webHidden/>
              </w:rPr>
            </w:r>
            <w:r w:rsidR="00F45727" w:rsidRPr="00F45727">
              <w:rPr>
                <w:rFonts w:ascii="黑体" w:eastAsia="黑体" w:hAnsi="黑体"/>
                <w:noProof/>
                <w:webHidden/>
              </w:rPr>
              <w:fldChar w:fldCharType="separate"/>
            </w:r>
            <w:r w:rsidR="00F45727" w:rsidRPr="00F45727">
              <w:rPr>
                <w:rFonts w:ascii="黑体" w:eastAsia="黑体" w:hAnsi="黑体"/>
                <w:noProof/>
                <w:webHidden/>
              </w:rPr>
              <w:t>20</w:t>
            </w:r>
            <w:r w:rsidR="00F45727" w:rsidRPr="00F45727">
              <w:rPr>
                <w:rFonts w:ascii="黑体" w:eastAsia="黑体" w:hAnsi="黑体"/>
                <w:noProof/>
                <w:webHidden/>
              </w:rPr>
              <w:fldChar w:fldCharType="end"/>
            </w:r>
          </w:hyperlink>
        </w:p>
        <w:p w14:paraId="7B349D0D" w14:textId="3FD1CDC3"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31" w:history="1">
            <w:r w:rsidR="00F45727" w:rsidRPr="00F45727">
              <w:rPr>
                <w:rStyle w:val="aff3"/>
                <w:rFonts w:ascii="楷体" w:eastAsia="楷体" w:hAnsi="楷体"/>
                <w:noProof/>
                <w:sz w:val="24"/>
                <w:szCs w:val="24"/>
              </w:rPr>
              <w:t>（一）土地要素配置领域存在的短板弱项</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_Toc93924831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20</w:t>
            </w:r>
            <w:r w:rsidR="00F45727" w:rsidRPr="00F45727">
              <w:rPr>
                <w:rFonts w:ascii="楷体" w:eastAsia="楷体" w:hAnsi="楷体"/>
                <w:noProof/>
                <w:webHidden/>
                <w:sz w:val="24"/>
                <w:szCs w:val="24"/>
              </w:rPr>
              <w:fldChar w:fldCharType="end"/>
            </w:r>
          </w:hyperlink>
        </w:p>
        <w:p w14:paraId="2C79EFB7" w14:textId="3FED6F55"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32" w:history="1">
            <w:r w:rsidR="00F45727" w:rsidRPr="00F45727">
              <w:rPr>
                <w:rStyle w:val="aff3"/>
                <w:rFonts w:ascii="楷体" w:eastAsia="楷体" w:hAnsi="楷体"/>
                <w:noProof/>
                <w:sz w:val="24"/>
                <w:szCs w:val="24"/>
              </w:rPr>
              <w:t>（二）劳动力要素配置领域存在的短板弱项</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_Toc93924832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22</w:t>
            </w:r>
            <w:r w:rsidR="00F45727" w:rsidRPr="00F45727">
              <w:rPr>
                <w:rFonts w:ascii="楷体" w:eastAsia="楷体" w:hAnsi="楷体"/>
                <w:noProof/>
                <w:webHidden/>
                <w:sz w:val="24"/>
                <w:szCs w:val="24"/>
              </w:rPr>
              <w:fldChar w:fldCharType="end"/>
            </w:r>
          </w:hyperlink>
        </w:p>
        <w:p w14:paraId="5CEDF9D9" w14:textId="17D1E097"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33" w:history="1">
            <w:r w:rsidR="00F45727" w:rsidRPr="00F45727">
              <w:rPr>
                <w:rStyle w:val="aff3"/>
                <w:rFonts w:ascii="楷体" w:eastAsia="楷体" w:hAnsi="楷体"/>
                <w:noProof/>
                <w:sz w:val="24"/>
                <w:szCs w:val="24"/>
              </w:rPr>
              <w:t>（三）资本要素配置领域存在的短板弱项</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_Toc93924833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23</w:t>
            </w:r>
            <w:r w:rsidR="00F45727" w:rsidRPr="00F45727">
              <w:rPr>
                <w:rFonts w:ascii="楷体" w:eastAsia="楷体" w:hAnsi="楷体"/>
                <w:noProof/>
                <w:webHidden/>
                <w:sz w:val="24"/>
                <w:szCs w:val="24"/>
              </w:rPr>
              <w:fldChar w:fldCharType="end"/>
            </w:r>
          </w:hyperlink>
        </w:p>
        <w:p w14:paraId="3096E6C7" w14:textId="1A306FEE"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34" w:history="1">
            <w:r w:rsidR="00F45727" w:rsidRPr="00F45727">
              <w:rPr>
                <w:rStyle w:val="aff3"/>
                <w:rFonts w:ascii="楷体" w:eastAsia="楷体" w:hAnsi="楷体"/>
                <w:noProof/>
                <w:sz w:val="24"/>
                <w:szCs w:val="24"/>
              </w:rPr>
              <w:t>（四）技术要素配置领域存在的短板弱项</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_Toc93924834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26</w:t>
            </w:r>
            <w:r w:rsidR="00F45727" w:rsidRPr="00F45727">
              <w:rPr>
                <w:rFonts w:ascii="楷体" w:eastAsia="楷体" w:hAnsi="楷体"/>
                <w:noProof/>
                <w:webHidden/>
                <w:sz w:val="24"/>
                <w:szCs w:val="24"/>
              </w:rPr>
              <w:fldChar w:fldCharType="end"/>
            </w:r>
          </w:hyperlink>
        </w:p>
        <w:p w14:paraId="28203E2E" w14:textId="386A6C4C"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35" w:history="1">
            <w:r w:rsidR="00F45727" w:rsidRPr="00F45727">
              <w:rPr>
                <w:rStyle w:val="aff3"/>
                <w:rFonts w:ascii="楷体" w:eastAsia="楷体" w:hAnsi="楷体"/>
                <w:noProof/>
                <w:sz w:val="24"/>
                <w:szCs w:val="24"/>
              </w:rPr>
              <w:t>（五）数据要素配置领域存在的短板弱项</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_Toc93924835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33</w:t>
            </w:r>
            <w:r w:rsidR="00F45727" w:rsidRPr="00F45727">
              <w:rPr>
                <w:rFonts w:ascii="楷体" w:eastAsia="楷体" w:hAnsi="楷体"/>
                <w:noProof/>
                <w:webHidden/>
                <w:sz w:val="24"/>
                <w:szCs w:val="24"/>
              </w:rPr>
              <w:fldChar w:fldCharType="end"/>
            </w:r>
          </w:hyperlink>
        </w:p>
        <w:p w14:paraId="77FE3509" w14:textId="06D24932" w:rsidR="00F45727" w:rsidRPr="00F45727" w:rsidRDefault="00512E25" w:rsidP="00F45727">
          <w:pPr>
            <w:pStyle w:val="TOC2"/>
            <w:tabs>
              <w:tab w:val="right" w:leader="dot" w:pos="8720"/>
            </w:tabs>
            <w:spacing w:line="440" w:lineRule="exact"/>
            <w:ind w:left="600"/>
            <w:rPr>
              <w:rFonts w:ascii="黑体" w:eastAsia="黑体" w:hAnsi="黑体" w:cstheme="minorBidi"/>
              <w:smallCaps w:val="0"/>
              <w:noProof/>
              <w:kern w:val="2"/>
            </w:rPr>
          </w:pPr>
          <w:hyperlink w:anchor="_Toc93924836" w:history="1">
            <w:r w:rsidR="00F45727" w:rsidRPr="00F45727">
              <w:rPr>
                <w:rStyle w:val="aff3"/>
                <w:rFonts w:ascii="黑体" w:eastAsia="黑体" w:hAnsi="黑体"/>
                <w:noProof/>
              </w:rPr>
              <w:t>四、进一步提升要素配置能力的对策建议</w:t>
            </w:r>
            <w:r w:rsidR="00F45727" w:rsidRPr="00F45727">
              <w:rPr>
                <w:rFonts w:ascii="黑体" w:eastAsia="黑体" w:hAnsi="黑体"/>
                <w:noProof/>
                <w:webHidden/>
              </w:rPr>
              <w:tab/>
            </w:r>
            <w:r w:rsidR="00F45727" w:rsidRPr="00F45727">
              <w:rPr>
                <w:rFonts w:ascii="黑体" w:eastAsia="黑体" w:hAnsi="黑体"/>
                <w:noProof/>
                <w:webHidden/>
              </w:rPr>
              <w:fldChar w:fldCharType="begin"/>
            </w:r>
            <w:r w:rsidR="00F45727" w:rsidRPr="00F45727">
              <w:rPr>
                <w:rFonts w:ascii="黑体" w:eastAsia="黑体" w:hAnsi="黑体"/>
                <w:noProof/>
                <w:webHidden/>
              </w:rPr>
              <w:instrText xml:space="preserve"> PAGEREF _Toc93924836 \h </w:instrText>
            </w:r>
            <w:r w:rsidR="00F45727" w:rsidRPr="00F45727">
              <w:rPr>
                <w:rFonts w:ascii="黑体" w:eastAsia="黑体" w:hAnsi="黑体"/>
                <w:noProof/>
                <w:webHidden/>
              </w:rPr>
            </w:r>
            <w:r w:rsidR="00F45727" w:rsidRPr="00F45727">
              <w:rPr>
                <w:rFonts w:ascii="黑体" w:eastAsia="黑体" w:hAnsi="黑体"/>
                <w:noProof/>
                <w:webHidden/>
              </w:rPr>
              <w:fldChar w:fldCharType="separate"/>
            </w:r>
            <w:r w:rsidR="00F45727" w:rsidRPr="00F45727">
              <w:rPr>
                <w:rFonts w:ascii="黑体" w:eastAsia="黑体" w:hAnsi="黑体"/>
                <w:noProof/>
                <w:webHidden/>
              </w:rPr>
              <w:t>34</w:t>
            </w:r>
            <w:r w:rsidR="00F45727" w:rsidRPr="00F45727">
              <w:rPr>
                <w:rFonts w:ascii="黑体" w:eastAsia="黑体" w:hAnsi="黑体"/>
                <w:noProof/>
                <w:webHidden/>
              </w:rPr>
              <w:fldChar w:fldCharType="end"/>
            </w:r>
          </w:hyperlink>
        </w:p>
        <w:p w14:paraId="6E45A1AA" w14:textId="2D9842EF"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37" w:history="1">
            <w:r w:rsidR="00F45727" w:rsidRPr="00F45727">
              <w:rPr>
                <w:rStyle w:val="aff3"/>
                <w:rFonts w:ascii="楷体" w:eastAsia="楷体" w:hAnsi="楷体"/>
                <w:noProof/>
                <w:sz w:val="24"/>
                <w:szCs w:val="24"/>
              </w:rPr>
              <w:t>（一）部署推进要素市场化配置综合改革</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_Toc93924837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34</w:t>
            </w:r>
            <w:r w:rsidR="00F45727" w:rsidRPr="00F45727">
              <w:rPr>
                <w:rFonts w:ascii="楷体" w:eastAsia="楷体" w:hAnsi="楷体"/>
                <w:noProof/>
                <w:webHidden/>
                <w:sz w:val="24"/>
                <w:szCs w:val="24"/>
              </w:rPr>
              <w:fldChar w:fldCharType="end"/>
            </w:r>
          </w:hyperlink>
        </w:p>
        <w:p w14:paraId="0057D94B" w14:textId="4BF3CA00"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38" w:history="1">
            <w:r w:rsidR="00F45727" w:rsidRPr="00F45727">
              <w:rPr>
                <w:rStyle w:val="aff3"/>
                <w:rFonts w:ascii="楷体" w:eastAsia="楷体" w:hAnsi="楷体"/>
                <w:noProof/>
                <w:sz w:val="24"/>
                <w:szCs w:val="24"/>
              </w:rPr>
              <w:t>（二）大力提升土地使用效率</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_Toc93924838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35</w:t>
            </w:r>
            <w:r w:rsidR="00F45727" w:rsidRPr="00F45727">
              <w:rPr>
                <w:rFonts w:ascii="楷体" w:eastAsia="楷体" w:hAnsi="楷体"/>
                <w:noProof/>
                <w:webHidden/>
                <w:sz w:val="24"/>
                <w:szCs w:val="24"/>
              </w:rPr>
              <w:fldChar w:fldCharType="end"/>
            </w:r>
          </w:hyperlink>
        </w:p>
        <w:p w14:paraId="4537C054" w14:textId="3A5E4CC0"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39" w:history="1">
            <w:r w:rsidR="00F45727" w:rsidRPr="00F45727">
              <w:rPr>
                <w:rStyle w:val="aff3"/>
                <w:rFonts w:ascii="楷体" w:eastAsia="楷体" w:hAnsi="楷体"/>
                <w:noProof/>
                <w:sz w:val="24"/>
                <w:szCs w:val="24"/>
              </w:rPr>
              <w:t>（三）促进劳动力市场优化配置</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_Toc93924839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36</w:t>
            </w:r>
            <w:r w:rsidR="00F45727" w:rsidRPr="00F45727">
              <w:rPr>
                <w:rFonts w:ascii="楷体" w:eastAsia="楷体" w:hAnsi="楷体"/>
                <w:noProof/>
                <w:webHidden/>
                <w:sz w:val="24"/>
                <w:szCs w:val="24"/>
              </w:rPr>
              <w:fldChar w:fldCharType="end"/>
            </w:r>
          </w:hyperlink>
        </w:p>
        <w:p w14:paraId="06DA2532" w14:textId="07A6BA37"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40" w:history="1">
            <w:r w:rsidR="00F45727" w:rsidRPr="00F45727">
              <w:rPr>
                <w:rStyle w:val="aff3"/>
                <w:rFonts w:ascii="楷体" w:eastAsia="楷体" w:hAnsi="楷体"/>
                <w:noProof/>
                <w:sz w:val="24"/>
                <w:szCs w:val="24"/>
              </w:rPr>
              <w:t>（四）深化金融供给侧结构性改革</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_Toc93924840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38</w:t>
            </w:r>
            <w:r w:rsidR="00F45727" w:rsidRPr="00F45727">
              <w:rPr>
                <w:rFonts w:ascii="楷体" w:eastAsia="楷体" w:hAnsi="楷体"/>
                <w:noProof/>
                <w:webHidden/>
                <w:sz w:val="24"/>
                <w:szCs w:val="24"/>
              </w:rPr>
              <w:fldChar w:fldCharType="end"/>
            </w:r>
          </w:hyperlink>
        </w:p>
        <w:p w14:paraId="79D1A662" w14:textId="10883A67"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41" w:history="1">
            <w:r w:rsidR="00F45727" w:rsidRPr="00F45727">
              <w:rPr>
                <w:rStyle w:val="aff3"/>
                <w:rFonts w:ascii="楷体" w:eastAsia="楷体" w:hAnsi="楷体"/>
                <w:noProof/>
                <w:sz w:val="24"/>
                <w:szCs w:val="24"/>
              </w:rPr>
              <w:t>（五）推动科技创新不断深入</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_Toc93924841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39</w:t>
            </w:r>
            <w:r w:rsidR="00F45727" w:rsidRPr="00F45727">
              <w:rPr>
                <w:rFonts w:ascii="楷体" w:eastAsia="楷体" w:hAnsi="楷体"/>
                <w:noProof/>
                <w:webHidden/>
                <w:sz w:val="24"/>
                <w:szCs w:val="24"/>
              </w:rPr>
              <w:fldChar w:fldCharType="end"/>
            </w:r>
          </w:hyperlink>
        </w:p>
        <w:p w14:paraId="7AE8F8C8" w14:textId="6566A523" w:rsidR="00F45727" w:rsidRPr="00F45727" w:rsidRDefault="00512E25" w:rsidP="00F45727">
          <w:pPr>
            <w:pStyle w:val="TOC3"/>
            <w:tabs>
              <w:tab w:val="right" w:leader="dot" w:pos="8720"/>
            </w:tabs>
            <w:spacing w:line="440" w:lineRule="exact"/>
            <w:ind w:left="1200"/>
            <w:rPr>
              <w:rFonts w:ascii="楷体" w:eastAsia="楷体" w:hAnsi="楷体" w:cstheme="minorBidi"/>
              <w:noProof/>
              <w:kern w:val="2"/>
              <w:sz w:val="24"/>
              <w:szCs w:val="24"/>
            </w:rPr>
          </w:pPr>
          <w:hyperlink w:anchor="_Toc93924842" w:history="1">
            <w:r w:rsidR="00F45727" w:rsidRPr="00F45727">
              <w:rPr>
                <w:rStyle w:val="aff3"/>
                <w:rFonts w:ascii="楷体" w:eastAsia="楷体" w:hAnsi="楷体"/>
                <w:noProof/>
                <w:sz w:val="24"/>
                <w:szCs w:val="24"/>
              </w:rPr>
              <w:t>（六）加快培育数据要素市场</w:t>
            </w:r>
            <w:r w:rsidR="00F45727" w:rsidRPr="00F45727">
              <w:rPr>
                <w:rFonts w:ascii="楷体" w:eastAsia="楷体" w:hAnsi="楷体"/>
                <w:noProof/>
                <w:webHidden/>
                <w:sz w:val="24"/>
                <w:szCs w:val="24"/>
              </w:rPr>
              <w:tab/>
            </w:r>
            <w:r w:rsidR="00F45727" w:rsidRPr="00F45727">
              <w:rPr>
                <w:rFonts w:ascii="楷体" w:eastAsia="楷体" w:hAnsi="楷体"/>
                <w:noProof/>
                <w:webHidden/>
                <w:sz w:val="24"/>
                <w:szCs w:val="24"/>
              </w:rPr>
              <w:fldChar w:fldCharType="begin"/>
            </w:r>
            <w:r w:rsidR="00F45727" w:rsidRPr="00F45727">
              <w:rPr>
                <w:rFonts w:ascii="楷体" w:eastAsia="楷体" w:hAnsi="楷体"/>
                <w:noProof/>
                <w:webHidden/>
                <w:sz w:val="24"/>
                <w:szCs w:val="24"/>
              </w:rPr>
              <w:instrText xml:space="preserve"> PAGEREF _Toc93924842 \h </w:instrText>
            </w:r>
            <w:r w:rsidR="00F45727" w:rsidRPr="00F45727">
              <w:rPr>
                <w:rFonts w:ascii="楷体" w:eastAsia="楷体" w:hAnsi="楷体"/>
                <w:noProof/>
                <w:webHidden/>
                <w:sz w:val="24"/>
                <w:szCs w:val="24"/>
              </w:rPr>
            </w:r>
            <w:r w:rsidR="00F45727" w:rsidRPr="00F45727">
              <w:rPr>
                <w:rFonts w:ascii="楷体" w:eastAsia="楷体" w:hAnsi="楷体"/>
                <w:noProof/>
                <w:webHidden/>
                <w:sz w:val="24"/>
                <w:szCs w:val="24"/>
              </w:rPr>
              <w:fldChar w:fldCharType="separate"/>
            </w:r>
            <w:r w:rsidR="00F45727" w:rsidRPr="00F45727">
              <w:rPr>
                <w:rFonts w:ascii="楷体" w:eastAsia="楷体" w:hAnsi="楷体"/>
                <w:noProof/>
                <w:webHidden/>
                <w:sz w:val="24"/>
                <w:szCs w:val="24"/>
              </w:rPr>
              <w:t>41</w:t>
            </w:r>
            <w:r w:rsidR="00F45727" w:rsidRPr="00F45727">
              <w:rPr>
                <w:rFonts w:ascii="楷体" w:eastAsia="楷体" w:hAnsi="楷体"/>
                <w:noProof/>
                <w:webHidden/>
                <w:sz w:val="24"/>
                <w:szCs w:val="24"/>
              </w:rPr>
              <w:fldChar w:fldCharType="end"/>
            </w:r>
          </w:hyperlink>
        </w:p>
        <w:p w14:paraId="7D47269C" w14:textId="2DDA1000" w:rsidR="00F45727" w:rsidRDefault="00F45727">
          <w:pPr>
            <w:ind w:firstLine="602"/>
          </w:pPr>
          <w:r>
            <w:rPr>
              <w:b/>
              <w:bCs/>
              <w:lang w:val="zh-CN"/>
            </w:rPr>
            <w:fldChar w:fldCharType="end"/>
          </w:r>
        </w:p>
      </w:sdtContent>
    </w:sdt>
    <w:p w14:paraId="198A9BE7" w14:textId="77777777" w:rsidR="004651C7" w:rsidRDefault="004651C7">
      <w:pPr>
        <w:overflowPunct w:val="0"/>
        <w:spacing w:line="360" w:lineRule="auto"/>
        <w:ind w:firstLineChars="600" w:firstLine="1800"/>
        <w:rPr>
          <w:rFonts w:eastAsia="宋体" w:cs="Times New Roman"/>
          <w:szCs w:val="30"/>
        </w:rPr>
      </w:pPr>
    </w:p>
    <w:p w14:paraId="758BA423" w14:textId="77777777" w:rsidR="004651C7" w:rsidRDefault="004651C7">
      <w:pPr>
        <w:overflowPunct w:val="0"/>
        <w:spacing w:line="360" w:lineRule="auto"/>
        <w:ind w:firstLine="560"/>
        <w:rPr>
          <w:rFonts w:eastAsia="宋体" w:cs="Times New Roman"/>
          <w:sz w:val="28"/>
          <w:szCs w:val="22"/>
        </w:rPr>
      </w:pPr>
    </w:p>
    <w:p w14:paraId="0924CDE7" w14:textId="77777777" w:rsidR="004651C7" w:rsidRDefault="004651C7">
      <w:pPr>
        <w:overflowPunct w:val="0"/>
        <w:spacing w:line="360" w:lineRule="auto"/>
        <w:ind w:firstLine="560"/>
        <w:rPr>
          <w:rFonts w:eastAsia="宋体" w:cs="Times New Roman"/>
          <w:sz w:val="28"/>
          <w:szCs w:val="22"/>
        </w:rPr>
      </w:pPr>
    </w:p>
    <w:p w14:paraId="63FBBBB5" w14:textId="77777777" w:rsidR="004651C7" w:rsidRDefault="004651C7">
      <w:pPr>
        <w:overflowPunct w:val="0"/>
        <w:spacing w:line="360" w:lineRule="auto"/>
        <w:ind w:firstLine="560"/>
        <w:rPr>
          <w:rFonts w:eastAsia="宋体" w:cs="Times New Roman"/>
          <w:sz w:val="28"/>
          <w:szCs w:val="22"/>
        </w:rPr>
        <w:sectPr w:rsidR="004651C7" w:rsidSect="0022055E">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nextColumn"/>
          <w:pgSz w:w="11906" w:h="16838" w:code="9"/>
          <w:pgMar w:top="1554" w:right="1588" w:bottom="1440" w:left="1588" w:header="1021" w:footer="992" w:gutter="0"/>
          <w:cols w:space="425"/>
          <w:docGrid w:linePitch="414"/>
        </w:sectPr>
      </w:pPr>
    </w:p>
    <w:p w14:paraId="4B5CEFB6" w14:textId="77777777" w:rsidR="004651C7" w:rsidRDefault="004651C7" w:rsidP="004A59EB">
      <w:pPr>
        <w:pStyle w:val="afffc"/>
      </w:pPr>
    </w:p>
    <w:p w14:paraId="4764F49B" w14:textId="77777777" w:rsidR="004651C7" w:rsidRDefault="00BF798C" w:rsidP="008408DB">
      <w:pPr>
        <w:spacing w:line="360" w:lineRule="auto"/>
        <w:ind w:firstLineChars="0" w:firstLine="0"/>
        <w:jc w:val="center"/>
      </w:pPr>
      <w:r w:rsidRPr="008408DB">
        <w:rPr>
          <w:rFonts w:ascii="黑体" w:eastAsia="黑体" w:hAnsi="黑体"/>
          <w:sz w:val="36"/>
          <w:szCs w:val="36"/>
        </w:rPr>
        <w:t>经济高质量发展背景下要素市场化配置改革研究</w:t>
      </w:r>
    </w:p>
    <w:p w14:paraId="0708AFD6" w14:textId="77777777" w:rsidR="004651C7" w:rsidRDefault="004651C7">
      <w:pPr>
        <w:overflowPunct w:val="0"/>
        <w:spacing w:line="360" w:lineRule="auto"/>
        <w:ind w:firstLine="560"/>
        <w:rPr>
          <w:rFonts w:eastAsia="宋体" w:cs="Times New Roman"/>
          <w:sz w:val="28"/>
          <w:szCs w:val="22"/>
        </w:rPr>
      </w:pPr>
    </w:p>
    <w:p w14:paraId="734E49D4"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我国经济社会发展已经进入社会主义现代化建设的新征程，正在推动形成以国内大循环为主体、国内国际双循环相互促进的新发展格局。“推进土地、劳动力、资本、技术、数据等要素市场化改革”，“健全要素市场运行机制，完善要素交易规则和服务体系”，对于贯通生产、分配、流通、消费各环节，打破行业垄断和地方保护，形成国民经济良性循环，以国内大循环吸引全球资源要素，充分利用国内国际两个市场两种资源，具有非常重要的意义。</w:t>
      </w:r>
    </w:p>
    <w:p w14:paraId="1D7346D9"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要素是指用于生产产品或服务的土地、劳动力、资本、技术和数据等投入品。要素市场化配置是指市场机制在生产要素配置中起决定性作用，其含义包括四方面：要素生产什么、生产多少、如何生产、分配给谁，都由市场决定；市场机制和价格信号是经济主体决策的重要依据；要素配置由市场供求决定；政府作用是制定市场规则、维护市场秩序、促进竞争、限制和消除垄断。</w:t>
      </w:r>
    </w:p>
    <w:p w14:paraId="6A71BDFC" w14:textId="77777777" w:rsidR="004651C7" w:rsidRDefault="00BF798C">
      <w:pPr>
        <w:pStyle w:val="2"/>
        <w:ind w:firstLine="480"/>
      </w:pPr>
      <w:bookmarkStart w:id="4" w:name="_Toc93661635"/>
      <w:bookmarkStart w:id="5" w:name="_Toc93841275"/>
      <w:bookmarkStart w:id="6" w:name="_Toc93924820"/>
      <w:r>
        <w:rPr>
          <w:rFonts w:hint="eastAsia"/>
        </w:rPr>
        <w:t>一、</w:t>
      </w:r>
      <w:r>
        <w:t>我国生产要素配置领域现状分析</w:t>
      </w:r>
      <w:bookmarkEnd w:id="4"/>
      <w:bookmarkEnd w:id="5"/>
      <w:bookmarkEnd w:id="6"/>
    </w:p>
    <w:p w14:paraId="28924D81" w14:textId="77777777" w:rsidR="004651C7" w:rsidRDefault="00BF798C">
      <w:pPr>
        <w:pStyle w:val="3"/>
        <w:spacing w:before="192" w:after="240"/>
        <w:ind w:firstLine="480"/>
      </w:pPr>
      <w:bookmarkStart w:id="7" w:name="_Toc93661636"/>
      <w:bookmarkStart w:id="8" w:name="_Toc93924821"/>
      <w:r>
        <w:rPr>
          <w:rFonts w:hint="eastAsia"/>
        </w:rPr>
        <w:t>（</w:t>
      </w:r>
      <w:r>
        <w:t>一</w:t>
      </w:r>
      <w:r>
        <w:rPr>
          <w:rFonts w:hint="eastAsia"/>
        </w:rPr>
        <w:t>）</w:t>
      </w:r>
      <w:r>
        <w:t>我国土地要素配置现状</w:t>
      </w:r>
      <w:bookmarkEnd w:id="7"/>
      <w:bookmarkEnd w:id="8"/>
    </w:p>
    <w:p w14:paraId="0FB4295B"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我国土地资源配置呈现出渐进的市场化改革特征，经过多年的探索和实践，形成了以公有制为基础，以保护耕地、节约用地和改善生态为主线，以产权保护、用途管制和市场配置为主要内容的土地制度，市场在土地要素配置中的作用愈发凸显。具体而言，土地要素配置大体经历四个阶段：政府主导土地要素配置时期、土地要素市场化配置的起步期、土地要素市场化配置的完善期以及土地要素市场化配置的深化期。</w:t>
      </w:r>
    </w:p>
    <w:p w14:paraId="0DA33338" w14:textId="77777777" w:rsidR="004651C7" w:rsidRDefault="00BF798C">
      <w:pPr>
        <w:pStyle w:val="4"/>
      </w:pPr>
      <w:bookmarkStart w:id="9" w:name="_Toc93661637"/>
      <w:r>
        <w:rPr>
          <w:rFonts w:hint="eastAsia"/>
        </w:rPr>
        <w:t>1</w:t>
      </w:r>
      <w:r>
        <w:t>.政府主导土地要素配置时期</w:t>
      </w:r>
      <w:bookmarkEnd w:id="9"/>
    </w:p>
    <w:p w14:paraId="48F0B6CC"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早期我国农村土地实行农民土地所有制，但这只是一种过渡安排，在经过一系列社会主义改造后，土地产权发生了明显变化，农村土地产权由农民所有向集体所有转变。而在《关于目前城市私有房产基本情况及社会主义改造的意见》中明确规定，一切私人占有的城市空地、街基地等地产，经过适当办法后一律收归国家，标志着城市土地国有化的全面完成。我国形成了城市土地国家所有、农村土地集体所有的土地公有制。对于建设用地的需求，主要通过征收土地增加可支配的土地资源，在通过划拨</w:t>
      </w:r>
      <w:r>
        <w:rPr>
          <w:rFonts w:eastAsia="宋体" w:cs="Times New Roman" w:hint="eastAsia"/>
          <w:sz w:val="24"/>
          <w:szCs w:val="22"/>
        </w:rPr>
        <w:lastRenderedPageBreak/>
        <w:t>方式将土地无偿提供给用地单位使用。在此时期，土地利用更加注重产权的归属问题，政府在土地要素配置中占绝对主导地位，而且具有较强的计划经济特征，土地要素并不能自由流动，土地市场尚未形成。</w:t>
      </w:r>
    </w:p>
    <w:p w14:paraId="55A18693" w14:textId="77777777" w:rsidR="004651C7" w:rsidRDefault="00BF798C">
      <w:pPr>
        <w:pStyle w:val="4"/>
      </w:pPr>
      <w:bookmarkStart w:id="10" w:name="_Toc93661638"/>
      <w:r>
        <w:rPr>
          <w:rFonts w:hint="eastAsia"/>
        </w:rPr>
        <w:t>2</w:t>
      </w:r>
      <w:r>
        <w:t>.</w:t>
      </w:r>
      <w:r>
        <w:rPr>
          <w:rFonts w:hint="eastAsia"/>
        </w:rPr>
        <w:t>土地要素市场化配置的起步期</w:t>
      </w:r>
      <w:bookmarkEnd w:id="10"/>
    </w:p>
    <w:p w14:paraId="30B4A6C5"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1978</w:t>
      </w:r>
      <w:r>
        <w:rPr>
          <w:rFonts w:eastAsia="宋体" w:cs="Times New Roman" w:hint="eastAsia"/>
          <w:sz w:val="24"/>
          <w:szCs w:val="22"/>
        </w:rPr>
        <w:t>年</w:t>
      </w:r>
      <w:r>
        <w:rPr>
          <w:rFonts w:eastAsia="宋体" w:cs="Times New Roman" w:hint="eastAsia"/>
          <w:sz w:val="24"/>
          <w:szCs w:val="22"/>
        </w:rPr>
        <w:t>11</w:t>
      </w:r>
      <w:r>
        <w:rPr>
          <w:rFonts w:eastAsia="宋体" w:cs="Times New Roman" w:hint="eastAsia"/>
          <w:sz w:val="24"/>
          <w:szCs w:val="22"/>
        </w:rPr>
        <w:t>月，安徽省凤阳县小岗村的家庭联产承保责任制成为土地市场化改革的转折点，标志着我国土地要素市场化改革进入新阶段。但农民仅获得土地承包经营权，不拥有土地交易权。特别是在</w:t>
      </w:r>
      <w:r>
        <w:rPr>
          <w:rFonts w:eastAsia="宋体" w:cs="Times New Roman" w:hint="eastAsia"/>
          <w:sz w:val="24"/>
          <w:szCs w:val="22"/>
        </w:rPr>
        <w:t>1982</w:t>
      </w:r>
      <w:r>
        <w:rPr>
          <w:rFonts w:eastAsia="宋体" w:cs="Times New Roman" w:hint="eastAsia"/>
          <w:sz w:val="24"/>
          <w:szCs w:val="22"/>
        </w:rPr>
        <w:t>年《中华人民共和国宪法》中明确规定，任何组织或个人不得侵占、买卖、出租或者以其他形式非法转让土地，农村土地尚不能流转。随着</w:t>
      </w:r>
      <w:r>
        <w:rPr>
          <w:rFonts w:eastAsia="宋体" w:cs="Times New Roman" w:hint="eastAsia"/>
          <w:sz w:val="24"/>
          <w:szCs w:val="22"/>
        </w:rPr>
        <w:t>1984</w:t>
      </w:r>
      <w:r>
        <w:rPr>
          <w:rFonts w:eastAsia="宋体" w:cs="Times New Roman" w:hint="eastAsia"/>
          <w:sz w:val="24"/>
          <w:szCs w:val="22"/>
        </w:rPr>
        <w:t>年的中央一号文件中提出承包地可以转包后，部分地区出现了土地流转的情况，农村土地流转情况逐渐好转。</w:t>
      </w:r>
    </w:p>
    <w:p w14:paraId="1D6EA69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1987</w:t>
      </w:r>
      <w:r>
        <w:rPr>
          <w:rFonts w:eastAsia="宋体" w:cs="Times New Roman" w:hint="eastAsia"/>
          <w:sz w:val="24"/>
          <w:szCs w:val="22"/>
        </w:rPr>
        <w:t>年深圳市首次以协议方式出让住宅用地并以拍卖方式出让国有土地使用权，拉开了城市国有土地所有权和使用权相分离的改革帷幕。</w:t>
      </w:r>
      <w:r>
        <w:rPr>
          <w:rFonts w:eastAsia="宋体" w:cs="Times New Roman" w:hint="eastAsia"/>
          <w:sz w:val="24"/>
          <w:szCs w:val="22"/>
        </w:rPr>
        <w:t>1988</w:t>
      </w:r>
      <w:r>
        <w:rPr>
          <w:rFonts w:eastAsia="宋体" w:cs="Times New Roman" w:hint="eastAsia"/>
          <w:sz w:val="24"/>
          <w:szCs w:val="22"/>
        </w:rPr>
        <w:t>年《宪法修正案》中规定，土地的使用权可依照法律规定转让；《土地管理法》相关条例则修改为国有土地和集体所有土地的使用权可依法转让，从而确立了土地所有权和使用权相分离的合法性，并为土地交易奠定了法律基础。《土地管理法》还明确国家依法实行国有土地有偿使用制度。自此我国土地步入有偿、有期限、允许在合法范围内流转使用的轨道。</w:t>
      </w:r>
    </w:p>
    <w:p w14:paraId="38F9AC39" w14:textId="77777777" w:rsidR="004651C7" w:rsidRDefault="00BF798C">
      <w:pPr>
        <w:pStyle w:val="4"/>
      </w:pPr>
      <w:bookmarkStart w:id="11" w:name="_Toc93661639"/>
      <w:r>
        <w:rPr>
          <w:rFonts w:hint="eastAsia"/>
        </w:rPr>
        <w:t>3</w:t>
      </w:r>
      <w:r>
        <w:t>.</w:t>
      </w:r>
      <w:r>
        <w:rPr>
          <w:rFonts w:hint="eastAsia"/>
        </w:rPr>
        <w:t>土地要素市场化配置的完善期</w:t>
      </w:r>
      <w:bookmarkEnd w:id="11"/>
    </w:p>
    <w:p w14:paraId="5D50D77A"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2002</w:t>
      </w:r>
      <w:r>
        <w:rPr>
          <w:rFonts w:eastAsia="宋体" w:cs="Times New Roman" w:hint="eastAsia"/>
          <w:sz w:val="24"/>
          <w:szCs w:val="22"/>
        </w:rPr>
        <w:t>年《中华人民共和国农村土地承包法》规定，通过家庭承包取得的土地承包经营权可依法采取转包、出租、互换、转让或其他方式流转，但承包地不得买卖，不得改变土地所有权的形式和土地的农业用途，未经批准不得将承包地用于非农建设，农村土地流转情况进一步改善。同年，原国土资源部颁布了《招标拍卖挂牌出让国有土地使用权规定》，明确商业、旅游、娱乐等各类经营性用地和商品住宅用地，要以招拍挂的方式出让国有土地使用权。此后，国务院于</w:t>
      </w:r>
      <w:r>
        <w:rPr>
          <w:rFonts w:eastAsia="宋体" w:cs="Times New Roman" w:hint="eastAsia"/>
          <w:sz w:val="24"/>
          <w:szCs w:val="22"/>
        </w:rPr>
        <w:t>2006</w:t>
      </w:r>
      <w:r>
        <w:rPr>
          <w:rFonts w:eastAsia="宋体" w:cs="Times New Roman" w:hint="eastAsia"/>
          <w:sz w:val="24"/>
          <w:szCs w:val="22"/>
        </w:rPr>
        <w:t>年印发了《关于加强土地调控有关问题的通知》，进一步明确工业用地必须采取招拍挂方式出让，出让价格不得低于公布的最低价标准，从而标志着经营性用地、住宅用地以及工业用地的招拍挂出让制度基本形成。</w:t>
      </w:r>
    </w:p>
    <w:p w14:paraId="01675C2F"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与此同时，之前全面禁止的农地非农化市场交易政策也逐渐松动，</w:t>
      </w:r>
      <w:r>
        <w:rPr>
          <w:rFonts w:eastAsia="宋体" w:cs="Times New Roman" w:hint="eastAsia"/>
          <w:sz w:val="24"/>
          <w:szCs w:val="22"/>
        </w:rPr>
        <w:t>2003</w:t>
      </w:r>
      <w:r>
        <w:rPr>
          <w:rFonts w:eastAsia="宋体" w:cs="Times New Roman" w:hint="eastAsia"/>
          <w:sz w:val="24"/>
          <w:szCs w:val="22"/>
        </w:rPr>
        <w:t>年国务院发布《关于做好农业和农村工作的意见》，明确各地要通过集体建设用地流转、土</w:t>
      </w:r>
      <w:r>
        <w:rPr>
          <w:rFonts w:eastAsia="宋体" w:cs="Times New Roman" w:hint="eastAsia"/>
          <w:sz w:val="24"/>
          <w:szCs w:val="22"/>
        </w:rPr>
        <w:lastRenderedPageBreak/>
        <w:t>地置换、分期缴纳出让金等形式，合理解决企业用地问题，从而推进小城镇建设。</w:t>
      </w:r>
      <w:r>
        <w:rPr>
          <w:rFonts w:eastAsia="宋体" w:cs="Times New Roman" w:hint="eastAsia"/>
          <w:sz w:val="24"/>
          <w:szCs w:val="22"/>
        </w:rPr>
        <w:t>2004</w:t>
      </w:r>
      <w:r>
        <w:rPr>
          <w:rFonts w:eastAsia="宋体" w:cs="Times New Roman" w:hint="eastAsia"/>
          <w:sz w:val="24"/>
          <w:szCs w:val="22"/>
        </w:rPr>
        <w:t>年国务院发布《关于深化改革严格土地管理的决定》，提出在符合规划的前提下，村庄、集镇、建制镇中的农民集体所有建设用地使用权可依法流转。</w:t>
      </w:r>
    </w:p>
    <w:p w14:paraId="75482A06"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由于可利用土地资源的供应愈发紧张，政府越来越重视土地的节约集约利用。其中，国务院于</w:t>
      </w:r>
      <w:r>
        <w:rPr>
          <w:rFonts w:eastAsia="宋体" w:cs="Times New Roman" w:hint="eastAsia"/>
          <w:sz w:val="24"/>
          <w:szCs w:val="22"/>
        </w:rPr>
        <w:t>2004</w:t>
      </w:r>
      <w:r>
        <w:rPr>
          <w:rFonts w:eastAsia="宋体" w:cs="Times New Roman" w:hint="eastAsia"/>
          <w:sz w:val="24"/>
          <w:szCs w:val="22"/>
        </w:rPr>
        <w:t>年印发了《关于深化改革严格土地管理的决定》，提出要实行强化节约和集约用地政策，把节约用地放在首位并在盘活存量上下功夫。针对工业化、城镇化快速发展时期导致的建设用地供需矛盾问题，国务院于</w:t>
      </w:r>
      <w:r>
        <w:rPr>
          <w:rFonts w:eastAsia="宋体" w:cs="Times New Roman" w:hint="eastAsia"/>
          <w:sz w:val="24"/>
          <w:szCs w:val="22"/>
        </w:rPr>
        <w:t>2008</w:t>
      </w:r>
      <w:r>
        <w:rPr>
          <w:rFonts w:eastAsia="宋体" w:cs="Times New Roman" w:hint="eastAsia"/>
          <w:sz w:val="24"/>
          <w:szCs w:val="22"/>
        </w:rPr>
        <w:t>年发布了《关于促进节约集约用地的通知》，大力促进土地的节约集约利用。</w:t>
      </w:r>
      <w:r>
        <w:rPr>
          <w:rFonts w:eastAsia="宋体" w:cs="Times New Roman" w:hint="eastAsia"/>
          <w:sz w:val="24"/>
          <w:szCs w:val="22"/>
        </w:rPr>
        <w:t>2014</w:t>
      </w:r>
      <w:r>
        <w:rPr>
          <w:rFonts w:eastAsia="宋体" w:cs="Times New Roman" w:hint="eastAsia"/>
          <w:sz w:val="24"/>
          <w:szCs w:val="22"/>
        </w:rPr>
        <w:t>年原国土资源部审议通过了《节约集约利用土地规定》，提出要通过规模引导、布局优化、标准控制、市场配置、盘活利用等手段，促进土地的节约集约利用，提高土地的利用效率。同年，原国土资源部还下发了《关于推进土地节约集约的指导意见》，在提高建设用地效率、优化土地利用结构和布局、挖潜土地存量、完善土地节约集约利用制度等方面做出明确要求，旨在解决土地粗放利用和浪费问题。</w:t>
      </w:r>
    </w:p>
    <w:p w14:paraId="6C8115CC" w14:textId="77777777" w:rsidR="004651C7" w:rsidRDefault="00BF798C">
      <w:pPr>
        <w:pStyle w:val="4"/>
      </w:pPr>
      <w:bookmarkStart w:id="12" w:name="_Toc93661640"/>
      <w:r>
        <w:rPr>
          <w:rFonts w:hint="eastAsia"/>
        </w:rPr>
        <w:t>4</w:t>
      </w:r>
      <w:r>
        <w:t>.</w:t>
      </w:r>
      <w:r>
        <w:rPr>
          <w:rFonts w:hint="eastAsia"/>
        </w:rPr>
        <w:t>土地要素市场化配置的深化期</w:t>
      </w:r>
      <w:bookmarkEnd w:id="12"/>
    </w:p>
    <w:p w14:paraId="2F2E34F6"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为进一步放活农村土地经营权，在农村土地集体所有的基础上，在坚持和完善最严格的耕地保护制度前提下，国务院于</w:t>
      </w:r>
      <w:r>
        <w:rPr>
          <w:rFonts w:eastAsia="宋体" w:cs="Times New Roman" w:hint="eastAsia"/>
          <w:sz w:val="24"/>
          <w:szCs w:val="22"/>
        </w:rPr>
        <w:t>2014</w:t>
      </w:r>
      <w:r>
        <w:rPr>
          <w:rFonts w:eastAsia="宋体" w:cs="Times New Roman" w:hint="eastAsia"/>
          <w:sz w:val="24"/>
          <w:szCs w:val="22"/>
        </w:rPr>
        <w:t>年印发了《关于引导农村土地经营权有序流转发展农业适度规模经营的意见》，提出推进农村承包地所有权、承包权和经营权的“三权分置”改革，即在保持集体土地所有权和农户承包权不变的前提下，将经营权从承包经营权重分离出来，并可按照依法、自愿、有偿的原则进行流转。“三权分置”改革可以让农民在不失地的前提下，以出租、入股、代耕、抵押等多种方式和用途赋予经营权更多的权能，是继家庭联产承包责任制后农村改革的又一重大制度创新。</w:t>
      </w:r>
    </w:p>
    <w:p w14:paraId="1AB292F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对于农村土地征收范围过宽、补偿标准较低、集体建设用地与国有建设用地权能不同、农村宅基地大量闲置等问题，国务院于</w:t>
      </w:r>
      <w:r>
        <w:rPr>
          <w:rFonts w:eastAsia="宋体" w:cs="Times New Roman" w:hint="eastAsia"/>
          <w:sz w:val="24"/>
          <w:szCs w:val="22"/>
        </w:rPr>
        <w:t>2015</w:t>
      </w:r>
      <w:r>
        <w:rPr>
          <w:rFonts w:eastAsia="宋体" w:cs="Times New Roman" w:hint="eastAsia"/>
          <w:sz w:val="24"/>
          <w:szCs w:val="22"/>
        </w:rPr>
        <w:t>年发布了《关于农村土地征收、集体经营性建设用地入市、宅基地制度改革试点工作的意见》，即“三块地”改革，在坚持土地公有制性质不改变、耕地红线不突破、农民利益不受损的三条底线下，提出要缩小征地范围，规范土地征收程序，完善对被征地农民合理、规范、多元的保障机制，要建立城乡统一的建设用地市场，对于符合规划和用途管制的农村集体经营性建设用地，允许其出让、出租、入股，实行与国有土地同等入市、同权同价，要适度</w:t>
      </w:r>
      <w:r>
        <w:rPr>
          <w:rFonts w:eastAsia="宋体" w:cs="Times New Roman" w:hint="eastAsia"/>
          <w:sz w:val="24"/>
          <w:szCs w:val="22"/>
        </w:rPr>
        <w:lastRenderedPageBreak/>
        <w:t>放活宅基地和农民房屋使用权，鼓励农村集体经济组织及其成员盘活存量土地。</w:t>
      </w:r>
    </w:p>
    <w:p w14:paraId="4FBCE02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随着以市场主体之间转让、出租、抵押为主的土地二级市场逐渐形成，土地二级市场存在的交易规则不健全、交易信息不对称、交易平台不规范等问题愈发突出。为进一步完善土地二级市场，国务院于</w:t>
      </w:r>
      <w:r>
        <w:rPr>
          <w:rFonts w:eastAsia="宋体" w:cs="Times New Roman" w:hint="eastAsia"/>
          <w:sz w:val="24"/>
          <w:szCs w:val="22"/>
        </w:rPr>
        <w:t>2019</w:t>
      </w:r>
      <w:r>
        <w:rPr>
          <w:rFonts w:eastAsia="宋体" w:cs="Times New Roman" w:hint="eastAsia"/>
          <w:sz w:val="24"/>
          <w:szCs w:val="22"/>
        </w:rPr>
        <w:t>年发布了《关于完善建设用地使用权转让、出租、抵押二级市场的指导意见》，重点明确不同权能建设用地使用权转让、出租、抵押的必要条件，从而进一步促进土地要素的流通顺畅，提高存量土地资源配置效率，提升节约集约用地水平。</w:t>
      </w:r>
    </w:p>
    <w:p w14:paraId="1BF00A84"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经过多年的不断探索和完善，我国土地要素实现了由注重土地所有权向重视土地使用权转变，土地要素的配置方式由政府占绝对主导地位向市场化方向转变，土地要素市场也经历了由无到有、由小到大的转变，土地使用由无偿向有偿转变，土地利用方式由粗放型向节约集约型转变。</w:t>
      </w:r>
    </w:p>
    <w:p w14:paraId="62D03554" w14:textId="77777777" w:rsidR="004651C7" w:rsidRDefault="00BF798C">
      <w:pPr>
        <w:pStyle w:val="3"/>
        <w:spacing w:before="192" w:after="240"/>
        <w:ind w:firstLine="480"/>
      </w:pPr>
      <w:bookmarkStart w:id="13" w:name="_Toc93661641"/>
      <w:bookmarkStart w:id="14" w:name="_Toc93924822"/>
      <w:r>
        <w:rPr>
          <w:rFonts w:hint="eastAsia"/>
        </w:rPr>
        <w:t>（二）我国劳动力要素配置现状</w:t>
      </w:r>
      <w:bookmarkEnd w:id="13"/>
      <w:bookmarkEnd w:id="14"/>
    </w:p>
    <w:p w14:paraId="689ACD60"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新中国成立以来，我国就业工作取得历史性成就、发生历史性变革，实现了劳动就业制度由“统包统配”向市场化导向转变，主要可以划分为三个大阶段：第一个阶段是</w:t>
      </w:r>
      <w:r>
        <w:rPr>
          <w:rFonts w:eastAsia="宋体" w:cs="Times New Roman" w:hint="eastAsia"/>
          <w:sz w:val="24"/>
          <w:szCs w:val="22"/>
        </w:rPr>
        <w:t>1949</w:t>
      </w:r>
      <w:r>
        <w:rPr>
          <w:rFonts w:eastAsia="宋体" w:cs="Times New Roman" w:hint="eastAsia"/>
          <w:sz w:val="24"/>
          <w:szCs w:val="22"/>
        </w:rPr>
        <w:t>—</w:t>
      </w:r>
      <w:r>
        <w:rPr>
          <w:rFonts w:eastAsia="宋体" w:cs="Times New Roman" w:hint="eastAsia"/>
          <w:sz w:val="24"/>
          <w:szCs w:val="22"/>
        </w:rPr>
        <w:t>1978</w:t>
      </w:r>
      <w:r>
        <w:rPr>
          <w:rFonts w:eastAsia="宋体" w:cs="Times New Roman" w:hint="eastAsia"/>
          <w:sz w:val="24"/>
          <w:szCs w:val="22"/>
        </w:rPr>
        <w:t>年，这一时期实施的是计划就业制度，第二个阶段是</w:t>
      </w:r>
      <w:r>
        <w:rPr>
          <w:rFonts w:eastAsia="宋体" w:cs="Times New Roman" w:hint="eastAsia"/>
          <w:sz w:val="24"/>
          <w:szCs w:val="22"/>
        </w:rPr>
        <w:t>1978</w:t>
      </w:r>
      <w:r>
        <w:rPr>
          <w:rFonts w:eastAsia="宋体" w:cs="Times New Roman" w:hint="eastAsia"/>
          <w:sz w:val="24"/>
          <w:szCs w:val="22"/>
        </w:rPr>
        <w:t>年—</w:t>
      </w:r>
      <w:r>
        <w:rPr>
          <w:rFonts w:eastAsia="宋体" w:cs="Times New Roman" w:hint="eastAsia"/>
          <w:sz w:val="24"/>
          <w:szCs w:val="22"/>
        </w:rPr>
        <w:t>2002</w:t>
      </w:r>
      <w:r>
        <w:rPr>
          <w:rFonts w:eastAsia="宋体" w:cs="Times New Roman" w:hint="eastAsia"/>
          <w:sz w:val="24"/>
          <w:szCs w:val="22"/>
        </w:rPr>
        <w:t>年，是就业制度由计划向市场转轨阶段，第三个阶段是</w:t>
      </w:r>
      <w:r>
        <w:rPr>
          <w:rFonts w:eastAsia="宋体" w:cs="Times New Roman" w:hint="eastAsia"/>
          <w:sz w:val="24"/>
          <w:szCs w:val="22"/>
        </w:rPr>
        <w:t>2002</w:t>
      </w:r>
      <w:r>
        <w:rPr>
          <w:rFonts w:eastAsia="宋体" w:cs="Times New Roman" w:hint="eastAsia"/>
          <w:sz w:val="24"/>
          <w:szCs w:val="22"/>
        </w:rPr>
        <w:t>年至今，是建立市场导向就业制度并逐步完善阶段。</w:t>
      </w:r>
    </w:p>
    <w:p w14:paraId="15C5D15E" w14:textId="77777777" w:rsidR="004651C7" w:rsidRDefault="00BF798C">
      <w:pPr>
        <w:pStyle w:val="4"/>
      </w:pPr>
      <w:bookmarkStart w:id="15" w:name="_Toc93661642"/>
      <w:r>
        <w:rPr>
          <w:rFonts w:hint="eastAsia"/>
        </w:rPr>
        <w:t>1</w:t>
      </w:r>
      <w:r>
        <w:t>.</w:t>
      </w:r>
      <w:r>
        <w:rPr>
          <w:rFonts w:hint="eastAsia"/>
        </w:rPr>
        <w:t>计划就业制度阶段（1949—1978年）</w:t>
      </w:r>
      <w:bookmarkEnd w:id="15"/>
    </w:p>
    <w:p w14:paraId="60FDAF6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新中国成立以后，政府始终高度重视就业问题，在生产力水平低下、劳动力大量过剩的历史条件下，为了突破“贫困陷阱”和国家安全需要，发展重工业，建立起一整套城市计划就业制度，较好地解决了城市就业问题，也为我们留下了宝贵的经验。这一时期又可以划分为三个小阶段：</w:t>
      </w:r>
      <w:r>
        <w:rPr>
          <w:rFonts w:eastAsia="宋体" w:cs="Times New Roman" w:hint="eastAsia"/>
          <w:sz w:val="24"/>
          <w:szCs w:val="22"/>
        </w:rPr>
        <w:t>1949</w:t>
      </w:r>
      <w:r>
        <w:rPr>
          <w:rFonts w:eastAsia="宋体" w:cs="Times New Roman" w:hint="eastAsia"/>
          <w:sz w:val="24"/>
          <w:szCs w:val="22"/>
        </w:rPr>
        <w:t>—</w:t>
      </w:r>
      <w:r>
        <w:rPr>
          <w:rFonts w:eastAsia="宋体" w:cs="Times New Roman" w:hint="eastAsia"/>
          <w:sz w:val="24"/>
          <w:szCs w:val="22"/>
        </w:rPr>
        <w:t>1952</w:t>
      </w:r>
      <w:r>
        <w:rPr>
          <w:rFonts w:eastAsia="宋体" w:cs="Times New Roman" w:hint="eastAsia"/>
          <w:sz w:val="24"/>
          <w:szCs w:val="22"/>
        </w:rPr>
        <w:t>年，实施的是政府介绍就业与鼓励失业者自谋职业相结合的就业政策；</w:t>
      </w:r>
      <w:r>
        <w:rPr>
          <w:rFonts w:eastAsia="宋体" w:cs="Times New Roman" w:hint="eastAsia"/>
          <w:sz w:val="24"/>
          <w:szCs w:val="22"/>
        </w:rPr>
        <w:t>1953</w:t>
      </w:r>
      <w:r>
        <w:rPr>
          <w:rFonts w:eastAsia="宋体" w:cs="Times New Roman" w:hint="eastAsia"/>
          <w:sz w:val="24"/>
          <w:szCs w:val="22"/>
        </w:rPr>
        <w:t>—</w:t>
      </w:r>
      <w:r>
        <w:rPr>
          <w:rFonts w:eastAsia="宋体" w:cs="Times New Roman" w:hint="eastAsia"/>
          <w:sz w:val="24"/>
          <w:szCs w:val="22"/>
        </w:rPr>
        <w:t>1957</w:t>
      </w:r>
      <w:r>
        <w:rPr>
          <w:rFonts w:eastAsia="宋体" w:cs="Times New Roman" w:hint="eastAsia"/>
          <w:sz w:val="24"/>
          <w:szCs w:val="22"/>
        </w:rPr>
        <w:t>年，实施的是政府统一调配劳动力的计划就业制度；</w:t>
      </w:r>
      <w:r>
        <w:rPr>
          <w:rFonts w:eastAsia="宋体" w:cs="Times New Roman" w:hint="eastAsia"/>
          <w:sz w:val="24"/>
          <w:szCs w:val="22"/>
        </w:rPr>
        <w:t>1958</w:t>
      </w:r>
      <w:r>
        <w:rPr>
          <w:rFonts w:eastAsia="宋体" w:cs="Times New Roman" w:hint="eastAsia"/>
          <w:sz w:val="24"/>
          <w:szCs w:val="22"/>
        </w:rPr>
        <w:t>—</w:t>
      </w:r>
      <w:r>
        <w:rPr>
          <w:rFonts w:eastAsia="宋体" w:cs="Times New Roman" w:hint="eastAsia"/>
          <w:sz w:val="24"/>
          <w:szCs w:val="22"/>
        </w:rPr>
        <w:t>1978</w:t>
      </w:r>
      <w:r>
        <w:rPr>
          <w:rFonts w:eastAsia="宋体" w:cs="Times New Roman" w:hint="eastAsia"/>
          <w:sz w:val="24"/>
          <w:szCs w:val="22"/>
        </w:rPr>
        <w:t>年，计划就业制度走向单一和僵化。</w:t>
      </w:r>
    </w:p>
    <w:p w14:paraId="7F3FF635" w14:textId="77777777" w:rsidR="004651C7" w:rsidRDefault="00BF798C">
      <w:pPr>
        <w:pStyle w:val="4"/>
      </w:pPr>
      <w:bookmarkStart w:id="16" w:name="_Toc93661643"/>
      <w:r>
        <w:rPr>
          <w:rFonts w:hint="eastAsia"/>
        </w:rPr>
        <w:t>2</w:t>
      </w:r>
      <w:r>
        <w:t>.</w:t>
      </w:r>
      <w:r>
        <w:rPr>
          <w:rFonts w:hint="eastAsia"/>
        </w:rPr>
        <w:t>“双轨制”就业制度阶段（1978—2001年）</w:t>
      </w:r>
      <w:bookmarkEnd w:id="16"/>
    </w:p>
    <w:p w14:paraId="53D55AFF"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改革开放之后，以市场为导向的经济体制改革陆续展开，我国开始了劳动力市场的根本性变革，进入计划和市场“双轨制”阶段。这一时期可以划分为两个小阶段：</w:t>
      </w:r>
      <w:r>
        <w:rPr>
          <w:rFonts w:eastAsia="宋体" w:cs="Times New Roman" w:hint="eastAsia"/>
          <w:sz w:val="24"/>
          <w:szCs w:val="22"/>
        </w:rPr>
        <w:t>1978</w:t>
      </w:r>
      <w:r>
        <w:rPr>
          <w:rFonts w:eastAsia="宋体" w:cs="Times New Roman" w:hint="eastAsia"/>
          <w:sz w:val="24"/>
          <w:szCs w:val="22"/>
        </w:rPr>
        <w:t>—</w:t>
      </w:r>
      <w:r>
        <w:rPr>
          <w:rFonts w:eastAsia="宋体" w:cs="Times New Roman" w:hint="eastAsia"/>
          <w:sz w:val="24"/>
          <w:szCs w:val="22"/>
        </w:rPr>
        <w:t>1991</w:t>
      </w:r>
      <w:r>
        <w:rPr>
          <w:rFonts w:eastAsia="宋体" w:cs="Times New Roman" w:hint="eastAsia"/>
          <w:sz w:val="24"/>
          <w:szCs w:val="22"/>
        </w:rPr>
        <w:t>年，开始推进经济体制改革并形成双轨制经济体制，实行劳动部门介绍就业、自愿组织起来就业和自谋职业相结合的“三结合”就业方针；</w:t>
      </w:r>
      <w:r>
        <w:rPr>
          <w:rFonts w:eastAsia="宋体" w:cs="Times New Roman" w:hint="eastAsia"/>
          <w:sz w:val="24"/>
          <w:szCs w:val="22"/>
        </w:rPr>
        <w:t>1992</w:t>
      </w:r>
      <w:r>
        <w:rPr>
          <w:rFonts w:eastAsia="宋体" w:cs="Times New Roman" w:hint="eastAsia"/>
          <w:sz w:val="24"/>
          <w:szCs w:val="22"/>
        </w:rPr>
        <w:t>—</w:t>
      </w:r>
      <w:r>
        <w:rPr>
          <w:rFonts w:eastAsia="宋体" w:cs="Times New Roman" w:hint="eastAsia"/>
          <w:sz w:val="24"/>
          <w:szCs w:val="22"/>
        </w:rPr>
        <w:t>2001</w:t>
      </w:r>
      <w:r>
        <w:rPr>
          <w:rFonts w:eastAsia="宋体" w:cs="Times New Roman" w:hint="eastAsia"/>
          <w:sz w:val="24"/>
          <w:szCs w:val="22"/>
        </w:rPr>
        <w:t>年，</w:t>
      </w:r>
      <w:r>
        <w:rPr>
          <w:rFonts w:eastAsia="宋体" w:cs="Times New Roman" w:hint="eastAsia"/>
          <w:sz w:val="24"/>
          <w:szCs w:val="22"/>
        </w:rPr>
        <w:lastRenderedPageBreak/>
        <w:t>适应国企改革进程要求，在双轨制运行过程中对其进行逐渐改革，加强市场配置作用，实行“劳动者自主择业、市场调节就业、政府促进就业”的就业方针。</w:t>
      </w:r>
    </w:p>
    <w:p w14:paraId="3B10B956" w14:textId="77777777" w:rsidR="004651C7" w:rsidRDefault="00BF798C">
      <w:pPr>
        <w:pStyle w:val="4"/>
      </w:pPr>
      <w:bookmarkStart w:id="17" w:name="_Toc93661644"/>
      <w:r>
        <w:rPr>
          <w:rFonts w:hint="eastAsia"/>
        </w:rPr>
        <w:t>3</w:t>
      </w:r>
      <w:r>
        <w:t>.</w:t>
      </w:r>
      <w:r>
        <w:rPr>
          <w:rFonts w:hint="eastAsia"/>
        </w:rPr>
        <w:t>市场导向就业制度阶段（2002年至今）</w:t>
      </w:r>
      <w:bookmarkEnd w:id="17"/>
    </w:p>
    <w:p w14:paraId="0BA2E3C6"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2002</w:t>
      </w:r>
      <w:r>
        <w:rPr>
          <w:rFonts w:eastAsia="宋体" w:cs="Times New Roman" w:hint="eastAsia"/>
          <w:sz w:val="24"/>
          <w:szCs w:val="22"/>
        </w:rPr>
        <w:t>年之后，随着我国加入世界贸易组织的成效逐步显现，制造业的蓬勃发展带动了农村富余劳动力大规模向城市转移。与此同时，伴随城镇化的加速推进，长期以来制约农村劳动力转移的户籍制度开始出现松动。这一时期可以划分为三个小阶段：</w:t>
      </w:r>
      <w:r>
        <w:rPr>
          <w:rFonts w:eastAsia="宋体" w:cs="Times New Roman" w:hint="eastAsia"/>
          <w:sz w:val="24"/>
          <w:szCs w:val="22"/>
        </w:rPr>
        <w:t>2002</w:t>
      </w:r>
      <w:r>
        <w:rPr>
          <w:rFonts w:eastAsia="宋体" w:cs="Times New Roman" w:hint="eastAsia"/>
          <w:sz w:val="24"/>
          <w:szCs w:val="22"/>
        </w:rPr>
        <w:t>—</w:t>
      </w:r>
      <w:r>
        <w:rPr>
          <w:rFonts w:eastAsia="宋体" w:cs="Times New Roman" w:hint="eastAsia"/>
          <w:sz w:val="24"/>
          <w:szCs w:val="22"/>
        </w:rPr>
        <w:t>2005</w:t>
      </w:r>
      <w:r>
        <w:rPr>
          <w:rFonts w:eastAsia="宋体" w:cs="Times New Roman" w:hint="eastAsia"/>
          <w:sz w:val="24"/>
          <w:szCs w:val="22"/>
        </w:rPr>
        <w:t>年，建立市场导向的就业机制，完成从市场和计划配置双轨运行向市场配置转变；</w:t>
      </w:r>
      <w:r>
        <w:rPr>
          <w:rFonts w:eastAsia="宋体" w:cs="Times New Roman" w:hint="eastAsia"/>
          <w:sz w:val="24"/>
          <w:szCs w:val="22"/>
        </w:rPr>
        <w:t>2006</w:t>
      </w:r>
      <w:r>
        <w:rPr>
          <w:rFonts w:eastAsia="宋体" w:cs="Times New Roman" w:hint="eastAsia"/>
          <w:sz w:val="24"/>
          <w:szCs w:val="22"/>
        </w:rPr>
        <w:t>—</w:t>
      </w:r>
      <w:r>
        <w:rPr>
          <w:rFonts w:eastAsia="宋体" w:cs="Times New Roman" w:hint="eastAsia"/>
          <w:sz w:val="24"/>
          <w:szCs w:val="22"/>
        </w:rPr>
        <w:t>2011</w:t>
      </w:r>
      <w:r>
        <w:rPr>
          <w:rFonts w:eastAsia="宋体" w:cs="Times New Roman" w:hint="eastAsia"/>
          <w:sz w:val="24"/>
          <w:szCs w:val="22"/>
        </w:rPr>
        <w:t>年，市场导向的就业机制不断完善，尤其是改革固定工制度，实行劳动合同制，搞活企业用工机制；党的十八大以来（</w:t>
      </w:r>
      <w:r>
        <w:rPr>
          <w:rFonts w:eastAsia="宋体" w:cs="Times New Roman" w:hint="eastAsia"/>
          <w:sz w:val="24"/>
          <w:szCs w:val="22"/>
        </w:rPr>
        <w:t>2012</w:t>
      </w:r>
      <w:r>
        <w:rPr>
          <w:rFonts w:eastAsia="宋体" w:cs="Times New Roman" w:hint="eastAsia"/>
          <w:sz w:val="24"/>
          <w:szCs w:val="22"/>
        </w:rPr>
        <w:t>年至今），实行“劳动者自主就业、市场调节就业、政府促进就业和鼓励创业”的新时代就业方针，市场导向的就业机制逐步建立并不断完善。</w:t>
      </w:r>
    </w:p>
    <w:p w14:paraId="0308DA02" w14:textId="77777777" w:rsidR="004651C7" w:rsidRDefault="00BF798C">
      <w:pPr>
        <w:pStyle w:val="3"/>
        <w:spacing w:before="192" w:after="240"/>
        <w:ind w:firstLine="480"/>
      </w:pPr>
      <w:bookmarkStart w:id="18" w:name="_Toc93661645"/>
      <w:bookmarkStart w:id="19" w:name="_Toc93924823"/>
      <w:r>
        <w:rPr>
          <w:rFonts w:hint="eastAsia"/>
        </w:rPr>
        <w:t>（三）我国资本要素配置现状</w:t>
      </w:r>
      <w:bookmarkEnd w:id="18"/>
      <w:bookmarkEnd w:id="19"/>
    </w:p>
    <w:p w14:paraId="05A01F40"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金融体系是由金融市场、金融中介和金融管理制度等方面内容构成的有机体，是资本要素配置的主要载体。金融体系在现代经济体系中处于核心地位，在国民经济发展中承担着经济结算、资源跨期配置、投资与风险管理等功能，对国家经济发展有着举足轻重的影响。对应着资本要素的配置方式，我国金融体系改革发展主要经历了以下三个阶段。</w:t>
      </w:r>
    </w:p>
    <w:p w14:paraId="6ADB8748" w14:textId="77777777" w:rsidR="004651C7" w:rsidRDefault="00BF798C">
      <w:pPr>
        <w:pStyle w:val="4"/>
      </w:pPr>
      <w:bookmarkStart w:id="20" w:name="_Toc93661646"/>
      <w:r>
        <w:rPr>
          <w:rFonts w:hint="eastAsia"/>
        </w:rPr>
        <w:t>1</w:t>
      </w:r>
      <w:r>
        <w:t>.计划经济金融体系</w:t>
      </w:r>
      <w:r>
        <w:rPr>
          <w:rFonts w:hint="eastAsia"/>
        </w:rPr>
        <w:t>（1949—1978年）</w:t>
      </w:r>
      <w:bookmarkEnd w:id="20"/>
    </w:p>
    <w:p w14:paraId="02E1CC5D"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在计划经济时代，我国“大一统”的金融体系中只有人民银行一家，人民银行既管宏观平衡，又提供商业性金融服务。这种计划经济金融体系定位为计划经济“把计划、守口子”，在动员储蓄支持工业化战略方面发挥了重要作用。但是金融从属于财政，财政主导金融，金融的基本功能丧失，金融的作用微乎其微，金融的发展也处在较低水平。</w:t>
      </w:r>
    </w:p>
    <w:p w14:paraId="2B69AFAD"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这种金融体系的特点主要有：一是实行“大一统”的计划金融管理模式。整个社会基本上只有中国人民银行一家金融机构，同时实行“统存统贷”的计划金融管理制度。中国人民银行通过信贷计划和现金管理计划对下级银行下达存款和贷款指标，对现金进行严格管理，实现对全国金融统一的计划管理。二是建立起中央银行与商业银行合一的单一体制。企业只对银行发生信用关系，取消了企业之间的信用关系，居民除了存款与购买少量的国债外，更没有其他金融产品与金融活动。三是中国人民银行</w:t>
      </w:r>
      <w:r>
        <w:rPr>
          <w:rFonts w:eastAsia="宋体" w:cs="Times New Roman" w:hint="eastAsia"/>
          <w:sz w:val="24"/>
          <w:szCs w:val="22"/>
        </w:rPr>
        <w:lastRenderedPageBreak/>
        <w:t>不能根据国民经济发展与运行作出独立的经济决策，只能按照国家计划承担企业的“非定额流动资金”贷款，企业其他所需资金由财政拨款解决；</w:t>
      </w:r>
      <w:r>
        <w:rPr>
          <w:rFonts w:eastAsia="宋体" w:cs="Times New Roman" w:hint="eastAsia"/>
          <w:sz w:val="24"/>
          <w:szCs w:val="22"/>
        </w:rPr>
        <w:t>1969</w:t>
      </w:r>
      <w:r>
        <w:rPr>
          <w:rFonts w:eastAsia="宋体" w:cs="Times New Roman" w:hint="eastAsia"/>
          <w:sz w:val="24"/>
          <w:szCs w:val="22"/>
        </w:rPr>
        <w:t>年开始银行被纳入了财政部门管理，只充当结算、出纳为主的“管资金”单一角色，承担的资金配置功能非常弱。四是货币在计划金融体系下，货币的作用与价值不能体现，甚至根本称不上是真正的货币，而是一种表明劳动者在共同的劳动产品中占有份额的“凭证”且“它们是不流通的”。</w:t>
      </w:r>
    </w:p>
    <w:p w14:paraId="108559EB" w14:textId="77777777" w:rsidR="004651C7" w:rsidRDefault="00BF798C">
      <w:pPr>
        <w:pStyle w:val="4"/>
      </w:pPr>
      <w:bookmarkStart w:id="21" w:name="_Toc93661647"/>
      <w:r>
        <w:rPr>
          <w:rFonts w:hint="eastAsia"/>
        </w:rPr>
        <w:t>2</w:t>
      </w:r>
      <w:r>
        <w:t>.</w:t>
      </w:r>
      <w:r>
        <w:rPr>
          <w:rFonts w:hint="eastAsia"/>
        </w:rPr>
        <w:t>社会主义市场</w:t>
      </w:r>
      <w:r>
        <w:t>经济金融体系</w:t>
      </w:r>
      <w:r>
        <w:rPr>
          <w:rFonts w:hint="eastAsia"/>
        </w:rPr>
        <w:t>建设及健康化规范化专业化发展（1</w:t>
      </w:r>
      <w:r>
        <w:t>979</w:t>
      </w:r>
      <w:r>
        <w:rPr>
          <w:rFonts w:hint="eastAsia"/>
        </w:rPr>
        <w:t>—2</w:t>
      </w:r>
      <w:r>
        <w:t>008</w:t>
      </w:r>
      <w:r>
        <w:rPr>
          <w:rFonts w:hint="eastAsia"/>
        </w:rPr>
        <w:t>年）</w:t>
      </w:r>
      <w:bookmarkEnd w:id="21"/>
    </w:p>
    <w:p w14:paraId="66D73D39"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十一届三中全会确立了改革开放的基本国策，标志着我国开始进入由计划经济向市场经济的过渡时期，适应社会主义市场经济的金融体系框架加快建立，并稳步加强健康化、规范化和专业化。</w:t>
      </w:r>
    </w:p>
    <w:p w14:paraId="6A549E07" w14:textId="77777777" w:rsidR="004651C7" w:rsidRDefault="00BF798C">
      <w:pPr>
        <w:overflowPunct w:val="0"/>
        <w:spacing w:line="360" w:lineRule="auto"/>
        <w:ind w:firstLine="480"/>
        <w:rPr>
          <w:rFonts w:eastAsia="宋体" w:cs="Times New Roman"/>
          <w:sz w:val="24"/>
          <w:szCs w:val="22"/>
        </w:rPr>
      </w:pPr>
      <w:r>
        <w:rPr>
          <w:rFonts w:eastAsia="宋体" w:cs="Times New Roman"/>
          <w:sz w:val="24"/>
          <w:szCs w:val="22"/>
        </w:rPr>
        <w:t>——20</w:t>
      </w:r>
      <w:r>
        <w:rPr>
          <w:rFonts w:eastAsia="宋体" w:cs="Times New Roman"/>
          <w:sz w:val="24"/>
          <w:szCs w:val="22"/>
        </w:rPr>
        <w:t>世纪</w:t>
      </w:r>
      <w:r>
        <w:rPr>
          <w:rFonts w:eastAsia="宋体" w:cs="Times New Roman"/>
          <w:sz w:val="24"/>
          <w:szCs w:val="22"/>
        </w:rPr>
        <w:t>80</w:t>
      </w:r>
      <w:r>
        <w:rPr>
          <w:rFonts w:eastAsia="宋体" w:cs="Times New Roman"/>
          <w:sz w:val="24"/>
          <w:szCs w:val="22"/>
        </w:rPr>
        <w:t>年代着重引进市场经济金融体系的基本结构。</w:t>
      </w:r>
      <w:r>
        <w:rPr>
          <w:rFonts w:eastAsia="宋体" w:cs="Times New Roman" w:hint="eastAsia"/>
          <w:sz w:val="24"/>
          <w:szCs w:val="22"/>
        </w:rPr>
        <w:t>20</w:t>
      </w:r>
      <w:r>
        <w:rPr>
          <w:rFonts w:eastAsia="宋体" w:cs="Times New Roman" w:hint="eastAsia"/>
          <w:sz w:val="24"/>
          <w:szCs w:val="22"/>
        </w:rPr>
        <w:t>世纪</w:t>
      </w:r>
      <w:r>
        <w:rPr>
          <w:rFonts w:eastAsia="宋体" w:cs="Times New Roman" w:hint="eastAsia"/>
          <w:sz w:val="24"/>
          <w:szCs w:val="22"/>
        </w:rPr>
        <w:t>80</w:t>
      </w:r>
      <w:r>
        <w:rPr>
          <w:rFonts w:eastAsia="宋体" w:cs="Times New Roman" w:hint="eastAsia"/>
          <w:sz w:val="24"/>
          <w:szCs w:val="22"/>
        </w:rPr>
        <w:t>年代金融改革的一项主要内容就是改变“大一统”的金融体系，通过建立一些新的金融机构，将中央银行和商业性金融体系分开，构建一个所谓双层银行体系。在这个体系中，中央银行专注于宏观调控、金融监管和为银行提供支付清算等金融服务；商业性金融机构则从人民银行独立出来，面向企业和居民提供商业性金融服务。中国工商银行、中国建设银行、中国银行、中国农业银行以及中国人民保险公司都是在</w:t>
      </w:r>
      <w:r>
        <w:rPr>
          <w:rFonts w:eastAsia="宋体" w:cs="Times New Roman" w:hint="eastAsia"/>
          <w:sz w:val="24"/>
          <w:szCs w:val="22"/>
        </w:rPr>
        <w:t>20</w:t>
      </w:r>
      <w:r>
        <w:rPr>
          <w:rFonts w:eastAsia="宋体" w:cs="Times New Roman" w:hint="eastAsia"/>
          <w:sz w:val="24"/>
          <w:szCs w:val="22"/>
        </w:rPr>
        <w:t>世纪</w:t>
      </w:r>
      <w:r>
        <w:rPr>
          <w:rFonts w:eastAsia="宋体" w:cs="Times New Roman" w:hint="eastAsia"/>
          <w:sz w:val="24"/>
          <w:szCs w:val="22"/>
        </w:rPr>
        <w:t>80</w:t>
      </w:r>
      <w:r>
        <w:rPr>
          <w:rFonts w:eastAsia="宋体" w:cs="Times New Roman" w:hint="eastAsia"/>
          <w:sz w:val="24"/>
          <w:szCs w:val="22"/>
        </w:rPr>
        <w:t>年代前后建立或恢复建立的。与此同时，</w:t>
      </w:r>
      <w:r>
        <w:rPr>
          <w:rFonts w:eastAsia="宋体" w:cs="Times New Roman" w:hint="eastAsia"/>
          <w:sz w:val="24"/>
          <w:szCs w:val="22"/>
        </w:rPr>
        <w:t>20</w:t>
      </w:r>
      <w:r>
        <w:rPr>
          <w:rFonts w:eastAsia="宋体" w:cs="Times New Roman" w:hint="eastAsia"/>
          <w:sz w:val="24"/>
          <w:szCs w:val="22"/>
        </w:rPr>
        <w:t>世纪</w:t>
      </w:r>
      <w:r>
        <w:rPr>
          <w:rFonts w:eastAsia="宋体" w:cs="Times New Roman" w:hint="eastAsia"/>
          <w:sz w:val="24"/>
          <w:szCs w:val="22"/>
        </w:rPr>
        <w:t>80</w:t>
      </w:r>
      <w:r>
        <w:rPr>
          <w:rFonts w:eastAsia="宋体" w:cs="Times New Roman" w:hint="eastAsia"/>
          <w:sz w:val="24"/>
          <w:szCs w:val="22"/>
        </w:rPr>
        <w:t>年代还在探索证券交易。当时没有成立股票交易所，</w:t>
      </w:r>
      <w:r>
        <w:rPr>
          <w:rFonts w:eastAsia="宋体" w:cs="Times New Roman" w:hint="eastAsia"/>
          <w:sz w:val="24"/>
          <w:szCs w:val="22"/>
        </w:rPr>
        <w:t>20</w:t>
      </w:r>
      <w:r>
        <w:rPr>
          <w:rFonts w:eastAsia="宋体" w:cs="Times New Roman" w:hint="eastAsia"/>
          <w:sz w:val="24"/>
          <w:szCs w:val="22"/>
        </w:rPr>
        <w:t>世纪</w:t>
      </w:r>
      <w:r>
        <w:rPr>
          <w:rFonts w:eastAsia="宋体" w:cs="Times New Roman" w:hint="eastAsia"/>
          <w:sz w:val="24"/>
          <w:szCs w:val="22"/>
        </w:rPr>
        <w:t>80</w:t>
      </w:r>
      <w:r>
        <w:rPr>
          <w:rFonts w:eastAsia="宋体" w:cs="Times New Roman" w:hint="eastAsia"/>
          <w:sz w:val="24"/>
          <w:szCs w:val="22"/>
        </w:rPr>
        <w:t>年代后期有个别证券营业部试点开展了证券交易。</w:t>
      </w:r>
    </w:p>
    <w:p w14:paraId="4B3F6914"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w:t>
      </w:r>
      <w:r>
        <w:rPr>
          <w:rFonts w:eastAsia="宋体" w:cs="Times New Roman" w:hint="eastAsia"/>
          <w:sz w:val="24"/>
          <w:szCs w:val="22"/>
        </w:rPr>
        <w:t>20</w:t>
      </w:r>
      <w:r>
        <w:rPr>
          <w:rFonts w:eastAsia="宋体" w:cs="Times New Roman" w:hint="eastAsia"/>
          <w:sz w:val="24"/>
          <w:szCs w:val="22"/>
        </w:rPr>
        <w:t>世纪</w:t>
      </w:r>
      <w:r>
        <w:rPr>
          <w:rFonts w:eastAsia="宋体" w:cs="Times New Roman" w:hint="eastAsia"/>
          <w:sz w:val="24"/>
          <w:szCs w:val="22"/>
        </w:rPr>
        <w:t>90</w:t>
      </w:r>
      <w:r>
        <w:rPr>
          <w:rFonts w:eastAsia="宋体" w:cs="Times New Roman" w:hint="eastAsia"/>
          <w:sz w:val="24"/>
          <w:szCs w:val="22"/>
        </w:rPr>
        <w:t>年代上半期和中期着重建立符合市场经济需要的金融机构和金融市场基本框架。一是推动专业银行转向商业银行。基于在金融体系建立现代企业制度、培育市场竞争主体的考虑，党的十四届三中全会决定成立三家政策性银行，即国家开发银行、中国进出口银行、中国农业发展银行专门承担政策性服务，工商银行、农业银行、中国银行、建设银行等四大行只承担商业性业务，同时四大行不再按专业领域划分业务，相互之间可以交叉、竞争，以便改进服务。二是启动建立了证券市场。</w:t>
      </w:r>
      <w:r>
        <w:rPr>
          <w:rFonts w:eastAsia="宋体" w:cs="Times New Roman" w:hint="eastAsia"/>
          <w:sz w:val="24"/>
          <w:szCs w:val="22"/>
        </w:rPr>
        <w:t>1990</w:t>
      </w:r>
      <w:r>
        <w:rPr>
          <w:rFonts w:eastAsia="宋体" w:cs="Times New Roman" w:hint="eastAsia"/>
          <w:sz w:val="24"/>
          <w:szCs w:val="22"/>
        </w:rPr>
        <w:t>年底，上海证券交易所和深圳证券交易所正式建立，国家层面成立了证券委和证监会，后来证券委的发行审核功能合并进了证监会。三是保险业取得较快发展，特别是寿险开始初步发展。</w:t>
      </w:r>
      <w:r>
        <w:rPr>
          <w:rFonts w:eastAsia="宋体" w:cs="Times New Roman" w:hint="eastAsia"/>
          <w:sz w:val="24"/>
          <w:szCs w:val="22"/>
        </w:rPr>
        <w:t>1998</w:t>
      </w:r>
      <w:r>
        <w:rPr>
          <w:rFonts w:eastAsia="宋体" w:cs="Times New Roman" w:hint="eastAsia"/>
          <w:sz w:val="24"/>
          <w:szCs w:val="22"/>
        </w:rPr>
        <w:t>年，专门成立了中国保险业监督管理委员会。四是在金融机构和金融市场改革发展的基础上，建立了新的宏观调控框架，明确了当时国家</w:t>
      </w:r>
      <w:r>
        <w:rPr>
          <w:rFonts w:eastAsia="宋体" w:cs="Times New Roman" w:hint="eastAsia"/>
          <w:sz w:val="24"/>
          <w:szCs w:val="22"/>
        </w:rPr>
        <w:lastRenderedPageBreak/>
        <w:t>计委、财政政策、货币政策的各自功能，宏观调控从直接调控加快转向间接调控。</w:t>
      </w:r>
    </w:p>
    <w:p w14:paraId="5AAF0BB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——亚洲金融风波期间着重整顿与应对冲击。一是整顿金融机构。亚洲金融危机对我国造成的影响持续了</w:t>
      </w:r>
      <w:r>
        <w:rPr>
          <w:rFonts w:eastAsia="宋体" w:cs="Times New Roman" w:hint="eastAsia"/>
          <w:sz w:val="24"/>
          <w:szCs w:val="22"/>
        </w:rPr>
        <w:t>4</w:t>
      </w:r>
      <w:r>
        <w:rPr>
          <w:rFonts w:eastAsia="宋体" w:cs="Times New Roman" w:hint="eastAsia"/>
          <w:sz w:val="24"/>
          <w:szCs w:val="22"/>
        </w:rPr>
        <w:t>～</w:t>
      </w:r>
      <w:r>
        <w:rPr>
          <w:rFonts w:eastAsia="宋体" w:cs="Times New Roman" w:hint="eastAsia"/>
          <w:sz w:val="24"/>
          <w:szCs w:val="22"/>
        </w:rPr>
        <w:t>5</w:t>
      </w:r>
      <w:r>
        <w:rPr>
          <w:rFonts w:eastAsia="宋体" w:cs="Times New Roman" w:hint="eastAsia"/>
          <w:sz w:val="24"/>
          <w:szCs w:val="22"/>
        </w:rPr>
        <w:t>年的时间。亚洲金融风波期间，我国金融领域的一项重要任务是进行金融整顿。当时处于建立社会主义市场经济体制的早期，金融领域有很多混乱的情况。特别是，由于会计标准没有建立，商业银行贷款分类方法不科学，财务纪律不规范，资本金也不充足，使得在亚洲金融风波影响下，相当一部分金融机构经营不下去，甚至关闭破产，广国投事件是最重要的案例。二是金融业配合国家对亚洲金融风波造成的重大冲击进行恢复。为应对危机冲击，当时国家推出了以基础设施建设为主的经济刺激计划，财政和金融部门都要配合这方面工作。这一阶段最重要的任务是国有企业脱困。受亚洲金融风波影响，国有企业困难比较明显，因此国家推出国有企业“三年脱困”计划。其实，当时银行业也相当困难，不良资产大概在</w:t>
      </w:r>
      <w:r>
        <w:rPr>
          <w:rFonts w:eastAsia="宋体" w:cs="Times New Roman" w:hint="eastAsia"/>
          <w:sz w:val="24"/>
          <w:szCs w:val="22"/>
        </w:rPr>
        <w:t>25%</w:t>
      </w:r>
      <w:r>
        <w:rPr>
          <w:rFonts w:eastAsia="宋体" w:cs="Times New Roman" w:hint="eastAsia"/>
          <w:sz w:val="24"/>
          <w:szCs w:val="22"/>
        </w:rPr>
        <w:t>～</w:t>
      </w:r>
      <w:r>
        <w:rPr>
          <w:rFonts w:eastAsia="宋体" w:cs="Times New Roman" w:hint="eastAsia"/>
          <w:sz w:val="24"/>
          <w:szCs w:val="22"/>
        </w:rPr>
        <w:t>45%</w:t>
      </w:r>
      <w:r>
        <w:rPr>
          <w:rFonts w:eastAsia="宋体" w:cs="Times New Roman" w:hint="eastAsia"/>
          <w:sz w:val="24"/>
          <w:szCs w:val="22"/>
        </w:rPr>
        <w:t>，损失也很大。但国有企业涉及更多人就业，问题更加紧迫。因此，国家通过债转股减轻国有企业债务负担，成立四家资产管理公司剥离大型银行不良资产，帮助国有企业休养生息，走出亚洲金融风波带来的大量下岗和效益下滑的困境。这些措施实际上是由金融系统先承担更大的损失，等国有企业状况好转后，金融业还得回头再来收拾遗留下来的财务问题。</w:t>
      </w:r>
    </w:p>
    <w:p w14:paraId="08624BF2"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w:t>
      </w:r>
      <w:r>
        <w:rPr>
          <w:rFonts w:eastAsia="宋体" w:cs="Times New Roman" w:hint="eastAsia"/>
          <w:sz w:val="24"/>
          <w:szCs w:val="22"/>
        </w:rPr>
        <w:t>2002</w:t>
      </w:r>
      <w:r>
        <w:rPr>
          <w:rFonts w:eastAsia="宋体" w:cs="Times New Roman" w:hint="eastAsia"/>
          <w:sz w:val="24"/>
          <w:szCs w:val="22"/>
        </w:rPr>
        <w:t>～</w:t>
      </w:r>
      <w:r>
        <w:rPr>
          <w:rFonts w:eastAsia="宋体" w:cs="Times New Roman" w:hint="eastAsia"/>
          <w:sz w:val="24"/>
          <w:szCs w:val="22"/>
        </w:rPr>
        <w:t>2008</w:t>
      </w:r>
      <w:r>
        <w:rPr>
          <w:rFonts w:eastAsia="宋体" w:cs="Times New Roman" w:hint="eastAsia"/>
          <w:sz w:val="24"/>
          <w:szCs w:val="22"/>
        </w:rPr>
        <w:t>年着重推动金融体系健康化、规范化和专业化。一是推进健康化和规范化改革。</w:t>
      </w:r>
      <w:r>
        <w:rPr>
          <w:rFonts w:eastAsia="宋体" w:cs="Times New Roman" w:hint="eastAsia"/>
          <w:sz w:val="24"/>
          <w:szCs w:val="22"/>
        </w:rPr>
        <w:t>2001</w:t>
      </w:r>
      <w:r>
        <w:rPr>
          <w:rFonts w:eastAsia="宋体" w:cs="Times New Roman" w:hint="eastAsia"/>
          <w:sz w:val="24"/>
          <w:szCs w:val="22"/>
        </w:rPr>
        <w:t>年我国启动了会计准则的改进工作，大幅提升了银行、上市公司财务数据的质量和可靠性。持续增加资本金注入，改善大型银行、保险公司和证券公司的资本充足状况。推动效益比较好的银行、保险公司、证券公司逐步发行上市，筹集社会资本。推动农村信用社改革，下放信用社的管理权至省级政府，调动地方积极性。</w:t>
      </w:r>
      <w:r>
        <w:rPr>
          <w:rFonts w:eastAsia="宋体" w:cs="Times New Roman" w:hint="eastAsia"/>
          <w:sz w:val="24"/>
          <w:szCs w:val="22"/>
        </w:rPr>
        <w:t>2005</w:t>
      </w:r>
      <w:r>
        <w:rPr>
          <w:rFonts w:eastAsia="宋体" w:cs="Times New Roman" w:hint="eastAsia"/>
          <w:sz w:val="24"/>
          <w:szCs w:val="22"/>
        </w:rPr>
        <w:t>年，国家推动股权分置改革，促进股票市场规范化发展。二是促进金融体系运营监管专业化。引导金融业更深入地依据市场经济的规律去运作，同时推动金融监管进一步走向专业化。</w:t>
      </w:r>
      <w:r>
        <w:rPr>
          <w:rFonts w:eastAsia="宋体" w:cs="Times New Roman" w:hint="eastAsia"/>
          <w:sz w:val="24"/>
          <w:szCs w:val="22"/>
        </w:rPr>
        <w:t>2003</w:t>
      </w:r>
      <w:r>
        <w:rPr>
          <w:rFonts w:eastAsia="宋体" w:cs="Times New Roman" w:hint="eastAsia"/>
          <w:sz w:val="24"/>
          <w:szCs w:val="22"/>
        </w:rPr>
        <w:t>年中国银监会从人民银行分设，明确了银监会、证监会、保监会三家专业性监管机构的目标责任，理清了金融监管和宏观调控的责任关系。同时，金融监管部门集中了人才，监管工作水平有了显著提高。</w:t>
      </w:r>
    </w:p>
    <w:p w14:paraId="3E08472D"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——应对国际金融危机期间着重建立健全宏观审慎管理框架。国际金融危机的爆发促使我国金融改革和发展进入了一个新的阶段。这个阶段金融领域的主要工作是配合国家应对全球金融危机冲击，特别是配合</w:t>
      </w:r>
      <w:r>
        <w:rPr>
          <w:rFonts w:eastAsia="宋体" w:cs="Times New Roman" w:hint="eastAsia"/>
          <w:sz w:val="24"/>
          <w:szCs w:val="22"/>
        </w:rPr>
        <w:t>2008</w:t>
      </w:r>
      <w:r>
        <w:rPr>
          <w:rFonts w:eastAsia="宋体" w:cs="Times New Roman" w:hint="eastAsia"/>
          <w:sz w:val="24"/>
          <w:szCs w:val="22"/>
        </w:rPr>
        <w:t>年底推出的一揽子经济刺激计</w:t>
      </w:r>
      <w:r>
        <w:rPr>
          <w:rFonts w:eastAsia="宋体" w:cs="Times New Roman" w:hint="eastAsia"/>
          <w:sz w:val="24"/>
          <w:szCs w:val="22"/>
        </w:rPr>
        <w:lastRenderedPageBreak/>
        <w:t>划，这在宏观政策和一些结构性的金融支持政策方面均有体现。金融体系改革发展的重要特点是建立健全宏观审慎管理框架，大量纠正和显著改革金融体系的短板弱项，比如，资本不充足、杠杆率过高、衍生产品市场混乱、金融稳定措施不足、逆周期手段缺失等。</w:t>
      </w:r>
    </w:p>
    <w:p w14:paraId="5E9F4F08" w14:textId="77777777" w:rsidR="004651C7" w:rsidRDefault="00BF798C">
      <w:pPr>
        <w:pStyle w:val="4"/>
      </w:pPr>
      <w:bookmarkStart w:id="22" w:name="_Toc93661648"/>
      <w:r>
        <w:rPr>
          <w:rFonts w:hint="eastAsia"/>
        </w:rPr>
        <w:t>3</w:t>
      </w:r>
      <w:r>
        <w:t>.</w:t>
      </w:r>
      <w:r>
        <w:rPr>
          <w:rFonts w:hint="eastAsia"/>
        </w:rPr>
        <w:t>社会主义市场经济金融体系市场化、国际化和多元化发展（2</w:t>
      </w:r>
      <w:r>
        <w:t>021</w:t>
      </w:r>
      <w:r>
        <w:rPr>
          <w:rFonts w:hint="eastAsia"/>
        </w:rPr>
        <w:t>年至今）</w:t>
      </w:r>
      <w:bookmarkEnd w:id="22"/>
    </w:p>
    <w:p w14:paraId="20A7BCE6"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十八大以来，我国全面深化改革开放，着力推动金融业市场化、国际化、多元化。一是资金价格市场化，包括利率市场化和汇率市场化。利率市场化改革方面，人民银行分别于</w:t>
      </w:r>
      <w:r>
        <w:rPr>
          <w:rFonts w:eastAsia="宋体" w:cs="Times New Roman" w:hint="eastAsia"/>
          <w:sz w:val="24"/>
          <w:szCs w:val="22"/>
        </w:rPr>
        <w:t>2013</w:t>
      </w:r>
      <w:r>
        <w:rPr>
          <w:rFonts w:eastAsia="宋体" w:cs="Times New Roman" w:hint="eastAsia"/>
          <w:sz w:val="24"/>
          <w:szCs w:val="22"/>
        </w:rPr>
        <w:t>年</w:t>
      </w:r>
      <w:r>
        <w:rPr>
          <w:rFonts w:eastAsia="宋体" w:cs="Times New Roman" w:hint="eastAsia"/>
          <w:sz w:val="24"/>
          <w:szCs w:val="22"/>
        </w:rPr>
        <w:t>7</w:t>
      </w:r>
      <w:r>
        <w:rPr>
          <w:rFonts w:eastAsia="宋体" w:cs="Times New Roman" w:hint="eastAsia"/>
          <w:sz w:val="24"/>
          <w:szCs w:val="22"/>
        </w:rPr>
        <w:t>月和</w:t>
      </w:r>
      <w:r>
        <w:rPr>
          <w:rFonts w:eastAsia="宋体" w:cs="Times New Roman" w:hint="eastAsia"/>
          <w:sz w:val="24"/>
          <w:szCs w:val="22"/>
        </w:rPr>
        <w:t>2015</w:t>
      </w:r>
      <w:r>
        <w:rPr>
          <w:rFonts w:eastAsia="宋体" w:cs="Times New Roman" w:hint="eastAsia"/>
          <w:sz w:val="24"/>
          <w:szCs w:val="22"/>
        </w:rPr>
        <w:t>年</w:t>
      </w:r>
      <w:r>
        <w:rPr>
          <w:rFonts w:eastAsia="宋体" w:cs="Times New Roman" w:hint="eastAsia"/>
          <w:sz w:val="24"/>
          <w:szCs w:val="22"/>
        </w:rPr>
        <w:t>10</w:t>
      </w:r>
      <w:r>
        <w:rPr>
          <w:rFonts w:eastAsia="宋体" w:cs="Times New Roman" w:hint="eastAsia"/>
          <w:sz w:val="24"/>
          <w:szCs w:val="22"/>
        </w:rPr>
        <w:t>月放开贷款和存款利率管制，</w:t>
      </w:r>
      <w:r>
        <w:rPr>
          <w:rFonts w:eastAsia="宋体" w:cs="Times New Roman" w:hint="eastAsia"/>
          <w:sz w:val="24"/>
          <w:szCs w:val="22"/>
        </w:rPr>
        <w:t>2019</w:t>
      </w:r>
      <w:r>
        <w:rPr>
          <w:rFonts w:eastAsia="宋体" w:cs="Times New Roman" w:hint="eastAsia"/>
          <w:sz w:val="24"/>
          <w:szCs w:val="22"/>
        </w:rPr>
        <w:t>年</w:t>
      </w:r>
      <w:r>
        <w:rPr>
          <w:rFonts w:eastAsia="宋体" w:cs="Times New Roman" w:hint="eastAsia"/>
          <w:sz w:val="24"/>
          <w:szCs w:val="22"/>
        </w:rPr>
        <w:t>8</w:t>
      </w:r>
      <w:r>
        <w:rPr>
          <w:rFonts w:eastAsia="宋体" w:cs="Times New Roman" w:hint="eastAsia"/>
          <w:sz w:val="24"/>
          <w:szCs w:val="22"/>
        </w:rPr>
        <w:t>月启动改革完善贷款市场报价利率（</w:t>
      </w:r>
      <w:r>
        <w:rPr>
          <w:rFonts w:eastAsia="宋体" w:cs="Times New Roman" w:hint="eastAsia"/>
          <w:sz w:val="24"/>
          <w:szCs w:val="22"/>
        </w:rPr>
        <w:t>LPR</w:t>
      </w:r>
      <w:r>
        <w:rPr>
          <w:rFonts w:eastAsia="宋体" w:cs="Times New Roman" w:hint="eastAsia"/>
          <w:sz w:val="24"/>
          <w:szCs w:val="22"/>
        </w:rPr>
        <w:t>）形成机制。汇率市场化改革方面，</w:t>
      </w:r>
      <w:r>
        <w:rPr>
          <w:rFonts w:eastAsia="宋体" w:cs="Times New Roman" w:hint="eastAsia"/>
          <w:sz w:val="24"/>
          <w:szCs w:val="22"/>
        </w:rPr>
        <w:t>2014</w:t>
      </w:r>
      <w:r>
        <w:rPr>
          <w:rFonts w:eastAsia="宋体" w:cs="Times New Roman" w:hint="eastAsia"/>
          <w:sz w:val="24"/>
          <w:szCs w:val="22"/>
        </w:rPr>
        <w:t>年</w:t>
      </w:r>
      <w:r>
        <w:rPr>
          <w:rFonts w:eastAsia="宋体" w:cs="Times New Roman" w:hint="eastAsia"/>
          <w:sz w:val="24"/>
          <w:szCs w:val="22"/>
        </w:rPr>
        <w:t>4</w:t>
      </w:r>
      <w:r>
        <w:rPr>
          <w:rFonts w:eastAsia="宋体" w:cs="Times New Roman" w:hint="eastAsia"/>
          <w:sz w:val="24"/>
          <w:szCs w:val="22"/>
        </w:rPr>
        <w:t>月，人民银行宣布将人民币汇率的日波幅从</w:t>
      </w:r>
      <w:r>
        <w:rPr>
          <w:rFonts w:eastAsia="宋体" w:cs="Times New Roman" w:hint="eastAsia"/>
          <w:sz w:val="24"/>
          <w:szCs w:val="22"/>
        </w:rPr>
        <w:t>1%</w:t>
      </w:r>
      <w:r>
        <w:rPr>
          <w:rFonts w:eastAsia="宋体" w:cs="Times New Roman" w:hint="eastAsia"/>
          <w:sz w:val="24"/>
          <w:szCs w:val="22"/>
        </w:rPr>
        <w:t>进一步扩大至</w:t>
      </w:r>
      <w:r>
        <w:rPr>
          <w:rFonts w:eastAsia="宋体" w:cs="Times New Roman" w:hint="eastAsia"/>
          <w:sz w:val="24"/>
          <w:szCs w:val="22"/>
        </w:rPr>
        <w:t>2%</w:t>
      </w:r>
      <w:r>
        <w:rPr>
          <w:rFonts w:eastAsia="宋体" w:cs="Times New Roman" w:hint="eastAsia"/>
          <w:sz w:val="24"/>
          <w:szCs w:val="22"/>
        </w:rPr>
        <w:t>。</w:t>
      </w:r>
      <w:r>
        <w:rPr>
          <w:rFonts w:eastAsia="宋体" w:cs="Times New Roman" w:hint="eastAsia"/>
          <w:sz w:val="24"/>
          <w:szCs w:val="22"/>
        </w:rPr>
        <w:t>2015</w:t>
      </w:r>
      <w:r>
        <w:rPr>
          <w:rFonts w:eastAsia="宋体" w:cs="Times New Roman" w:hint="eastAsia"/>
          <w:sz w:val="24"/>
          <w:szCs w:val="22"/>
        </w:rPr>
        <w:t>年</w:t>
      </w:r>
      <w:r>
        <w:rPr>
          <w:rFonts w:eastAsia="宋体" w:cs="Times New Roman" w:hint="eastAsia"/>
          <w:sz w:val="24"/>
          <w:szCs w:val="22"/>
        </w:rPr>
        <w:t>8</w:t>
      </w:r>
      <w:r>
        <w:rPr>
          <w:rFonts w:eastAsia="宋体" w:cs="Times New Roman" w:hint="eastAsia"/>
          <w:sz w:val="24"/>
          <w:szCs w:val="22"/>
        </w:rPr>
        <w:t>月，人民银行宣布完善人民币对美元汇率中间价报价机制，实施以市场供求为基础、参考一篮子货币进行调节、有管理的浮动汇率制度。现行的人民币汇率中间价由“上一交易日收盘价</w:t>
      </w:r>
      <w:r>
        <w:rPr>
          <w:rFonts w:eastAsia="宋体" w:cs="Times New Roman" w:hint="eastAsia"/>
          <w:sz w:val="24"/>
          <w:szCs w:val="22"/>
        </w:rPr>
        <w:t>+</w:t>
      </w:r>
      <w:r>
        <w:rPr>
          <w:rFonts w:eastAsia="宋体" w:cs="Times New Roman" w:hint="eastAsia"/>
          <w:sz w:val="24"/>
          <w:szCs w:val="22"/>
        </w:rPr>
        <w:t>一篮子货币汇率变化</w:t>
      </w:r>
      <w:r>
        <w:rPr>
          <w:rFonts w:eastAsia="宋体" w:cs="Times New Roman" w:hint="eastAsia"/>
          <w:sz w:val="24"/>
          <w:szCs w:val="22"/>
        </w:rPr>
        <w:t>+</w:t>
      </w:r>
      <w:r>
        <w:rPr>
          <w:rFonts w:eastAsia="宋体" w:cs="Times New Roman" w:hint="eastAsia"/>
          <w:sz w:val="24"/>
          <w:szCs w:val="22"/>
        </w:rPr>
        <w:t>逆周期因子”三因素共同决定。二是金融体系国际化，包括人民币国际化、资本市场国际化、以及金融支持企业“走出去”。国际金融危机放大了美元、欧元、日元等主要国际货币的不稳定性，一定程度上促进了人民币国际化进程。跨境贸易人民币结算业务快速扩容，我国已经与近</w:t>
      </w:r>
      <w:r>
        <w:rPr>
          <w:rFonts w:eastAsia="宋体" w:cs="Times New Roman" w:hint="eastAsia"/>
          <w:sz w:val="24"/>
          <w:szCs w:val="22"/>
        </w:rPr>
        <w:t>40</w:t>
      </w:r>
      <w:r>
        <w:rPr>
          <w:rFonts w:eastAsia="宋体" w:cs="Times New Roman" w:hint="eastAsia"/>
          <w:sz w:val="24"/>
          <w:szCs w:val="22"/>
        </w:rPr>
        <w:t>个国家或地区签署货币互换协议，互换总金额超过</w:t>
      </w:r>
      <w:r>
        <w:rPr>
          <w:rFonts w:eastAsia="宋体" w:cs="Times New Roman" w:hint="eastAsia"/>
          <w:sz w:val="24"/>
          <w:szCs w:val="22"/>
        </w:rPr>
        <w:t>3</w:t>
      </w:r>
      <w:r>
        <w:rPr>
          <w:rFonts w:eastAsia="宋体" w:cs="Times New Roman" w:hint="eastAsia"/>
          <w:sz w:val="24"/>
          <w:szCs w:val="22"/>
        </w:rPr>
        <w:t>万亿元，人民币国际使用范围显著扩大。</w:t>
      </w:r>
      <w:r>
        <w:rPr>
          <w:rFonts w:eastAsia="宋体" w:cs="Times New Roman" w:hint="eastAsia"/>
          <w:sz w:val="24"/>
          <w:szCs w:val="22"/>
        </w:rPr>
        <w:t>2014</w:t>
      </w:r>
      <w:r>
        <w:rPr>
          <w:rFonts w:eastAsia="宋体" w:cs="Times New Roman" w:hint="eastAsia"/>
          <w:sz w:val="24"/>
          <w:szCs w:val="22"/>
        </w:rPr>
        <w:t>年</w:t>
      </w:r>
      <w:r>
        <w:rPr>
          <w:rFonts w:eastAsia="宋体" w:cs="Times New Roman" w:hint="eastAsia"/>
          <w:sz w:val="24"/>
          <w:szCs w:val="22"/>
        </w:rPr>
        <w:t>4</w:t>
      </w:r>
      <w:r>
        <w:rPr>
          <w:rFonts w:eastAsia="宋体" w:cs="Times New Roman" w:hint="eastAsia"/>
          <w:sz w:val="24"/>
          <w:szCs w:val="22"/>
        </w:rPr>
        <w:t>月“沪港通”开始启动，</w:t>
      </w:r>
      <w:r>
        <w:rPr>
          <w:rFonts w:eastAsia="宋体" w:cs="Times New Roman" w:hint="eastAsia"/>
          <w:sz w:val="24"/>
          <w:szCs w:val="22"/>
        </w:rPr>
        <w:t>2016</w:t>
      </w:r>
      <w:r>
        <w:rPr>
          <w:rFonts w:eastAsia="宋体" w:cs="Times New Roman" w:hint="eastAsia"/>
          <w:sz w:val="24"/>
          <w:szCs w:val="22"/>
        </w:rPr>
        <w:t>年</w:t>
      </w:r>
      <w:r>
        <w:rPr>
          <w:rFonts w:eastAsia="宋体" w:cs="Times New Roman" w:hint="eastAsia"/>
          <w:sz w:val="24"/>
          <w:szCs w:val="22"/>
        </w:rPr>
        <w:t>12</w:t>
      </w:r>
      <w:r>
        <w:rPr>
          <w:rFonts w:eastAsia="宋体" w:cs="Times New Roman" w:hint="eastAsia"/>
          <w:sz w:val="24"/>
          <w:szCs w:val="22"/>
        </w:rPr>
        <w:t>月“深港通”正式运行，实现了上海证券交易所、深圳证券交易所和香港证券交易所的互联互通，我国资本市场通过与港交所的联通走向国际。</w:t>
      </w:r>
      <w:r>
        <w:rPr>
          <w:rFonts w:eastAsia="宋体" w:cs="Times New Roman" w:hint="eastAsia"/>
          <w:sz w:val="24"/>
          <w:szCs w:val="22"/>
        </w:rPr>
        <w:t>2014</w:t>
      </w:r>
      <w:r>
        <w:rPr>
          <w:rFonts w:eastAsia="宋体" w:cs="Times New Roman" w:hint="eastAsia"/>
          <w:sz w:val="24"/>
          <w:szCs w:val="22"/>
        </w:rPr>
        <w:t>年丝路基金有限责任公司成立、</w:t>
      </w:r>
      <w:r>
        <w:rPr>
          <w:rFonts w:eastAsia="宋体" w:cs="Times New Roman" w:hint="eastAsia"/>
          <w:sz w:val="24"/>
          <w:szCs w:val="22"/>
        </w:rPr>
        <w:t>2015</w:t>
      </w:r>
      <w:r>
        <w:rPr>
          <w:rFonts w:eastAsia="宋体" w:cs="Times New Roman" w:hint="eastAsia"/>
          <w:sz w:val="24"/>
          <w:szCs w:val="22"/>
        </w:rPr>
        <w:t>年亚投行成立，金融支持企业在“一带一路”建设中寻找投资机会并提供相应的投融资服务。三是融资体系多元化，包括金融主体多元化和融资工具多元化。公募基金、私募基金、典当行、担保公司、小额信贷公司等非银行金融机构发展较快，金融主体多元化程度有所提升。短期融资券、中期票据、集合票据等非金融机构债券市场发展迅速，债券融资工具日益多元化。</w:t>
      </w:r>
    </w:p>
    <w:p w14:paraId="5E0698F9" w14:textId="77777777" w:rsidR="004651C7" w:rsidRDefault="00BF798C">
      <w:pPr>
        <w:pStyle w:val="3"/>
        <w:spacing w:before="192" w:after="240"/>
        <w:ind w:firstLine="480"/>
      </w:pPr>
      <w:bookmarkStart w:id="23" w:name="_Toc93661649"/>
      <w:bookmarkStart w:id="24" w:name="_Toc93924824"/>
      <w:r>
        <w:rPr>
          <w:rFonts w:hint="eastAsia"/>
        </w:rPr>
        <w:t>（四）我国技术要素配置现状</w:t>
      </w:r>
      <w:bookmarkEnd w:id="23"/>
      <w:bookmarkEnd w:id="24"/>
    </w:p>
    <w:p w14:paraId="3E2764F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科技事业改革开放是我国改革开放的重要组成部分。我国科技事业</w:t>
      </w:r>
      <w:r>
        <w:rPr>
          <w:rFonts w:eastAsia="宋体" w:cs="Times New Roman" w:hint="eastAsia"/>
          <w:sz w:val="24"/>
          <w:szCs w:val="22"/>
        </w:rPr>
        <w:t>40</w:t>
      </w:r>
      <w:r>
        <w:rPr>
          <w:rFonts w:eastAsia="宋体" w:cs="Times New Roman" w:hint="eastAsia"/>
          <w:sz w:val="24"/>
          <w:szCs w:val="22"/>
        </w:rPr>
        <w:t>年来的不懈开拓和长足进步，积累了宝贵经验，丰富了对我国特色社会主义道路实践的认识。依据中央对科技事业作出的全局性重大决定，可以把我国科技改革开放划分为五个</w:t>
      </w:r>
      <w:r>
        <w:rPr>
          <w:rFonts w:eastAsia="宋体" w:cs="Times New Roman" w:hint="eastAsia"/>
          <w:sz w:val="24"/>
          <w:szCs w:val="22"/>
        </w:rPr>
        <w:lastRenderedPageBreak/>
        <w:t>时期，分别为：</w:t>
      </w:r>
      <w:r>
        <w:rPr>
          <w:rFonts w:eastAsia="宋体" w:cs="Times New Roman" w:hint="eastAsia"/>
          <w:sz w:val="24"/>
          <w:szCs w:val="22"/>
        </w:rPr>
        <w:t>1978</w:t>
      </w:r>
      <w:r>
        <w:rPr>
          <w:rFonts w:eastAsia="宋体" w:cs="Times New Roman" w:hint="eastAsia"/>
          <w:sz w:val="24"/>
          <w:szCs w:val="22"/>
        </w:rPr>
        <w:t>～</w:t>
      </w:r>
      <w:r>
        <w:rPr>
          <w:rFonts w:eastAsia="宋体" w:cs="Times New Roman" w:hint="eastAsia"/>
          <w:sz w:val="24"/>
          <w:szCs w:val="22"/>
        </w:rPr>
        <w:t>1984</w:t>
      </w:r>
      <w:r>
        <w:rPr>
          <w:rFonts w:eastAsia="宋体" w:cs="Times New Roman" w:hint="eastAsia"/>
          <w:sz w:val="24"/>
          <w:szCs w:val="22"/>
        </w:rPr>
        <w:t>年“恢复科研体系、服务经济建设”的探索期；</w:t>
      </w:r>
      <w:r>
        <w:rPr>
          <w:rFonts w:eastAsia="宋体" w:cs="Times New Roman" w:hint="eastAsia"/>
          <w:sz w:val="24"/>
          <w:szCs w:val="22"/>
        </w:rPr>
        <w:t>1985</w:t>
      </w:r>
      <w:r>
        <w:rPr>
          <w:rFonts w:eastAsia="宋体" w:cs="Times New Roman" w:hint="eastAsia"/>
          <w:sz w:val="24"/>
          <w:szCs w:val="22"/>
        </w:rPr>
        <w:t>～</w:t>
      </w:r>
      <w:r>
        <w:rPr>
          <w:rFonts w:eastAsia="宋体" w:cs="Times New Roman" w:hint="eastAsia"/>
          <w:sz w:val="24"/>
          <w:szCs w:val="22"/>
        </w:rPr>
        <w:t>1994</w:t>
      </w:r>
      <w:r>
        <w:rPr>
          <w:rFonts w:eastAsia="宋体" w:cs="Times New Roman" w:hint="eastAsia"/>
          <w:sz w:val="24"/>
          <w:szCs w:val="22"/>
        </w:rPr>
        <w:t>年“改革科技体制、推进科技与经济结合”的启动期；</w:t>
      </w:r>
      <w:r>
        <w:rPr>
          <w:rFonts w:eastAsia="宋体" w:cs="Times New Roman" w:hint="eastAsia"/>
          <w:sz w:val="24"/>
          <w:szCs w:val="22"/>
        </w:rPr>
        <w:t>1995</w:t>
      </w:r>
      <w:r>
        <w:rPr>
          <w:rFonts w:eastAsia="宋体" w:cs="Times New Roman" w:hint="eastAsia"/>
          <w:sz w:val="24"/>
          <w:szCs w:val="22"/>
        </w:rPr>
        <w:t>～</w:t>
      </w:r>
      <w:r>
        <w:rPr>
          <w:rFonts w:eastAsia="宋体" w:cs="Times New Roman" w:hint="eastAsia"/>
          <w:sz w:val="24"/>
          <w:szCs w:val="22"/>
        </w:rPr>
        <w:t>2005</w:t>
      </w:r>
      <w:r>
        <w:rPr>
          <w:rFonts w:eastAsia="宋体" w:cs="Times New Roman" w:hint="eastAsia"/>
          <w:sz w:val="24"/>
          <w:szCs w:val="22"/>
        </w:rPr>
        <w:t>年“实施科教兴国战略、推动经济和社会发展”的深化期；</w:t>
      </w:r>
      <w:r>
        <w:rPr>
          <w:rFonts w:eastAsia="宋体" w:cs="Times New Roman" w:hint="eastAsia"/>
          <w:sz w:val="24"/>
          <w:szCs w:val="22"/>
        </w:rPr>
        <w:t>2006</w:t>
      </w:r>
      <w:r>
        <w:rPr>
          <w:rFonts w:eastAsia="宋体" w:cs="Times New Roman" w:hint="eastAsia"/>
          <w:sz w:val="24"/>
          <w:szCs w:val="22"/>
        </w:rPr>
        <w:t>～</w:t>
      </w:r>
      <w:r>
        <w:rPr>
          <w:rFonts w:eastAsia="宋体" w:cs="Times New Roman" w:hint="eastAsia"/>
          <w:sz w:val="24"/>
          <w:szCs w:val="22"/>
        </w:rPr>
        <w:t>2015</w:t>
      </w:r>
      <w:r>
        <w:rPr>
          <w:rFonts w:eastAsia="宋体" w:cs="Times New Roman" w:hint="eastAsia"/>
          <w:sz w:val="24"/>
          <w:szCs w:val="22"/>
        </w:rPr>
        <w:t>年“坚持自主创新、增强科技能力”的系统推进期；</w:t>
      </w:r>
      <w:r>
        <w:rPr>
          <w:rFonts w:eastAsia="宋体" w:cs="Times New Roman" w:hint="eastAsia"/>
          <w:sz w:val="24"/>
          <w:szCs w:val="22"/>
        </w:rPr>
        <w:t>2016</w:t>
      </w:r>
      <w:r>
        <w:rPr>
          <w:rFonts w:eastAsia="宋体" w:cs="Times New Roman" w:hint="eastAsia"/>
          <w:sz w:val="24"/>
          <w:szCs w:val="22"/>
        </w:rPr>
        <w:t>年至今“加快科技创新、参与全球竞争”的跃升推进期。</w:t>
      </w:r>
    </w:p>
    <w:p w14:paraId="085A4AA1" w14:textId="77777777" w:rsidR="004651C7" w:rsidRDefault="00BF798C">
      <w:pPr>
        <w:pStyle w:val="4"/>
      </w:pPr>
      <w:bookmarkStart w:id="25" w:name="_Toc93661650"/>
      <w:r>
        <w:rPr>
          <w:rFonts w:hint="eastAsia"/>
        </w:rPr>
        <w:t>1</w:t>
      </w:r>
      <w:r>
        <w:t>.</w:t>
      </w:r>
      <w:r>
        <w:rPr>
          <w:rFonts w:hint="eastAsia"/>
        </w:rPr>
        <w:t>“恢复科研体系、服务经济建设”探索期（1978—1984年）</w:t>
      </w:r>
      <w:bookmarkEnd w:id="25"/>
    </w:p>
    <w:p w14:paraId="0AEDBA9D"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1978</w:t>
      </w:r>
      <w:r>
        <w:rPr>
          <w:rFonts w:eastAsia="宋体" w:cs="Times New Roman" w:hint="eastAsia"/>
          <w:sz w:val="24"/>
          <w:szCs w:val="22"/>
        </w:rPr>
        <w:t>年</w:t>
      </w:r>
      <w:r>
        <w:rPr>
          <w:rFonts w:eastAsia="宋体" w:cs="Times New Roman" w:hint="eastAsia"/>
          <w:sz w:val="24"/>
          <w:szCs w:val="22"/>
        </w:rPr>
        <w:t>3</w:t>
      </w:r>
      <w:r>
        <w:rPr>
          <w:rFonts w:eastAsia="宋体" w:cs="Times New Roman" w:hint="eastAsia"/>
          <w:sz w:val="24"/>
          <w:szCs w:val="22"/>
        </w:rPr>
        <w:t>月，全国科学大会后，科技界率先开展拨乱反正，平反冤假错案、落实知识分子政策、恢复科研秩序进展顺利。在调整经济结构和改革经济管理体制的大背景下，科技主管部门相继创设国家科技攻关计划、重大技术装备研制计划、技术开发计划、重点新技术推广项目计划，探索以综合性的国家计划模式为经济建设服务，推动企业、科研院所、高校、国防科研系统开展民用技术研发活动，消化吸收企业引进的国外先进技术。在财政仍不宽裕的情况下，投入较大资金，设立国家重大科学工程建设项目计划和国家重点实验室建设计划，提升基础研究能力、培养优秀人才、增强前沿知识储备。作为新时期我国对外开放的先行者，我国科技界和西方发达国家的交流合作规模迅速增长，对世界科技迅猛发展态势有了更深层次和更大范围的直接感知。</w:t>
      </w:r>
      <w:r>
        <w:rPr>
          <w:rFonts w:eastAsia="宋体" w:cs="Times New Roman" w:hint="eastAsia"/>
          <w:sz w:val="24"/>
          <w:szCs w:val="22"/>
        </w:rPr>
        <w:t>1978</w:t>
      </w:r>
      <w:r>
        <w:rPr>
          <w:rFonts w:eastAsia="宋体" w:cs="Times New Roman" w:hint="eastAsia"/>
          <w:sz w:val="24"/>
          <w:szCs w:val="22"/>
        </w:rPr>
        <w:t>年底新我国首批赴美留学人员成行，</w:t>
      </w:r>
      <w:r>
        <w:rPr>
          <w:rFonts w:eastAsia="宋体" w:cs="Times New Roman" w:hint="eastAsia"/>
          <w:sz w:val="24"/>
          <w:szCs w:val="22"/>
        </w:rPr>
        <w:t>1980</w:t>
      </w:r>
      <w:r>
        <w:rPr>
          <w:rFonts w:eastAsia="宋体" w:cs="Times New Roman" w:hint="eastAsia"/>
          <w:sz w:val="24"/>
          <w:szCs w:val="22"/>
        </w:rPr>
        <w:t>年确定“保证质量，力争多派”的留学方针，超前培养高级人才，为后来科研水平持续提升和融入全球创新体系发挥了积极作用。</w:t>
      </w:r>
    </w:p>
    <w:p w14:paraId="5D1CCE62" w14:textId="77777777" w:rsidR="004651C7" w:rsidRDefault="00BF798C">
      <w:pPr>
        <w:pStyle w:val="4"/>
      </w:pPr>
      <w:bookmarkStart w:id="26" w:name="_Toc93661651"/>
      <w:r>
        <w:t>2.</w:t>
      </w:r>
      <w:r>
        <w:rPr>
          <w:rFonts w:hint="eastAsia"/>
        </w:rPr>
        <w:t>“改革科技体制、推进科技与经济结合”启动期（1985—1994年）</w:t>
      </w:r>
      <w:bookmarkEnd w:id="26"/>
    </w:p>
    <w:p w14:paraId="35266C08"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1985</w:t>
      </w:r>
      <w:r>
        <w:rPr>
          <w:rFonts w:eastAsia="宋体" w:cs="Times New Roman" w:hint="eastAsia"/>
          <w:sz w:val="24"/>
          <w:szCs w:val="22"/>
        </w:rPr>
        <w:t>年</w:t>
      </w:r>
      <w:r>
        <w:rPr>
          <w:rFonts w:eastAsia="宋体" w:cs="Times New Roman" w:hint="eastAsia"/>
          <w:sz w:val="24"/>
          <w:szCs w:val="22"/>
        </w:rPr>
        <w:t>3</w:t>
      </w:r>
      <w:r>
        <w:rPr>
          <w:rFonts w:eastAsia="宋体" w:cs="Times New Roman" w:hint="eastAsia"/>
          <w:sz w:val="24"/>
          <w:szCs w:val="22"/>
        </w:rPr>
        <w:t>月，《中共中央关于科学技术体制改革的决定》提出，全国主要科技力量要面向国民经济主战场，为经济建设服务。主要措施是改革科技拨款制度和扩大科研机构自主权，把原来计划经济体系下封闭运行的科研机构推向为国民经济服务的主战场。国家颁布《专利法》《技术合同法》，发展技术市场，促进技术交易；兴办高新技术产业开发区，扶持科技型企业发展，推动科技与经济的紧密结合；实施火炬计划、星火计划、重点新产品计划、科技成果重点推广计划、工程研究中心计划等，以技术推动、需求拉动的“良性互动”方式，着力提升科技促进经济发展的能力和水平。拨款制度改革在短时间里造成研究所经费紧张、骨干队伍不稳定等问题。基础研究、战略高技术和行业共性技术等领域与国民经济直接关联不多，事关长远发展，需要稳定支持。</w:t>
      </w:r>
      <w:r>
        <w:rPr>
          <w:rFonts w:eastAsia="宋体" w:cs="Times New Roman" w:hint="eastAsia"/>
          <w:sz w:val="24"/>
          <w:szCs w:val="22"/>
        </w:rPr>
        <w:t>1986</w:t>
      </w:r>
      <w:r>
        <w:rPr>
          <w:rFonts w:eastAsia="宋体" w:cs="Times New Roman" w:hint="eastAsia"/>
          <w:sz w:val="24"/>
          <w:szCs w:val="22"/>
        </w:rPr>
        <w:t>年</w:t>
      </w:r>
      <w:r>
        <w:rPr>
          <w:rFonts w:eastAsia="宋体" w:cs="Times New Roman" w:hint="eastAsia"/>
          <w:sz w:val="24"/>
          <w:szCs w:val="22"/>
        </w:rPr>
        <w:t>2</w:t>
      </w:r>
      <w:r>
        <w:rPr>
          <w:rFonts w:eastAsia="宋体" w:cs="Times New Roman" w:hint="eastAsia"/>
          <w:sz w:val="24"/>
          <w:szCs w:val="22"/>
        </w:rPr>
        <w:t>月设立国家自然科学基金和</w:t>
      </w:r>
      <w:r>
        <w:rPr>
          <w:rFonts w:eastAsia="宋体" w:cs="Times New Roman" w:hint="eastAsia"/>
          <w:sz w:val="24"/>
          <w:szCs w:val="22"/>
        </w:rPr>
        <w:t>1986</w:t>
      </w:r>
      <w:r>
        <w:rPr>
          <w:rFonts w:eastAsia="宋体" w:cs="Times New Roman" w:hint="eastAsia"/>
          <w:sz w:val="24"/>
          <w:szCs w:val="22"/>
        </w:rPr>
        <w:t>年</w:t>
      </w:r>
      <w:r>
        <w:rPr>
          <w:rFonts w:eastAsia="宋体" w:cs="Times New Roman" w:hint="eastAsia"/>
          <w:sz w:val="24"/>
          <w:szCs w:val="22"/>
        </w:rPr>
        <w:t>3</w:t>
      </w:r>
      <w:r>
        <w:rPr>
          <w:rFonts w:eastAsia="宋体" w:cs="Times New Roman" w:hint="eastAsia"/>
          <w:sz w:val="24"/>
          <w:szCs w:val="22"/>
        </w:rPr>
        <w:t>月实施高技术研究与发展计</w:t>
      </w:r>
      <w:r>
        <w:rPr>
          <w:rFonts w:eastAsia="宋体" w:cs="Times New Roman" w:hint="eastAsia"/>
          <w:sz w:val="24"/>
          <w:szCs w:val="22"/>
        </w:rPr>
        <w:lastRenderedPageBreak/>
        <w:t>划，一定程度上逐步缓解了对基础研究和战略高技术研发的冲击。</w:t>
      </w:r>
    </w:p>
    <w:p w14:paraId="1E0B2E00" w14:textId="77777777" w:rsidR="004651C7" w:rsidRDefault="00BF798C">
      <w:pPr>
        <w:pStyle w:val="4"/>
      </w:pPr>
      <w:bookmarkStart w:id="27" w:name="_Toc93661652"/>
      <w:r>
        <w:rPr>
          <w:rFonts w:hint="eastAsia"/>
        </w:rPr>
        <w:t>3</w:t>
      </w:r>
      <w:r>
        <w:t>.</w:t>
      </w:r>
      <w:r>
        <w:rPr>
          <w:rFonts w:hint="eastAsia"/>
        </w:rPr>
        <w:t>“实施科教兴国战略、推动经济和社会发展”深化期（1995—2005年）</w:t>
      </w:r>
      <w:bookmarkEnd w:id="27"/>
    </w:p>
    <w:p w14:paraId="2DF0673B"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1995</w:t>
      </w:r>
      <w:r>
        <w:rPr>
          <w:rFonts w:eastAsia="宋体" w:cs="Times New Roman" w:hint="eastAsia"/>
          <w:sz w:val="24"/>
          <w:szCs w:val="22"/>
        </w:rPr>
        <w:t>年</w:t>
      </w:r>
      <w:r>
        <w:rPr>
          <w:rFonts w:eastAsia="宋体" w:cs="Times New Roman" w:hint="eastAsia"/>
          <w:sz w:val="24"/>
          <w:szCs w:val="22"/>
        </w:rPr>
        <w:t>5</w:t>
      </w:r>
      <w:r>
        <w:rPr>
          <w:rFonts w:eastAsia="宋体" w:cs="Times New Roman" w:hint="eastAsia"/>
          <w:sz w:val="24"/>
          <w:szCs w:val="22"/>
        </w:rPr>
        <w:t>月，全国科学技术大会提出国家实施科教兴国战略，从增强国家综合国力的高度，明确科技进步的战略内涵、加速任务部署，构建适应社会主义市场经济机制和科技自身发展规律的新型科技体制。</w:t>
      </w:r>
      <w:r>
        <w:rPr>
          <w:rFonts w:eastAsia="宋体" w:cs="Times New Roman" w:hint="eastAsia"/>
          <w:sz w:val="24"/>
          <w:szCs w:val="22"/>
        </w:rPr>
        <w:t>1998</w:t>
      </w:r>
      <w:r>
        <w:rPr>
          <w:rFonts w:eastAsia="宋体" w:cs="Times New Roman" w:hint="eastAsia"/>
          <w:sz w:val="24"/>
          <w:szCs w:val="22"/>
        </w:rPr>
        <w:t>年，中央批准我国科学院开展知识创新工程，探索建立以政策引导、资源调控、项目组织和院所重组等措施提高科技创新能力的体制机制。同年国家实施</w:t>
      </w:r>
      <w:r>
        <w:rPr>
          <w:rFonts w:eastAsia="宋体" w:cs="Times New Roman" w:hint="eastAsia"/>
          <w:sz w:val="24"/>
          <w:szCs w:val="22"/>
        </w:rPr>
        <w:t>21</w:t>
      </w:r>
      <w:r>
        <w:rPr>
          <w:rFonts w:eastAsia="宋体" w:cs="Times New Roman" w:hint="eastAsia"/>
          <w:sz w:val="24"/>
          <w:szCs w:val="22"/>
        </w:rPr>
        <w:t>世纪教育振兴计划（</w:t>
      </w:r>
      <w:r>
        <w:rPr>
          <w:rFonts w:eastAsia="宋体" w:cs="Times New Roman" w:hint="eastAsia"/>
          <w:sz w:val="24"/>
          <w:szCs w:val="22"/>
        </w:rPr>
        <w:t>985</w:t>
      </w:r>
      <w:r>
        <w:rPr>
          <w:rFonts w:eastAsia="宋体" w:cs="Times New Roman" w:hint="eastAsia"/>
          <w:sz w:val="24"/>
          <w:szCs w:val="22"/>
        </w:rPr>
        <w:t>工程），以创建世界一流大学和高水平大学为目标，推进高校创新体系建设，加强科学研究、人才培养与高技术产业发展的有机融合。</w:t>
      </w:r>
      <w:r>
        <w:rPr>
          <w:rFonts w:eastAsia="宋体" w:cs="Times New Roman" w:hint="eastAsia"/>
          <w:sz w:val="24"/>
          <w:szCs w:val="22"/>
        </w:rPr>
        <w:t>1999</w:t>
      </w:r>
      <w:r>
        <w:rPr>
          <w:rFonts w:eastAsia="宋体" w:cs="Times New Roman" w:hint="eastAsia"/>
          <w:sz w:val="24"/>
          <w:szCs w:val="22"/>
        </w:rPr>
        <w:t>年，国家对原</w:t>
      </w:r>
      <w:r>
        <w:rPr>
          <w:rFonts w:eastAsia="宋体" w:cs="Times New Roman" w:hint="eastAsia"/>
          <w:sz w:val="24"/>
          <w:szCs w:val="22"/>
        </w:rPr>
        <w:t>10</w:t>
      </w:r>
      <w:r>
        <w:rPr>
          <w:rFonts w:eastAsia="宋体" w:cs="Times New Roman" w:hint="eastAsia"/>
          <w:sz w:val="24"/>
          <w:szCs w:val="22"/>
        </w:rPr>
        <w:t>个国家部委局所属</w:t>
      </w:r>
      <w:r>
        <w:rPr>
          <w:rFonts w:eastAsia="宋体" w:cs="Times New Roman" w:hint="eastAsia"/>
          <w:sz w:val="24"/>
          <w:szCs w:val="22"/>
        </w:rPr>
        <w:t>242</w:t>
      </w:r>
      <w:r>
        <w:rPr>
          <w:rFonts w:eastAsia="宋体" w:cs="Times New Roman" w:hint="eastAsia"/>
          <w:sz w:val="24"/>
          <w:szCs w:val="22"/>
        </w:rPr>
        <w:t>个科研机构进行企业化转制，要求从根本上解决科技与经济结合的问题；对隶属于农业、卫生、资源环境等中央部门的社会公益类科研机构进行分类改革，强化财政科技投入的国家目标导向。在中央部门科研机构改革的带动下，地方开发类和公益类机构进行了以优化结构、分流人员为重点的体制改革。为促进信息技术为代表的新兴技术及其产业化发展，国家设立科技中小型企业创业基金，建立风险投资机制，实施软件产业和集成电路产业发展的优惠政策，强化人才、技术、资金、市场等创新要素交互作用的创新网络体系，为我国产业结构升级和融入全球价值链经济提供了由小到大、由局部到整体的发展动力。</w:t>
      </w:r>
    </w:p>
    <w:p w14:paraId="7AB502DE" w14:textId="77777777" w:rsidR="004651C7" w:rsidRDefault="00BF798C">
      <w:pPr>
        <w:pStyle w:val="4"/>
      </w:pPr>
      <w:bookmarkStart w:id="28" w:name="_Toc93661653"/>
      <w:r>
        <w:rPr>
          <w:rFonts w:hint="eastAsia"/>
        </w:rPr>
        <w:t>4</w:t>
      </w:r>
      <w:r>
        <w:t>.</w:t>
      </w:r>
      <w:r>
        <w:rPr>
          <w:rFonts w:hint="eastAsia"/>
        </w:rPr>
        <w:t>“坚持自主创新、增强科技能力”系统推进期（2006—2015年）</w:t>
      </w:r>
      <w:bookmarkEnd w:id="28"/>
    </w:p>
    <w:p w14:paraId="0D3C06F2"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2006</w:t>
      </w:r>
      <w:r>
        <w:rPr>
          <w:rFonts w:eastAsia="宋体" w:cs="Times New Roman" w:hint="eastAsia"/>
          <w:sz w:val="24"/>
          <w:szCs w:val="22"/>
        </w:rPr>
        <w:t>年</w:t>
      </w:r>
      <w:r>
        <w:rPr>
          <w:rFonts w:eastAsia="宋体" w:cs="Times New Roman" w:hint="eastAsia"/>
          <w:sz w:val="24"/>
          <w:szCs w:val="22"/>
        </w:rPr>
        <w:t>1</w:t>
      </w:r>
      <w:r>
        <w:rPr>
          <w:rFonts w:eastAsia="宋体" w:cs="Times New Roman" w:hint="eastAsia"/>
          <w:sz w:val="24"/>
          <w:szCs w:val="22"/>
        </w:rPr>
        <w:t>月，《国家中长期科学和技术发展规划纲要（</w:t>
      </w:r>
      <w:r>
        <w:rPr>
          <w:rFonts w:eastAsia="宋体" w:cs="Times New Roman" w:hint="eastAsia"/>
          <w:sz w:val="24"/>
          <w:szCs w:val="22"/>
        </w:rPr>
        <w:t>2006</w:t>
      </w:r>
      <w:r>
        <w:rPr>
          <w:rFonts w:eastAsia="宋体" w:cs="Times New Roman" w:hint="eastAsia"/>
          <w:sz w:val="24"/>
          <w:szCs w:val="22"/>
        </w:rPr>
        <w:t>～</w:t>
      </w:r>
      <w:r>
        <w:rPr>
          <w:rFonts w:eastAsia="宋体" w:cs="Times New Roman" w:hint="eastAsia"/>
          <w:sz w:val="24"/>
          <w:szCs w:val="22"/>
        </w:rPr>
        <w:t>2020</w:t>
      </w:r>
      <w:r>
        <w:rPr>
          <w:rFonts w:eastAsia="宋体" w:cs="Times New Roman" w:hint="eastAsia"/>
          <w:sz w:val="24"/>
          <w:szCs w:val="22"/>
        </w:rPr>
        <w:t>年）》正式实施，明确走我国特色自主创新道路、建设创新型国家的改革开放新方向。随着国家经济实力的显著增强，全国研发投入大幅增加，科技创新成果爆发性增长。国家统筹科技资源，调整中央财政科技计划，完善科技计划管理办法。发挥集中力量办大事的制度优势，实施科技重大专项，以科技创新支撑引领战略性新兴产业培育发展和传统产业转型升级。加大对基础研究和前沿技术研究的支持力度，增强创新驱动发展的知识基础和人才储备。实施国家海外高层次人才引进计划，吸引全球战略科学家和领军人才来华创新创业；实施国家高层次人才特殊支持计划，培养造就大批杰出人才、领军人才和青年拔尖人才。在促进科技与经济更加紧密的结合方面推出一系列新举措，如实施企业研究开发费用税前加计扣除和设立支持创新型、成长型企业的我国创业板，高技术产业发展势头强劲，企业研发能力显著增强。我国科学院实施“率先行动计</w:t>
      </w:r>
      <w:r>
        <w:rPr>
          <w:rFonts w:eastAsia="宋体" w:cs="Times New Roman" w:hint="eastAsia"/>
          <w:sz w:val="24"/>
          <w:szCs w:val="22"/>
        </w:rPr>
        <w:lastRenderedPageBreak/>
        <w:t>划”，调整优化科研布局，强化重大原创成果、重大战略性技术与产品、重大示范转化工程的产出导向。</w:t>
      </w:r>
    </w:p>
    <w:p w14:paraId="52E334F9" w14:textId="77777777" w:rsidR="004651C7" w:rsidRDefault="00BF798C">
      <w:pPr>
        <w:pStyle w:val="4"/>
      </w:pPr>
      <w:bookmarkStart w:id="29" w:name="_Toc93661654"/>
      <w:r>
        <w:rPr>
          <w:rFonts w:hint="eastAsia"/>
        </w:rPr>
        <w:t>5</w:t>
      </w:r>
      <w:r>
        <w:t>.</w:t>
      </w:r>
      <w:r>
        <w:rPr>
          <w:rFonts w:hint="eastAsia"/>
        </w:rPr>
        <w:t>“加快科技创新、参与全球竞争”跃升推进期（2016年至今）</w:t>
      </w:r>
      <w:bookmarkEnd w:id="29"/>
    </w:p>
    <w:p w14:paraId="71742419"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2016</w:t>
      </w:r>
      <w:r>
        <w:rPr>
          <w:rFonts w:eastAsia="宋体" w:cs="Times New Roman" w:hint="eastAsia"/>
          <w:sz w:val="24"/>
          <w:szCs w:val="22"/>
        </w:rPr>
        <w:t>年</w:t>
      </w:r>
      <w:r>
        <w:rPr>
          <w:rFonts w:eastAsia="宋体" w:cs="Times New Roman" w:hint="eastAsia"/>
          <w:sz w:val="24"/>
          <w:szCs w:val="22"/>
        </w:rPr>
        <w:t>5</w:t>
      </w:r>
      <w:r>
        <w:rPr>
          <w:rFonts w:eastAsia="宋体" w:cs="Times New Roman" w:hint="eastAsia"/>
          <w:sz w:val="24"/>
          <w:szCs w:val="22"/>
        </w:rPr>
        <w:t>月，全国科技创新大会提出建设世界科技强国的奋斗目标。《国家创新驱动发展战略纲要》立足全局，面向全球，明确未来</w:t>
      </w:r>
      <w:r>
        <w:rPr>
          <w:rFonts w:eastAsia="宋体" w:cs="Times New Roman" w:hint="eastAsia"/>
          <w:sz w:val="24"/>
          <w:szCs w:val="22"/>
        </w:rPr>
        <w:t>30</w:t>
      </w:r>
      <w:r>
        <w:rPr>
          <w:rFonts w:eastAsia="宋体" w:cs="Times New Roman" w:hint="eastAsia"/>
          <w:sz w:val="24"/>
          <w:szCs w:val="22"/>
        </w:rPr>
        <w:t>年创新驱动发展的目标、方向和重点任务，要求在经济竞争力提升的核心关键、社会发展的紧迫需求、国家安全的重大挑战三个方面形成持续创新的系统能力，为国家繁荣发展提供战略储备、拓展战略空间。国家决定建设上海张江、安徽合肥、北京怀柔三个综合性国家科学中心，高起点强化科学创新能力；计划在重大创新领域组建一批国家实验室，打造攻坚克难、引领发展的战略科技力量；计划实施一批重大科技项目和工程，着力攻破关键核心技术，抢占事关长远和全局的科技战略制高点。决定加快建立科技咨询支撑行政决策的科技决策机制，适应新时代自主创新的技术路线多样化、市场需求不确定和研发决策复杂化等特点。重组科技部，政府职能从研发管理向创新服务转变，推动“科技与经济融合更加顺畅”。随着深化科技体制改革各项任务的逐步推进，国家创新体系整体效能不强、科技投入的产出效益不高和科研人员原创性科技创新积极性激发不充分等问题有望得到切实解决。</w:t>
      </w:r>
    </w:p>
    <w:p w14:paraId="0F99C5A7" w14:textId="77777777" w:rsidR="004651C7" w:rsidRDefault="00BF798C">
      <w:pPr>
        <w:pStyle w:val="3"/>
        <w:spacing w:before="192" w:after="240"/>
        <w:ind w:firstLine="480"/>
      </w:pPr>
      <w:bookmarkStart w:id="30" w:name="_Toc93661655"/>
      <w:bookmarkStart w:id="31" w:name="_Toc93924825"/>
      <w:r>
        <w:rPr>
          <w:rFonts w:hint="eastAsia"/>
        </w:rPr>
        <w:t>（五）我国数据要素配置现状</w:t>
      </w:r>
      <w:bookmarkEnd w:id="30"/>
      <w:bookmarkEnd w:id="31"/>
    </w:p>
    <w:p w14:paraId="194040C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人类社会正加速迈进数字经济时代，数据成为继土地、劳动力、资本、技术之后的又一新型生产要素，对经济发展、社会治理和人民生活产生重要影响。我国数据要素市场发展迅速，数据拥有量已经超过美国，且内部结构诸如硬件收入、服务收入、软件收入呈现分化趋势。但技术发展缺少核心能力，应用范围有限，市场化配置刚刚起步，总体仍处于发展初期。</w:t>
      </w:r>
    </w:p>
    <w:p w14:paraId="5102EDF6" w14:textId="77777777" w:rsidR="004651C7" w:rsidRDefault="00BF798C">
      <w:pPr>
        <w:pStyle w:val="4"/>
      </w:pPr>
      <w:bookmarkStart w:id="32" w:name="_Toc93661656"/>
      <w:r>
        <w:rPr>
          <w:rFonts w:hint="eastAsia"/>
        </w:rPr>
        <w:t>1</w:t>
      </w:r>
      <w:r>
        <w:t>.</w:t>
      </w:r>
      <w:r>
        <w:rPr>
          <w:rFonts w:hint="eastAsia"/>
        </w:rPr>
        <w:t>市场发展较为迅速</w:t>
      </w:r>
      <w:bookmarkEnd w:id="32"/>
    </w:p>
    <w:p w14:paraId="786FC903"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据国际数据公司</w:t>
      </w:r>
      <w:r>
        <w:rPr>
          <w:rFonts w:eastAsia="宋体" w:cs="Times New Roman" w:hint="eastAsia"/>
          <w:sz w:val="24"/>
          <w:szCs w:val="22"/>
        </w:rPr>
        <w:t>IDC</w:t>
      </w:r>
      <w:r>
        <w:rPr>
          <w:rFonts w:eastAsia="宋体" w:cs="Times New Roman" w:hint="eastAsia"/>
          <w:sz w:val="24"/>
          <w:szCs w:val="22"/>
        </w:rPr>
        <w:t>统计，</w:t>
      </w:r>
      <w:r>
        <w:rPr>
          <w:rFonts w:eastAsia="宋体" w:cs="Times New Roman" w:hint="eastAsia"/>
          <w:sz w:val="24"/>
          <w:szCs w:val="22"/>
        </w:rPr>
        <w:t>2011</w:t>
      </w:r>
      <w:r>
        <w:rPr>
          <w:rFonts w:eastAsia="宋体" w:cs="Times New Roman" w:hint="eastAsia"/>
          <w:sz w:val="24"/>
          <w:szCs w:val="22"/>
        </w:rPr>
        <w:t>年至</w:t>
      </w:r>
      <w:r>
        <w:rPr>
          <w:rFonts w:eastAsia="宋体" w:cs="Times New Roman" w:hint="eastAsia"/>
          <w:sz w:val="24"/>
          <w:szCs w:val="22"/>
        </w:rPr>
        <w:t>2014</w:t>
      </w:r>
      <w:r>
        <w:rPr>
          <w:rFonts w:eastAsia="宋体" w:cs="Times New Roman" w:hint="eastAsia"/>
          <w:sz w:val="24"/>
          <w:szCs w:val="22"/>
        </w:rPr>
        <w:t>年这四年间，我国大数据处于起步发展阶段，大数据的市场规模增速稳定，每年均保持在</w:t>
      </w:r>
      <w:r>
        <w:rPr>
          <w:rFonts w:eastAsia="宋体" w:cs="Times New Roman" w:hint="eastAsia"/>
          <w:sz w:val="24"/>
          <w:szCs w:val="22"/>
        </w:rPr>
        <w:t>20%</w:t>
      </w:r>
      <w:r>
        <w:rPr>
          <w:rFonts w:eastAsia="宋体" w:cs="Times New Roman" w:hint="eastAsia"/>
          <w:sz w:val="24"/>
          <w:szCs w:val="22"/>
        </w:rPr>
        <w:t>以上。</w:t>
      </w:r>
      <w:r>
        <w:rPr>
          <w:rFonts w:eastAsia="宋体" w:cs="Times New Roman" w:hint="eastAsia"/>
          <w:sz w:val="24"/>
          <w:szCs w:val="22"/>
        </w:rPr>
        <w:t>2016</w:t>
      </w:r>
      <w:r>
        <w:rPr>
          <w:rFonts w:eastAsia="宋体" w:cs="Times New Roman" w:hint="eastAsia"/>
          <w:sz w:val="24"/>
          <w:szCs w:val="22"/>
        </w:rPr>
        <w:t>年，大数据市场规模增速迎来高潮，达到</w:t>
      </w:r>
      <w:r>
        <w:rPr>
          <w:rFonts w:eastAsia="宋体" w:cs="Times New Roman" w:hint="eastAsia"/>
          <w:sz w:val="24"/>
          <w:szCs w:val="22"/>
        </w:rPr>
        <w:t>45%</w:t>
      </w:r>
      <w:r>
        <w:rPr>
          <w:rFonts w:eastAsia="宋体" w:cs="Times New Roman" w:hint="eastAsia"/>
          <w:sz w:val="24"/>
          <w:szCs w:val="22"/>
        </w:rPr>
        <w:t>。根据</w:t>
      </w:r>
      <w:r>
        <w:rPr>
          <w:rFonts w:eastAsia="宋体" w:cs="Times New Roman" w:hint="eastAsia"/>
          <w:sz w:val="24"/>
          <w:szCs w:val="22"/>
        </w:rPr>
        <w:t>IDC</w:t>
      </w:r>
      <w:r>
        <w:rPr>
          <w:rFonts w:eastAsia="宋体" w:cs="Times New Roman" w:hint="eastAsia"/>
          <w:sz w:val="24"/>
          <w:szCs w:val="22"/>
        </w:rPr>
        <w:t>预测，</w:t>
      </w:r>
      <w:r>
        <w:rPr>
          <w:rFonts w:eastAsia="宋体" w:cs="Times New Roman" w:hint="eastAsia"/>
          <w:sz w:val="24"/>
          <w:szCs w:val="22"/>
        </w:rPr>
        <w:t>2020</w:t>
      </w:r>
      <w:r>
        <w:rPr>
          <w:rFonts w:eastAsia="宋体" w:cs="Times New Roman" w:hint="eastAsia"/>
          <w:sz w:val="24"/>
          <w:szCs w:val="22"/>
        </w:rPr>
        <w:t>年中国大数据相关市场的总体收益将达到</w:t>
      </w:r>
      <w:r>
        <w:rPr>
          <w:rFonts w:eastAsia="宋体" w:cs="Times New Roman" w:hint="eastAsia"/>
          <w:sz w:val="24"/>
          <w:szCs w:val="22"/>
        </w:rPr>
        <w:t>104.2</w:t>
      </w:r>
      <w:r>
        <w:rPr>
          <w:rFonts w:eastAsia="宋体" w:cs="Times New Roman" w:hint="eastAsia"/>
          <w:sz w:val="24"/>
          <w:szCs w:val="22"/>
        </w:rPr>
        <w:t>亿美元，增幅领跑全球大数据市场。到</w:t>
      </w:r>
      <w:r>
        <w:rPr>
          <w:rFonts w:eastAsia="宋体" w:cs="Times New Roman" w:hint="eastAsia"/>
          <w:sz w:val="24"/>
          <w:szCs w:val="22"/>
        </w:rPr>
        <w:t>2025</w:t>
      </w:r>
      <w:r>
        <w:rPr>
          <w:rFonts w:eastAsia="宋体" w:cs="Times New Roman" w:hint="eastAsia"/>
          <w:sz w:val="24"/>
          <w:szCs w:val="22"/>
        </w:rPr>
        <w:t>年，我国拥有的数据量将从</w:t>
      </w:r>
      <w:r>
        <w:rPr>
          <w:rFonts w:eastAsia="宋体" w:cs="Times New Roman" w:hint="eastAsia"/>
          <w:sz w:val="24"/>
          <w:szCs w:val="22"/>
        </w:rPr>
        <w:t>7.5ZB</w:t>
      </w:r>
      <w:r>
        <w:rPr>
          <w:rFonts w:eastAsia="宋体" w:cs="Times New Roman" w:hint="eastAsia"/>
          <w:sz w:val="24"/>
          <w:szCs w:val="22"/>
        </w:rPr>
        <w:t>增长到</w:t>
      </w:r>
      <w:r>
        <w:rPr>
          <w:rFonts w:eastAsia="宋体" w:cs="Times New Roman" w:hint="eastAsia"/>
          <w:sz w:val="24"/>
          <w:szCs w:val="22"/>
        </w:rPr>
        <w:t>48.6ZB</w:t>
      </w:r>
      <w:r>
        <w:rPr>
          <w:rFonts w:eastAsia="宋体" w:cs="Times New Roman" w:hint="eastAsia"/>
          <w:sz w:val="24"/>
          <w:szCs w:val="22"/>
        </w:rPr>
        <w:t>，占全球</w:t>
      </w:r>
      <w:r>
        <w:rPr>
          <w:rFonts w:eastAsia="宋体" w:cs="Times New Roman" w:hint="eastAsia"/>
          <w:sz w:val="24"/>
          <w:szCs w:val="22"/>
        </w:rPr>
        <w:t>27.8%</w:t>
      </w:r>
      <w:r>
        <w:rPr>
          <w:rFonts w:eastAsia="宋体" w:cs="Times New Roman" w:hint="eastAsia"/>
          <w:sz w:val="24"/>
          <w:szCs w:val="22"/>
        </w:rPr>
        <w:t>，远高于美国的</w:t>
      </w:r>
      <w:r>
        <w:rPr>
          <w:rFonts w:eastAsia="宋体" w:cs="Times New Roman" w:hint="eastAsia"/>
          <w:sz w:val="24"/>
          <w:szCs w:val="22"/>
        </w:rPr>
        <w:t>17.5%</w:t>
      </w:r>
      <w:r>
        <w:rPr>
          <w:rFonts w:eastAsia="宋体" w:cs="Times New Roman" w:hint="eastAsia"/>
          <w:sz w:val="24"/>
          <w:szCs w:val="22"/>
        </w:rPr>
        <w:t>。</w:t>
      </w:r>
    </w:p>
    <w:p w14:paraId="737F5F57" w14:textId="77777777" w:rsidR="004651C7" w:rsidRDefault="00BF798C">
      <w:pPr>
        <w:pStyle w:val="4"/>
      </w:pPr>
      <w:bookmarkStart w:id="33" w:name="_Toc93661657"/>
      <w:r>
        <w:rPr>
          <w:rFonts w:hint="eastAsia"/>
        </w:rPr>
        <w:t>2</w:t>
      </w:r>
      <w:r>
        <w:t>.</w:t>
      </w:r>
      <w:r>
        <w:rPr>
          <w:rFonts w:hint="eastAsia"/>
        </w:rPr>
        <w:t>内部结构持续调整</w:t>
      </w:r>
      <w:bookmarkEnd w:id="33"/>
    </w:p>
    <w:p w14:paraId="78797221"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lastRenderedPageBreak/>
        <w:t>据</w:t>
      </w:r>
      <w:r>
        <w:rPr>
          <w:rFonts w:eastAsia="宋体" w:cs="Times New Roman" w:hint="eastAsia"/>
          <w:sz w:val="24"/>
          <w:szCs w:val="22"/>
        </w:rPr>
        <w:t>IDC</w:t>
      </w:r>
      <w:r>
        <w:rPr>
          <w:rFonts w:eastAsia="宋体" w:cs="Times New Roman" w:hint="eastAsia"/>
          <w:sz w:val="24"/>
          <w:szCs w:val="22"/>
        </w:rPr>
        <w:t>统计，大数据硬件收入（包括服务器和存储）在国内整体大数据相关收益中将继续占主导地位，占比高达</w:t>
      </w:r>
      <w:r>
        <w:rPr>
          <w:rFonts w:eastAsia="宋体" w:cs="Times New Roman" w:hint="eastAsia"/>
          <w:sz w:val="24"/>
          <w:szCs w:val="22"/>
        </w:rPr>
        <w:t>41.0%</w:t>
      </w:r>
      <w:r>
        <w:rPr>
          <w:rFonts w:eastAsia="宋体" w:cs="Times New Roman" w:hint="eastAsia"/>
          <w:sz w:val="24"/>
          <w:szCs w:val="22"/>
        </w:rPr>
        <w:t>；大数据服务收入（包括</w:t>
      </w:r>
      <w:r>
        <w:rPr>
          <w:rFonts w:eastAsia="宋体" w:cs="Times New Roman" w:hint="eastAsia"/>
          <w:sz w:val="24"/>
          <w:szCs w:val="22"/>
        </w:rPr>
        <w:t>IT</w:t>
      </w:r>
      <w:r>
        <w:rPr>
          <w:rFonts w:eastAsia="宋体" w:cs="Times New Roman" w:hint="eastAsia"/>
          <w:sz w:val="24"/>
          <w:szCs w:val="22"/>
        </w:rPr>
        <w:t>服务和商业服务）占大数据市场总收益的比重为</w:t>
      </w:r>
      <w:r>
        <w:rPr>
          <w:rFonts w:eastAsia="宋体" w:cs="Times New Roman" w:hint="eastAsia"/>
          <w:sz w:val="24"/>
          <w:szCs w:val="22"/>
        </w:rPr>
        <w:t>33.6%</w:t>
      </w:r>
      <w:r>
        <w:rPr>
          <w:rFonts w:eastAsia="宋体" w:cs="Times New Roman" w:hint="eastAsia"/>
          <w:sz w:val="24"/>
          <w:szCs w:val="22"/>
        </w:rPr>
        <w:t>；大数据软件位居第三，占大数据市场总收益的比重为</w:t>
      </w:r>
      <w:r>
        <w:rPr>
          <w:rFonts w:eastAsia="宋体" w:cs="Times New Roman" w:hint="eastAsia"/>
          <w:sz w:val="24"/>
          <w:szCs w:val="22"/>
        </w:rPr>
        <w:t>25.4%</w:t>
      </w:r>
      <w:r>
        <w:rPr>
          <w:rFonts w:eastAsia="宋体" w:cs="Times New Roman" w:hint="eastAsia"/>
          <w:sz w:val="24"/>
          <w:szCs w:val="22"/>
        </w:rPr>
        <w:t>。据</w:t>
      </w:r>
      <w:r>
        <w:rPr>
          <w:rFonts w:eastAsia="宋体" w:cs="Times New Roman" w:hint="eastAsia"/>
          <w:sz w:val="24"/>
          <w:szCs w:val="22"/>
        </w:rPr>
        <w:t>IDC</w:t>
      </w:r>
      <w:r>
        <w:rPr>
          <w:rFonts w:eastAsia="宋体" w:cs="Times New Roman" w:hint="eastAsia"/>
          <w:sz w:val="24"/>
          <w:szCs w:val="22"/>
        </w:rPr>
        <w:t>预计，</w:t>
      </w:r>
      <w:r>
        <w:rPr>
          <w:rFonts w:eastAsia="宋体" w:cs="Times New Roman" w:hint="eastAsia"/>
          <w:sz w:val="24"/>
          <w:szCs w:val="22"/>
        </w:rPr>
        <w:t>2020-2024</w:t>
      </w:r>
      <w:r>
        <w:rPr>
          <w:rFonts w:eastAsia="宋体" w:cs="Times New Roman" w:hint="eastAsia"/>
          <w:sz w:val="24"/>
          <w:szCs w:val="22"/>
        </w:rPr>
        <w:t>年中国大数据相关技术与服务市场收入规模年均增速将达到</w:t>
      </w:r>
      <w:r>
        <w:rPr>
          <w:rFonts w:eastAsia="宋体" w:cs="Times New Roman" w:hint="eastAsia"/>
          <w:sz w:val="24"/>
          <w:szCs w:val="22"/>
        </w:rPr>
        <w:t>19.0%</w:t>
      </w:r>
      <w:r>
        <w:rPr>
          <w:rFonts w:eastAsia="宋体" w:cs="Times New Roman" w:hint="eastAsia"/>
          <w:sz w:val="24"/>
          <w:szCs w:val="22"/>
        </w:rPr>
        <w:t>。随着技术的成熟与融合、以及数据应用和更多场景的落地，到</w:t>
      </w:r>
      <w:r>
        <w:rPr>
          <w:rFonts w:eastAsia="宋体" w:cs="Times New Roman" w:hint="eastAsia"/>
          <w:sz w:val="24"/>
          <w:szCs w:val="22"/>
        </w:rPr>
        <w:t>2024</w:t>
      </w:r>
      <w:r>
        <w:rPr>
          <w:rFonts w:eastAsia="宋体" w:cs="Times New Roman" w:hint="eastAsia"/>
          <w:sz w:val="24"/>
          <w:szCs w:val="22"/>
        </w:rPr>
        <w:t>年，软件收入增速更快、占比将加速提升，服务收入占比保持基本平稳增势，硬件收入占比将逐步降低。</w:t>
      </w:r>
    </w:p>
    <w:p w14:paraId="661C60FC" w14:textId="77777777" w:rsidR="004651C7" w:rsidRDefault="00BF798C">
      <w:pPr>
        <w:pStyle w:val="4"/>
      </w:pPr>
      <w:bookmarkStart w:id="34" w:name="_Toc93661658"/>
      <w:r>
        <w:rPr>
          <w:rFonts w:hint="eastAsia"/>
        </w:rPr>
        <w:t>3</w:t>
      </w:r>
      <w:r>
        <w:t>.</w:t>
      </w:r>
      <w:r>
        <w:rPr>
          <w:rFonts w:hint="eastAsia"/>
        </w:rPr>
        <w:t>技术发展缺少核心能力</w:t>
      </w:r>
      <w:bookmarkEnd w:id="34"/>
    </w:p>
    <w:p w14:paraId="69C18D45"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在技术方面，我国大数据技术发展属于“全球第一梯队”，但国产核心技术能力严重不足。我国独有的大体量应用场景和多类型实践模式，促进了大数据领域技术创新速度和能力水平，处于国际领先地位。在技术全面性上，我国平台类、管理类、应用类技术均具有大面积落地案例和研究。</w:t>
      </w:r>
    </w:p>
    <w:p w14:paraId="41557538" w14:textId="77777777" w:rsidR="004651C7" w:rsidRDefault="00BF798C">
      <w:pPr>
        <w:pStyle w:val="4"/>
      </w:pPr>
      <w:bookmarkStart w:id="35" w:name="_Toc93661659"/>
      <w:r>
        <w:rPr>
          <w:rFonts w:hint="eastAsia"/>
        </w:rPr>
        <w:t>4</w:t>
      </w:r>
      <w:r>
        <w:t>.</w:t>
      </w:r>
      <w:r>
        <w:rPr>
          <w:rFonts w:hint="eastAsia"/>
        </w:rPr>
        <w:t>应用范围和程度都很有限</w:t>
      </w:r>
      <w:bookmarkEnd w:id="35"/>
    </w:p>
    <w:p w14:paraId="067EC76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我国当下还处于“大数据”时代的早期，尽管已经具备了一定的基础，但还基本处于信息化建设阶段，应用范围和程度都很有限，与传统行业的融合还很不充分。据前瞻产业研究院，在应用规模方面，我国已经完成大数据领域的最大集群公开能力测试，达到了万台节点；在效率能力方面，我国大数据产品在国际大数据技术能力竞争平台上也取得了前几名的好成绩；在知识产权方面，我国大数据领域专利公开量约占全球的</w:t>
      </w:r>
      <w:r>
        <w:rPr>
          <w:rFonts w:eastAsia="宋体" w:cs="Times New Roman" w:hint="eastAsia"/>
          <w:sz w:val="24"/>
          <w:szCs w:val="22"/>
        </w:rPr>
        <w:t>40%</w:t>
      </w:r>
      <w:r>
        <w:rPr>
          <w:rFonts w:eastAsia="宋体" w:cs="Times New Roman" w:hint="eastAsia"/>
          <w:sz w:val="24"/>
          <w:szCs w:val="22"/>
        </w:rPr>
        <w:t>，位居世界第二。但我国大数据技术大部分为基于国外开源产品的二次改造，核心技术能力亟待加强。目前国内主流大数据平台技术中，自研比例不超过</w:t>
      </w:r>
      <w:r>
        <w:rPr>
          <w:rFonts w:eastAsia="宋体" w:cs="Times New Roman" w:hint="eastAsia"/>
          <w:sz w:val="24"/>
          <w:szCs w:val="22"/>
        </w:rPr>
        <w:t>10%</w:t>
      </w:r>
      <w:r>
        <w:rPr>
          <w:rFonts w:eastAsia="宋体" w:cs="Times New Roman" w:hint="eastAsia"/>
          <w:sz w:val="24"/>
          <w:szCs w:val="22"/>
        </w:rPr>
        <w:t>。从产业看，大数据技术应用最广泛的行业依次是金融（包括银行、保险、证券与投资）、政府以及通信，制造业领域的产业数字化进程较三产偏慢。</w:t>
      </w:r>
    </w:p>
    <w:p w14:paraId="48B57185" w14:textId="77777777" w:rsidR="004651C7" w:rsidRDefault="00BF798C">
      <w:pPr>
        <w:pStyle w:val="4"/>
      </w:pPr>
      <w:bookmarkStart w:id="36" w:name="_Toc93661660"/>
      <w:r>
        <w:rPr>
          <w:rFonts w:hint="eastAsia"/>
        </w:rPr>
        <w:t>5</w:t>
      </w:r>
      <w:r>
        <w:t>.</w:t>
      </w:r>
      <w:r>
        <w:rPr>
          <w:rFonts w:hint="eastAsia"/>
        </w:rPr>
        <w:t>市场化配置刚刚起步</w:t>
      </w:r>
      <w:bookmarkEnd w:id="36"/>
    </w:p>
    <w:p w14:paraId="73D0DBBF"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尽管已经有了相当的实际需求，但我国数据交易主要有两类方式，一种是在政府指导下运行的大数据交易所（交易中心），主要包括贵阳大数据交易所、西咸新区大数据交易所、东湖大数据交易中心、哈尔滨数据交易中心、上海数据交易中心等。另一类是市场公司组成的交易平台，主要包括中关村数海大数据交易平台、京东万象、聚合数据、数据宝等平台。无论是数据交易规模、模式的成熟度等方面还有很多问题，数据要素市场化交易还处于起步探路阶段。</w:t>
      </w:r>
    </w:p>
    <w:p w14:paraId="2E8B25D3" w14:textId="77777777" w:rsidR="004651C7" w:rsidRDefault="00BF798C">
      <w:pPr>
        <w:pStyle w:val="2"/>
        <w:ind w:firstLine="480"/>
      </w:pPr>
      <w:bookmarkStart w:id="37" w:name="_Toc93661661"/>
      <w:bookmarkStart w:id="38" w:name="_Toc93841276"/>
      <w:bookmarkStart w:id="39" w:name="_Toc93924826"/>
      <w:r>
        <w:rPr>
          <w:rFonts w:hint="eastAsia"/>
        </w:rPr>
        <w:lastRenderedPageBreak/>
        <w:t>二、高质量发展背景下配置国内外生产要素的机遇与挑战</w:t>
      </w:r>
      <w:bookmarkEnd w:id="37"/>
      <w:bookmarkEnd w:id="38"/>
      <w:bookmarkEnd w:id="39"/>
    </w:p>
    <w:p w14:paraId="2B36D7CF" w14:textId="77777777" w:rsidR="004651C7" w:rsidRDefault="00BF798C">
      <w:pPr>
        <w:pStyle w:val="3"/>
        <w:spacing w:before="192" w:after="240"/>
        <w:ind w:firstLine="480"/>
      </w:pPr>
      <w:bookmarkStart w:id="40" w:name="_Toc93661662"/>
      <w:bookmarkStart w:id="41" w:name="_Toc93924827"/>
      <w:r>
        <w:rPr>
          <w:rFonts w:hint="eastAsia"/>
        </w:rPr>
        <w:t>（一）新发展格局为国内外要素配置及整合带来的机遇</w:t>
      </w:r>
      <w:bookmarkEnd w:id="40"/>
      <w:bookmarkEnd w:id="41"/>
    </w:p>
    <w:p w14:paraId="7201F6F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我国正处在全面建设社会主义现代化国家、向第二个百年奋斗目标进军的新发展阶段。新发展阶段贯彻新发展理念、实现高质量发展的必经之路就是构建新发展格局。新发展格局是对“十四五”和未来更长时期我国经济发展战略、路径做出的重大调整完善，是着眼于我国长远发展和长治久安做出的重大战略部署，对于我国实现更高质量、更有效率、更加公平、更可持续、更为安全的发展，促进世界经济繁荣，都会产生重要而深远的影响。</w:t>
      </w:r>
    </w:p>
    <w:p w14:paraId="506C489B"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构建以国内大循环为主体、国内国际双循环相互促进的新发展格局，主要以推动高质量发展为主题，以深化供给侧结构性改革为主线，以改革创新为根本动力，关键在于实现经济循环流转和产业关联畅通；根本要求是提升供给体系的创新力和关联性，解决各类“卡脖子”和瓶颈问题，畅通国民经济循环。深入理解新发展格局的内涵，科学指导实践，需要把握好几个重大关系。一是从供给和需求的关系看，要坚持深化供给侧结构性改革这条主线，在坚持以供给侧结构性改革为主线的过程中，要高度重视需求侧管理，坚持扩大内需这个战略基点。二是从国内大循环与国内国际双循环的关系看，国内循环是基础，两者是统一体。三是从深化改革和推动发展的关系看，构建新发展格局必须全面深化改革。</w:t>
      </w:r>
    </w:p>
    <w:p w14:paraId="652A4B48" w14:textId="77777777" w:rsidR="004651C7" w:rsidRDefault="00BF798C">
      <w:pPr>
        <w:pStyle w:val="4"/>
      </w:pPr>
      <w:bookmarkStart w:id="42" w:name="_Toc93661663"/>
      <w:r>
        <w:rPr>
          <w:rFonts w:hint="eastAsia"/>
        </w:rPr>
        <w:t>1</w:t>
      </w:r>
      <w:r>
        <w:t>.</w:t>
      </w:r>
      <w:r>
        <w:rPr>
          <w:rFonts w:hint="eastAsia"/>
        </w:rPr>
        <w:t>内需释放更加有力</w:t>
      </w:r>
      <w:bookmarkEnd w:id="42"/>
    </w:p>
    <w:p w14:paraId="2296F55B"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我国将加快培育完整内需体系，把实施扩大内需战略同深化供给侧结构性改革有机结合起来，依托强大国内市场，贯通生产、分配、流通、消费各环节，增强消费对经济发展的基础性作用，优化投资结构，保持投资合理增长，发挥投资对优化供给结构的关键作用。新格局构建将进一步推动消费升级，提升传统消费，培育新型消费；我国消费绿色、健康、安全发展特征更加明显，消费新模式新业态发展动力日趋强劲；汽车、住房等主要消费龙头市场将健康运行；服务消费潜力不断释放，并逐步成为居民消费的重要领域。新格局构建将带动投资有效需求提升，基础设施、市政工程、农业农村、公共安全、生态环保、公共卫生、物资储备、防灾减灾、民生保障等领域短板逐步补齐，企业设备更新和技术改造投资提速，战略性新兴产业投资不断扩大；新型基础设施、新型城镇化、交通水利等重大工程建设将成为新格局构建过程中的重点领域，一批铁路、公路、水利、能源交通项目有望推进实施。以国内大循环为</w:t>
      </w:r>
      <w:r>
        <w:rPr>
          <w:rFonts w:eastAsia="宋体" w:cs="Times New Roman" w:hint="eastAsia"/>
          <w:sz w:val="24"/>
          <w:szCs w:val="22"/>
        </w:rPr>
        <w:lastRenderedPageBreak/>
        <w:t>主体，国内国际双循环相互促进的新发展格局的形成，将进一步扩大国内需求，激发经济发展动力和活力。</w:t>
      </w:r>
    </w:p>
    <w:p w14:paraId="144F62A0" w14:textId="77777777" w:rsidR="004651C7" w:rsidRDefault="00BF798C">
      <w:pPr>
        <w:pStyle w:val="4"/>
      </w:pPr>
      <w:bookmarkStart w:id="43" w:name="_Toc93661664"/>
      <w:r>
        <w:rPr>
          <w:rFonts w:hint="eastAsia"/>
        </w:rPr>
        <w:t>2</w:t>
      </w:r>
      <w:r>
        <w:t>.</w:t>
      </w:r>
      <w:r>
        <w:rPr>
          <w:rFonts w:hint="eastAsia"/>
        </w:rPr>
        <w:t>科技创新体系更加完善</w:t>
      </w:r>
      <w:bookmarkEnd w:id="43"/>
    </w:p>
    <w:p w14:paraId="4487614D"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加快科技自立自强成为畅通国内大循环、塑造我国在国际大循环中主动地位的关键，科技要素对国民经济的支撑作用显著增强。在新发展格局构建过程中，我国将强化国家战略科技力量，发扬科学家精神，鼓励大胆探索和合理质疑，加强基础研究、注重原始创新。我国科技革命和产业变革不断深化、叠代演进，研发经费投入强度持续加大，重大科技应用场景增多，重点领域技术创新步伐加快。国内多技术簇群相互支撑、齐头并进的链式变革趋势进一步巩固，技术演进从导入期进入拓展期，信息技术、生物技术、新能源技术、新材料技术、智能制造技术等领域已成为引领科技创新、带动产业变革的重点方向。新发展格局的构建将促使我国科技革命和产业变革在更高水平、更宽领域、更深层次上加速发展。以互联网、大数据、云计算、人工智能、区块链等为代表的新技术与实体经济融合更加紧密，产业数字化转型将深入发展，成为引领产业发展和传统产业改造升级的先导力量。部分重要领域将实现由“跟跑者”向“并行者”、“领跑者”转变。前瞻性基础研究、引领性科创成果有望取得实质性突破；关键共性技术、前沿核心技术、现代工程技术有望取得颠覆性技术创新成就；重点创新区域具有较好的人才基础、技术基础和产业基础，有能力、有条件在技术研发和产业应用上率先实现突破。</w:t>
      </w:r>
    </w:p>
    <w:p w14:paraId="18ACA443" w14:textId="77777777" w:rsidR="004651C7" w:rsidRDefault="00BF798C">
      <w:pPr>
        <w:pStyle w:val="4"/>
      </w:pPr>
      <w:bookmarkStart w:id="44" w:name="_Toc93661665"/>
      <w:r>
        <w:rPr>
          <w:rFonts w:hint="eastAsia"/>
        </w:rPr>
        <w:t>3</w:t>
      </w:r>
      <w:r>
        <w:t>.</w:t>
      </w:r>
      <w:r>
        <w:rPr>
          <w:rFonts w:hint="eastAsia"/>
        </w:rPr>
        <w:t>全面深化改革持续推进</w:t>
      </w:r>
      <w:bookmarkEnd w:id="44"/>
    </w:p>
    <w:p w14:paraId="32265749"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新发展格局的构建要求运用改革思维和改革办法，形成充满活力的市场主体，建立有效的激励机制，营造鼓励创新的制度环境，扫除阻碍国内大循环和国内国际双循环畅通的制度、观念和利益羁绊，破除妨碍生产要素市场化配置和商品服务流通的体制机制障碍，形成高效规范、公平竞争、充分开放的国内统一大市场，形成高标准的市场化、法治化、国际化营商环境，降低全社会交易成本，构建高水平社会主义市场经济体制，实现社会生产力大发展。我国已经开启全面深化改革和扩大开放的伟大进程，未来经济、政治、文化、社会、生态文明、治理体系等重大改革将加快推进。这些改革涉及更深层次和更广范围的利益关系调整，体现出更强的系统性、整体性和协同性。体制机制障碍不断得到破除，市场和企业的活力得到更大激发，高质量发展基础变得更加坚实，社会主义市场经济体制和中国特色社会主义制度更加完善。</w:t>
      </w:r>
    </w:p>
    <w:p w14:paraId="03EF6729" w14:textId="77777777" w:rsidR="004651C7" w:rsidRDefault="00BF798C">
      <w:pPr>
        <w:pStyle w:val="4"/>
      </w:pPr>
      <w:bookmarkStart w:id="45" w:name="_Toc93661666"/>
      <w:r>
        <w:rPr>
          <w:rFonts w:hint="eastAsia"/>
        </w:rPr>
        <w:lastRenderedPageBreak/>
        <w:t>4</w:t>
      </w:r>
      <w:r>
        <w:t>.</w:t>
      </w:r>
      <w:r>
        <w:rPr>
          <w:rFonts w:hint="eastAsia"/>
        </w:rPr>
        <w:t>更高水平开放型经济新体制进一步健全</w:t>
      </w:r>
      <w:bookmarkEnd w:id="45"/>
    </w:p>
    <w:p w14:paraId="125548F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促进国内国际双循环，我国将发挥比较优势，协同推进强大国内市场和贸易强国建设，以国内大循环吸引全球资源要素，充分利用国内国际两个市场两种资源，积极促进内需和外需、进口和出口、引进外资和对外投资协调发展，促进国际收支基本平衡。我国内外贸一体化进程将提速，更大范围、更宽领域、更深层次的对外开放加快推进，高水平开放型经济新体制不断完善。我国将继续放宽市场准入领域，降低外资准入门槛，市场化、法治化、国际化营商环境日趋完善；我国积极参与全球经济治理体系改革，商品和要素流动型开放向规则、规制、管理、标准等制度型开放转变，国际话语权进一步提升；若干重大对外开放新平台加快建设，我国将在内外空间的拓展中推动形成陆海内外联动、东西双向互济的开放格局。扩大开放新红利将积极导入世界先进的技术、管理、人才和机制等要素，进一步提高我国国际竞争力。</w:t>
      </w:r>
    </w:p>
    <w:p w14:paraId="6CDDFB7B" w14:textId="77777777" w:rsidR="004651C7" w:rsidRDefault="00BF798C">
      <w:pPr>
        <w:pStyle w:val="4"/>
      </w:pPr>
      <w:bookmarkStart w:id="46" w:name="_Toc93661667"/>
      <w:r>
        <w:rPr>
          <w:rFonts w:hint="eastAsia"/>
        </w:rPr>
        <w:t>5</w:t>
      </w:r>
      <w:r>
        <w:t>.</w:t>
      </w:r>
      <w:r>
        <w:rPr>
          <w:rFonts w:hint="eastAsia"/>
        </w:rPr>
        <w:t>公共服务能力显著增强</w:t>
      </w:r>
      <w:bookmarkEnd w:id="46"/>
    </w:p>
    <w:p w14:paraId="1B059B44"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中等收入群体的扩大对于形成强大国内市场、拉动结构升级具有基础作用。新发展格局坚持以人民为中心，扩大就业容量，提升就业质量，实施以按劳分配为主体、多种分配方式并存的收入分配方式。全国人民将在新发展理念的引导下逐步实现共同富裕，尊重劳动、尊重知识、尊重人才、尊重创造蔚然成风，各类生产要素由市场评价贡献、按贡献决定报酬机制的制度进一步完善健全，营商环境持续优化，大中小微各类企业和个体工商户健康发展。</w:t>
      </w:r>
    </w:p>
    <w:p w14:paraId="412243AA" w14:textId="77777777" w:rsidR="004651C7" w:rsidRDefault="00BF798C">
      <w:pPr>
        <w:pStyle w:val="3"/>
        <w:spacing w:before="192" w:after="240"/>
        <w:ind w:firstLine="480"/>
      </w:pPr>
      <w:bookmarkStart w:id="47" w:name="_Toc93661668"/>
      <w:bookmarkStart w:id="48" w:name="_Toc93924828"/>
      <w:r>
        <w:rPr>
          <w:rFonts w:hint="eastAsia"/>
        </w:rPr>
        <w:t>（二）新发展格局对国内外要素配置及整合提出的挑战</w:t>
      </w:r>
      <w:bookmarkEnd w:id="47"/>
      <w:bookmarkEnd w:id="48"/>
    </w:p>
    <w:p w14:paraId="5A8AA0EE" w14:textId="77777777" w:rsidR="004651C7" w:rsidRDefault="00BF798C">
      <w:pPr>
        <w:pStyle w:val="4"/>
      </w:pPr>
      <w:bookmarkStart w:id="49" w:name="_Toc93661669"/>
      <w:r>
        <w:rPr>
          <w:rFonts w:hint="eastAsia"/>
        </w:rPr>
        <w:t>1</w:t>
      </w:r>
      <w:r>
        <w:t>.</w:t>
      </w:r>
      <w:r>
        <w:rPr>
          <w:rFonts w:hint="eastAsia"/>
        </w:rPr>
        <w:t>外部需求不确定性增强</w:t>
      </w:r>
      <w:bookmarkEnd w:id="49"/>
    </w:p>
    <w:p w14:paraId="134CB1F1"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新冠肺炎疫情重创了世界经济，暴露了全球产业链供应链的脆弱性，引发贸易保护主义等逆全球化升级，促使美国积极推动经济“脱钩”。未来，各国会将更多经济问题与安全问题结合考虑，在维护经济安全方面投入更多资源，将从战略高度更加关注贸易、投资、金融和科技等领域安全。全球贸易投资保护主义将有可能更加高涨，全球产业布局调整不可避免，原有国际格局、世界秩序的对立冲突加剧。我国外部环境更加严峻复杂，对外贸易面临的不确定性增强。</w:t>
      </w:r>
    </w:p>
    <w:p w14:paraId="0053181D" w14:textId="77777777" w:rsidR="004651C7" w:rsidRDefault="00BF798C">
      <w:pPr>
        <w:pStyle w:val="4"/>
      </w:pPr>
      <w:bookmarkStart w:id="50" w:name="_Toc93661670"/>
      <w:r>
        <w:rPr>
          <w:rFonts w:hint="eastAsia"/>
        </w:rPr>
        <w:t>2</w:t>
      </w:r>
      <w:r>
        <w:t>.</w:t>
      </w:r>
      <w:r>
        <w:rPr>
          <w:rFonts w:hint="eastAsia"/>
        </w:rPr>
        <w:t>科技战略对抗升级</w:t>
      </w:r>
      <w:bookmarkEnd w:id="50"/>
    </w:p>
    <w:p w14:paraId="0ED0AE6F"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部分国家打造“经济繁荣网络”，并利用金融和科技优势对其他国家进行打压遏制。美国、欧洲大国在高科技产业领域保护心态加剧，疫情后或采取更多投资并购限</w:t>
      </w:r>
      <w:r>
        <w:rPr>
          <w:rFonts w:eastAsia="宋体" w:cs="Times New Roman" w:hint="eastAsia"/>
          <w:sz w:val="24"/>
          <w:szCs w:val="22"/>
        </w:rPr>
        <w:lastRenderedPageBreak/>
        <w:t>制措施，将人工智能、机器人、半导体、两用技术、网络安全、量子技术、国防、储能、纳米科技或生物技术列为核心技术，划入外资审查的重要标准。同时，部分国家设限科技人才交流，如美国一方面限制先进材料、高科技芯片、人工智能等领域的博士生及博士后研究人员赴美留学、交流学习；另一方面对前往美参加敏感领域会议或交流的科研人员限制发放签证，等等。科技传播受阻将影响我国在世界范围内获取科技红利、人力资本红利，进一步影响产业领域要素配置，不利于全要素生产率提升。</w:t>
      </w:r>
    </w:p>
    <w:p w14:paraId="76C09E02" w14:textId="77777777" w:rsidR="004651C7" w:rsidRDefault="00BF798C">
      <w:pPr>
        <w:pStyle w:val="4"/>
      </w:pPr>
      <w:bookmarkStart w:id="51" w:name="_Toc93661671"/>
      <w:r>
        <w:rPr>
          <w:rFonts w:hint="eastAsia"/>
        </w:rPr>
        <w:t>3</w:t>
      </w:r>
      <w:r>
        <w:t>.</w:t>
      </w:r>
      <w:r>
        <w:rPr>
          <w:rFonts w:hint="eastAsia"/>
        </w:rPr>
        <w:t>国际经济治理体系变革提速</w:t>
      </w:r>
      <w:bookmarkEnd w:id="51"/>
    </w:p>
    <w:p w14:paraId="567A9816"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危机冲击和疫情影响深刻改变了国际力量对比，英国“脱欧”、全球保护主义和民粹主义思潮严重影响世界秩序和国际政经格局变化。叠加新冠肺炎疫情影响，未来国际秩序将会变得更加区域化和碎片化。“全面与进步跨太平洋伙伴关系协定”（</w:t>
      </w:r>
      <w:r>
        <w:rPr>
          <w:rFonts w:eastAsia="宋体" w:cs="Times New Roman" w:hint="eastAsia"/>
          <w:sz w:val="24"/>
          <w:szCs w:val="22"/>
        </w:rPr>
        <w:t>CPTPP</w:t>
      </w:r>
      <w:r>
        <w:rPr>
          <w:rFonts w:eastAsia="宋体" w:cs="Times New Roman" w:hint="eastAsia"/>
          <w:sz w:val="24"/>
          <w:szCs w:val="22"/>
        </w:rPr>
        <w:t>）、欧日“经济伙伴关系协定”（</w:t>
      </w:r>
      <w:r>
        <w:rPr>
          <w:rFonts w:eastAsia="宋体" w:cs="Times New Roman" w:hint="eastAsia"/>
          <w:sz w:val="24"/>
          <w:szCs w:val="22"/>
        </w:rPr>
        <w:t>EPA</w:t>
      </w:r>
      <w:r>
        <w:rPr>
          <w:rFonts w:eastAsia="宋体" w:cs="Times New Roman" w:hint="eastAsia"/>
          <w:sz w:val="24"/>
          <w:szCs w:val="22"/>
        </w:rPr>
        <w:t>）以及“美国</w:t>
      </w:r>
      <w:r>
        <w:rPr>
          <w:rFonts w:eastAsia="宋体" w:cs="Times New Roman" w:hint="eastAsia"/>
          <w:sz w:val="24"/>
          <w:szCs w:val="22"/>
        </w:rPr>
        <w:t>-</w:t>
      </w:r>
      <w:r>
        <w:rPr>
          <w:rFonts w:eastAsia="宋体" w:cs="Times New Roman" w:hint="eastAsia"/>
          <w:sz w:val="24"/>
          <w:szCs w:val="22"/>
        </w:rPr>
        <w:t>墨西哥</w:t>
      </w:r>
      <w:r>
        <w:rPr>
          <w:rFonts w:eastAsia="宋体" w:cs="Times New Roman" w:hint="eastAsia"/>
          <w:sz w:val="24"/>
          <w:szCs w:val="22"/>
        </w:rPr>
        <w:t>-</w:t>
      </w:r>
      <w:r>
        <w:rPr>
          <w:rFonts w:eastAsia="宋体" w:cs="Times New Roman" w:hint="eastAsia"/>
          <w:sz w:val="24"/>
          <w:szCs w:val="22"/>
        </w:rPr>
        <w:t>加拿大协定”（</w:t>
      </w:r>
      <w:r>
        <w:rPr>
          <w:rFonts w:eastAsia="宋体" w:cs="Times New Roman" w:hint="eastAsia"/>
          <w:sz w:val="24"/>
          <w:szCs w:val="22"/>
        </w:rPr>
        <w:t>USMCA</w:t>
      </w:r>
      <w:r>
        <w:rPr>
          <w:rFonts w:eastAsia="宋体" w:cs="Times New Roman" w:hint="eastAsia"/>
          <w:sz w:val="24"/>
          <w:szCs w:val="22"/>
        </w:rPr>
        <w:t>）等超大型自贸协定先后签署，以各类双边、诸边为主的区域性经贸协定以及区域合作治理机制成为全球治理体系变革的重要方向。未来上合组织、金砖国家组织等新兴市场国家合作平台以及东盟、非盟等地区合作机制的作用将不断增强，在处理区域和地区事务中发挥越来越重要的作用。国际治理体系的区域化、碎片化，将影响我国要素全球化配置，导致要素流动和布局相应出现调整。</w:t>
      </w:r>
    </w:p>
    <w:p w14:paraId="38295C7C" w14:textId="77777777" w:rsidR="004651C7" w:rsidRDefault="00BF798C">
      <w:pPr>
        <w:pStyle w:val="3"/>
        <w:spacing w:before="192" w:after="240"/>
        <w:ind w:firstLine="480"/>
      </w:pPr>
      <w:bookmarkStart w:id="52" w:name="_Toc93661672"/>
      <w:bookmarkStart w:id="53" w:name="_Toc93924829"/>
      <w:r>
        <w:rPr>
          <w:rFonts w:hint="eastAsia"/>
        </w:rPr>
        <w:t>（三）新发展格局下各类要素配置及整合面临的机遇挑战</w:t>
      </w:r>
      <w:bookmarkEnd w:id="52"/>
      <w:bookmarkEnd w:id="53"/>
    </w:p>
    <w:p w14:paraId="25CDC861" w14:textId="77777777" w:rsidR="004651C7" w:rsidRDefault="00BF798C">
      <w:pPr>
        <w:pStyle w:val="4"/>
      </w:pPr>
      <w:bookmarkStart w:id="54" w:name="_Toc93661673"/>
      <w:r>
        <w:rPr>
          <w:rFonts w:hint="eastAsia"/>
        </w:rPr>
        <w:t>1</w:t>
      </w:r>
      <w:r>
        <w:t>.</w:t>
      </w:r>
      <w:r>
        <w:rPr>
          <w:rFonts w:hint="eastAsia"/>
        </w:rPr>
        <w:t>要素服务国内市场的整体效能有望进一步改善</w:t>
      </w:r>
      <w:bookmarkEnd w:id="54"/>
    </w:p>
    <w:p w14:paraId="628D0814"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新发展格局立足国内，充分挖掘内需潜力，着力形成内需为主导、内部可循环的发展格局。新发展格局下，要素配置及整合的导向将从服务外需、满足国外市场稳步转向服务内需、满足国内市场，这意味着要素服务国内市场的整体效能将得到明显改善。在政策的引导下，要素资源将优先导向国内经济发展不平衡不充分的领域，以达到填平补齐此前市场和资源“两头在外”的发展格局下形成的薄弱环节。比如，外贸出口单位受益于用地、融资、税费、偏低汇率等要素支持，在与内贸部门的竞争中长期处于优势地位，发展明显更好，这也导致小微企业、个体工商户发展相对困难。又如，内陆地区经济发展将受益于国内大循环，加快缩小与沿海地区、沿江沿河地区的差距。</w:t>
      </w:r>
    </w:p>
    <w:p w14:paraId="577BD51C" w14:textId="77777777" w:rsidR="004651C7" w:rsidRDefault="00BF798C">
      <w:pPr>
        <w:pStyle w:val="4"/>
      </w:pPr>
      <w:bookmarkStart w:id="55" w:name="_Toc93661674"/>
      <w:r>
        <w:rPr>
          <w:rFonts w:hint="eastAsia"/>
        </w:rPr>
        <w:t>2</w:t>
      </w:r>
      <w:r>
        <w:t>.</w:t>
      </w:r>
      <w:r>
        <w:rPr>
          <w:rFonts w:hint="eastAsia"/>
        </w:rPr>
        <w:t>全球要素资源整合创新能力有望实现提升</w:t>
      </w:r>
      <w:bookmarkEnd w:id="55"/>
    </w:p>
    <w:p w14:paraId="44AB77F3"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我国拥有</w:t>
      </w:r>
      <w:r>
        <w:rPr>
          <w:rFonts w:eastAsia="宋体" w:cs="Times New Roman" w:hint="eastAsia"/>
          <w:sz w:val="24"/>
          <w:szCs w:val="22"/>
        </w:rPr>
        <w:t>1</w:t>
      </w:r>
      <w:r>
        <w:rPr>
          <w:rFonts w:eastAsia="宋体" w:cs="Times New Roman"/>
          <w:sz w:val="24"/>
          <w:szCs w:val="22"/>
        </w:rPr>
        <w:t>4</w:t>
      </w:r>
      <w:r>
        <w:rPr>
          <w:rFonts w:eastAsia="宋体" w:cs="Times New Roman" w:hint="eastAsia"/>
          <w:sz w:val="24"/>
          <w:szCs w:val="22"/>
        </w:rPr>
        <w:t>亿人口，</w:t>
      </w:r>
      <w:r>
        <w:rPr>
          <w:rFonts w:eastAsia="宋体" w:cs="Times New Roman" w:hint="eastAsia"/>
          <w:sz w:val="24"/>
          <w:szCs w:val="22"/>
        </w:rPr>
        <w:t>4</w:t>
      </w:r>
      <w:r>
        <w:rPr>
          <w:rFonts w:eastAsia="宋体" w:cs="Times New Roman" w:hint="eastAsia"/>
          <w:sz w:val="24"/>
          <w:szCs w:val="22"/>
        </w:rPr>
        <w:t>亿多中等收入人群，商品零售额即将超过美国，位居世</w:t>
      </w:r>
      <w:r>
        <w:rPr>
          <w:rFonts w:eastAsia="宋体" w:cs="Times New Roman" w:hint="eastAsia"/>
          <w:sz w:val="24"/>
          <w:szCs w:val="22"/>
        </w:rPr>
        <w:lastRenderedPageBreak/>
        <w:t>界首位，今后还有稳步增长空间。自</w:t>
      </w:r>
      <w:r>
        <w:rPr>
          <w:rFonts w:eastAsia="宋体" w:cs="Times New Roman" w:hint="eastAsia"/>
          <w:sz w:val="24"/>
          <w:szCs w:val="22"/>
        </w:rPr>
        <w:t>2010</w:t>
      </w:r>
      <w:r>
        <w:rPr>
          <w:rFonts w:eastAsia="宋体" w:cs="Times New Roman" w:hint="eastAsia"/>
          <w:sz w:val="24"/>
          <w:szCs w:val="22"/>
        </w:rPr>
        <w:t>年以来，我国制造业增加值已连续</w:t>
      </w:r>
      <w:r>
        <w:rPr>
          <w:rFonts w:eastAsia="宋体" w:cs="Times New Roman" w:hint="eastAsia"/>
          <w:sz w:val="24"/>
          <w:szCs w:val="22"/>
        </w:rPr>
        <w:t>11</w:t>
      </w:r>
      <w:r>
        <w:rPr>
          <w:rFonts w:eastAsia="宋体" w:cs="Times New Roman" w:hint="eastAsia"/>
          <w:sz w:val="24"/>
          <w:szCs w:val="22"/>
        </w:rPr>
        <w:t>年位居世界第一，占全球比重接近</w:t>
      </w:r>
      <w:r>
        <w:rPr>
          <w:rFonts w:eastAsia="宋体" w:cs="Times New Roman" w:hint="eastAsia"/>
          <w:sz w:val="24"/>
          <w:szCs w:val="22"/>
        </w:rPr>
        <w:t>30%</w:t>
      </w:r>
      <w:r>
        <w:rPr>
          <w:rFonts w:eastAsia="宋体" w:cs="Times New Roman" w:hint="eastAsia"/>
          <w:sz w:val="24"/>
          <w:szCs w:val="22"/>
        </w:rPr>
        <w:t>。作为世界上工业体系最为健全的国家，在</w:t>
      </w:r>
      <w:r>
        <w:rPr>
          <w:rFonts w:eastAsia="宋体" w:cs="Times New Roman" w:hint="eastAsia"/>
          <w:sz w:val="24"/>
          <w:szCs w:val="22"/>
        </w:rPr>
        <w:t>500</w:t>
      </w:r>
      <w:r>
        <w:rPr>
          <w:rFonts w:eastAsia="宋体" w:cs="Times New Roman" w:hint="eastAsia"/>
          <w:sz w:val="24"/>
          <w:szCs w:val="22"/>
        </w:rPr>
        <w:t>种主要工业产品中，我国有</w:t>
      </w:r>
      <w:r>
        <w:rPr>
          <w:rFonts w:eastAsia="宋体" w:cs="Times New Roman" w:hint="eastAsia"/>
          <w:sz w:val="24"/>
          <w:szCs w:val="22"/>
        </w:rPr>
        <w:t>40%</w:t>
      </w:r>
      <w:r>
        <w:rPr>
          <w:rFonts w:eastAsia="宋体" w:cs="Times New Roman" w:hint="eastAsia"/>
          <w:sz w:val="24"/>
          <w:szCs w:val="22"/>
        </w:rPr>
        <w:t>以上产品的产量居世界第一。可以预见，不远的将来，我国作为世界第一大消费国和第一大生产国，将为全球生产要素提供巨大的用场，成为全球要素的最大引力场。基于国内大市场形成的强大生产能力，我国将能够促进全球要素资源整合创新，使规模效应和集聚效应得到最大化的发挥。</w:t>
      </w:r>
    </w:p>
    <w:p w14:paraId="01258AE2" w14:textId="77777777" w:rsidR="004651C7" w:rsidRDefault="00BF798C">
      <w:pPr>
        <w:pStyle w:val="4"/>
      </w:pPr>
      <w:bookmarkStart w:id="56" w:name="_Toc93661675"/>
      <w:r>
        <w:rPr>
          <w:rFonts w:hint="eastAsia"/>
        </w:rPr>
        <w:t>3</w:t>
      </w:r>
      <w:r>
        <w:t>.</w:t>
      </w:r>
      <w:r>
        <w:rPr>
          <w:rFonts w:hint="eastAsia"/>
        </w:rPr>
        <w:t>要素全球配置的传统风险有望得到管控</w:t>
      </w:r>
      <w:bookmarkEnd w:id="56"/>
    </w:p>
    <w:p w14:paraId="184DBF45"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新发展格局更加注重统筹发展与安全，强调牢牢守住安全发展这条底线。这就要求在进行要素全球配置的同时，更加注重要素供应和使用面临的风险，增强自主可控能力。既要防止要素资源过度依赖国外供应，面临断供风险，也要防止要素资源形成的国内生产能力过度依赖国外市场，面临国际贸易保护主义风险，还要防止我国对外投资目的地过于集中衍生的风险。这意味着，我国要素配置将更多依托国内大循环，更好实现自主可控、安全使用。</w:t>
      </w:r>
    </w:p>
    <w:p w14:paraId="79AF7243" w14:textId="77777777" w:rsidR="004651C7" w:rsidRDefault="00BF798C">
      <w:pPr>
        <w:pStyle w:val="4"/>
      </w:pPr>
      <w:bookmarkStart w:id="57" w:name="_Toc93661676"/>
      <w:r>
        <w:rPr>
          <w:rFonts w:hint="eastAsia"/>
        </w:rPr>
        <w:t>4</w:t>
      </w:r>
      <w:r>
        <w:t>.</w:t>
      </w:r>
      <w:r>
        <w:rPr>
          <w:rFonts w:hint="eastAsia"/>
        </w:rPr>
        <w:t>统筹利用国外要素的非传统风险大幅提升</w:t>
      </w:r>
      <w:bookmarkEnd w:id="57"/>
    </w:p>
    <w:p w14:paraId="5ABF6285"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当今世界正在经历百年未有之大变局，时代之变和世纪疫情相互叠加，世界进入新的动荡变革期。制约统筹利用国内国外两种要素的因素已经不再局限于经济层面，政治层面、地缘冲突等非传统风险大幅提升，对各类要素国际间流动造成不利影响。究其根源，与经济全球化伴生而出的国家间发展鸿沟扩大，各国利益诉求日益多元，导致背离经济全球化、一体化的离心力越来越大，进而从经济层面的贸易保护主义延伸到政治层面的大国战略博弈。此外，公共卫生、全球升温导致的自然灾害频发等非传统风险也在大幅攀升。</w:t>
      </w:r>
    </w:p>
    <w:p w14:paraId="7B337961" w14:textId="77777777" w:rsidR="004651C7" w:rsidRDefault="00BF798C">
      <w:pPr>
        <w:pStyle w:val="4"/>
      </w:pPr>
      <w:bookmarkStart w:id="58" w:name="_Toc93661677"/>
      <w:r>
        <w:t>5.</w:t>
      </w:r>
      <w:r>
        <w:rPr>
          <w:rFonts w:hint="eastAsia"/>
        </w:rPr>
        <w:t>顶级活跃要素的可获得难度大幅攀升</w:t>
      </w:r>
      <w:bookmarkEnd w:id="58"/>
    </w:p>
    <w:p w14:paraId="00C4821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总体上看，顶级科技、人才等活跃要素的全球分布仍是西强东弱，国际性人才流动仍呈现出明显的从南流向北、从东流向西的趋势，从经济因素看，主要是从发展中国家流向较发达国家和发达国家，从较发达国家流向发达国家，从发达国家流向少数前沿发达国家。美国仍是最大的顶尖科技、顶尖人才聚集地。中美战略对抗大背景下，随着美国严控技术对华出口，严管顶尖人才赴华交流及人才双边交流，我国从美国直接引进高精尖技术、顶级人才的难度明显提升，利用美教育科技资源培养人才的通道也基本关闭，借道其他国家间接学习美先进技术的难度和法律风险也大幅提高。</w:t>
      </w:r>
      <w:r>
        <w:rPr>
          <w:rFonts w:eastAsia="宋体" w:cs="Times New Roman" w:hint="eastAsia"/>
          <w:sz w:val="24"/>
          <w:szCs w:val="22"/>
        </w:rPr>
        <w:lastRenderedPageBreak/>
        <w:t>整体上看，顶级活跃要素的可获得难度呈现攀升趋势。</w:t>
      </w:r>
    </w:p>
    <w:p w14:paraId="0DC06064" w14:textId="77777777" w:rsidR="004651C7" w:rsidRDefault="00BF798C">
      <w:pPr>
        <w:pStyle w:val="2"/>
        <w:ind w:firstLine="480"/>
      </w:pPr>
      <w:bookmarkStart w:id="59" w:name="_Toc93661678"/>
      <w:bookmarkStart w:id="60" w:name="_Toc93841277"/>
      <w:bookmarkStart w:id="61" w:name="_Toc93924830"/>
      <w:r>
        <w:rPr>
          <w:rFonts w:hint="eastAsia"/>
        </w:rPr>
        <w:t>三、我国要素配置领域存在的问题分析</w:t>
      </w:r>
      <w:bookmarkEnd w:id="59"/>
      <w:bookmarkEnd w:id="60"/>
      <w:bookmarkEnd w:id="61"/>
    </w:p>
    <w:p w14:paraId="283E853E" w14:textId="77777777" w:rsidR="004651C7" w:rsidRDefault="00BF798C">
      <w:pPr>
        <w:pStyle w:val="3"/>
        <w:spacing w:before="192" w:after="240"/>
        <w:ind w:firstLine="480"/>
      </w:pPr>
      <w:bookmarkStart w:id="62" w:name="_Toc93661679"/>
      <w:bookmarkStart w:id="63" w:name="_Toc93924831"/>
      <w:r>
        <w:rPr>
          <w:rFonts w:hint="eastAsia"/>
        </w:rPr>
        <w:t>（一）土地要素配置领域存在的短板弱项</w:t>
      </w:r>
      <w:bookmarkEnd w:id="62"/>
      <w:bookmarkEnd w:id="63"/>
    </w:p>
    <w:p w14:paraId="018A6140"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近年来我国土地利用效率有一定程度提升，以</w:t>
      </w:r>
      <w:r>
        <w:rPr>
          <w:rFonts w:eastAsia="宋体" w:cs="Times New Roman" w:hint="eastAsia"/>
          <w:sz w:val="24"/>
          <w:szCs w:val="22"/>
        </w:rPr>
        <w:t>2015</w:t>
      </w:r>
      <w:r>
        <w:rPr>
          <w:rFonts w:eastAsia="宋体" w:cs="Times New Roman" w:hint="eastAsia"/>
          <w:sz w:val="24"/>
          <w:szCs w:val="22"/>
        </w:rPr>
        <w:t>年价格计算，</w:t>
      </w:r>
      <w:r>
        <w:rPr>
          <w:rFonts w:eastAsia="宋体" w:cs="Times New Roman" w:hint="eastAsia"/>
          <w:sz w:val="24"/>
          <w:szCs w:val="22"/>
        </w:rPr>
        <w:t>2015</w:t>
      </w:r>
      <w:r>
        <w:rPr>
          <w:rFonts w:eastAsia="宋体" w:cs="Times New Roman" w:hint="eastAsia"/>
          <w:sz w:val="24"/>
          <w:szCs w:val="22"/>
        </w:rPr>
        <w:t>年我国单位建设用地二、三产业增加值达到每平方公里</w:t>
      </w:r>
      <w:r>
        <w:rPr>
          <w:rFonts w:eastAsia="宋体" w:cs="Times New Roman" w:hint="eastAsia"/>
          <w:sz w:val="24"/>
          <w:szCs w:val="22"/>
        </w:rPr>
        <w:t>1.63</w:t>
      </w:r>
      <w:r>
        <w:rPr>
          <w:rFonts w:eastAsia="宋体" w:cs="Times New Roman" w:hint="eastAsia"/>
          <w:sz w:val="24"/>
          <w:szCs w:val="22"/>
        </w:rPr>
        <w:t>亿元，较</w:t>
      </w:r>
      <w:r>
        <w:rPr>
          <w:rFonts w:eastAsia="宋体" w:cs="Times New Roman" w:hint="eastAsia"/>
          <w:sz w:val="24"/>
          <w:szCs w:val="22"/>
        </w:rPr>
        <w:t>2008</w:t>
      </w:r>
      <w:r>
        <w:rPr>
          <w:rFonts w:eastAsia="宋体" w:cs="Times New Roman" w:hint="eastAsia"/>
          <w:sz w:val="24"/>
          <w:szCs w:val="22"/>
        </w:rPr>
        <w:t>年提高了</w:t>
      </w:r>
      <w:r>
        <w:rPr>
          <w:rFonts w:eastAsia="宋体" w:cs="Times New Roman" w:hint="eastAsia"/>
          <w:sz w:val="24"/>
          <w:szCs w:val="22"/>
        </w:rPr>
        <w:t>55.4%</w:t>
      </w:r>
      <w:r>
        <w:rPr>
          <w:rFonts w:eastAsia="宋体" w:cs="Times New Roman" w:hint="eastAsia"/>
          <w:sz w:val="24"/>
          <w:szCs w:val="22"/>
        </w:rPr>
        <w:t>；单位农用地第一产业增加值为每平方公里</w:t>
      </w:r>
      <w:r>
        <w:rPr>
          <w:rFonts w:eastAsia="宋体" w:cs="Times New Roman" w:hint="eastAsia"/>
          <w:sz w:val="24"/>
          <w:szCs w:val="22"/>
        </w:rPr>
        <w:t>94.3</w:t>
      </w:r>
      <w:r>
        <w:rPr>
          <w:rFonts w:eastAsia="宋体" w:cs="Times New Roman" w:hint="eastAsia"/>
          <w:sz w:val="24"/>
          <w:szCs w:val="22"/>
        </w:rPr>
        <w:t>万元，较</w:t>
      </w:r>
      <w:r>
        <w:rPr>
          <w:rFonts w:eastAsia="宋体" w:cs="Times New Roman" w:hint="eastAsia"/>
          <w:sz w:val="24"/>
          <w:szCs w:val="22"/>
        </w:rPr>
        <w:t>2008</w:t>
      </w:r>
      <w:r>
        <w:rPr>
          <w:rFonts w:eastAsia="宋体" w:cs="Times New Roman" w:hint="eastAsia"/>
          <w:sz w:val="24"/>
          <w:szCs w:val="22"/>
        </w:rPr>
        <w:t>年提高了</w:t>
      </w:r>
      <w:r>
        <w:rPr>
          <w:rFonts w:eastAsia="宋体" w:cs="Times New Roman" w:hint="eastAsia"/>
          <w:sz w:val="24"/>
          <w:szCs w:val="22"/>
        </w:rPr>
        <w:t>34.8%</w:t>
      </w:r>
      <w:r>
        <w:rPr>
          <w:rFonts w:eastAsia="宋体" w:cs="Times New Roman" w:hint="eastAsia"/>
          <w:sz w:val="24"/>
          <w:szCs w:val="22"/>
        </w:rPr>
        <w:t>。“十三五”时期，新增建设用地规模控制在</w:t>
      </w:r>
      <w:r>
        <w:rPr>
          <w:rFonts w:eastAsia="宋体" w:cs="Times New Roman" w:hint="eastAsia"/>
          <w:sz w:val="24"/>
          <w:szCs w:val="22"/>
        </w:rPr>
        <w:t>3</w:t>
      </w:r>
      <w:r>
        <w:rPr>
          <w:rFonts w:eastAsia="宋体" w:cs="Times New Roman"/>
          <w:sz w:val="24"/>
          <w:szCs w:val="22"/>
        </w:rPr>
        <w:t>265</w:t>
      </w:r>
      <w:r>
        <w:rPr>
          <w:rFonts w:eastAsia="宋体" w:cs="Times New Roman" w:hint="eastAsia"/>
          <w:sz w:val="24"/>
          <w:szCs w:val="22"/>
        </w:rPr>
        <w:t>万亩的规划目标内。但是，对标对表新发展格局要求，土地要素配置和利用效率仍有优化提升空间。</w:t>
      </w:r>
    </w:p>
    <w:p w14:paraId="34C1752F" w14:textId="77777777" w:rsidR="004651C7" w:rsidRDefault="00BF798C">
      <w:pPr>
        <w:pStyle w:val="4"/>
      </w:pPr>
      <w:bookmarkStart w:id="64" w:name="_Toc93661680"/>
      <w:r>
        <w:rPr>
          <w:rFonts w:hint="eastAsia"/>
        </w:rPr>
        <w:t>1</w:t>
      </w:r>
      <w:r>
        <w:t>.</w:t>
      </w:r>
      <w:r>
        <w:rPr>
          <w:rFonts w:hint="eastAsia"/>
        </w:rPr>
        <w:t>城市土地利用效率仍处较低水平</w:t>
      </w:r>
      <w:bookmarkEnd w:id="64"/>
    </w:p>
    <w:p w14:paraId="7CB94C40"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尽管防止城市“摊大饼”的提法已有很多年，但我国城市“摊大饼”式的空间扩张仍愈演愈烈。一方面，城市发展面临存量土地综合再利用以及向外扩张的选择，存量土地综合再利用虽不增加用地指标，但需要对旧城进行改造，而且改造成本较高，对</w:t>
      </w:r>
      <w:r>
        <w:rPr>
          <w:rFonts w:eastAsia="宋体" w:cs="Times New Roman" w:hint="eastAsia"/>
          <w:sz w:val="24"/>
          <w:szCs w:val="22"/>
        </w:rPr>
        <w:t>GDP</w:t>
      </w:r>
      <w:r>
        <w:rPr>
          <w:rFonts w:eastAsia="宋体" w:cs="Times New Roman" w:hint="eastAsia"/>
          <w:sz w:val="24"/>
          <w:szCs w:val="22"/>
        </w:rPr>
        <w:t>和财税的推动作用相对有限。而向外扩张的方式需向上级争取更多的用地指标，便于推动工业化以及土地财政。部分发展较快的城市更加倾向于向外扩张模式，而非存量土地的集约利用，导致城市土地粗放利用现象普遍存在，造成土地的大量浪费。另一方面，部分城市扩张远远超出未来可能的产业和人口发展需求，城市发展面临的成本越来越高，从而不得不采取建设新区等手段来降低发展成本。而部分兴建的新区依然延续粗放型发展模式，城市发展成本居高不下，产业和要素进入门槛过高，使得更多的资源闲置，导致新区泛滥并最终烂尾。</w:t>
      </w:r>
    </w:p>
    <w:p w14:paraId="6BAF1B79" w14:textId="77777777" w:rsidR="004651C7" w:rsidRDefault="00BF798C">
      <w:pPr>
        <w:pStyle w:val="4"/>
      </w:pPr>
      <w:bookmarkStart w:id="65" w:name="_Toc93661681"/>
      <w:r>
        <w:rPr>
          <w:rFonts w:hint="eastAsia"/>
        </w:rPr>
        <w:t>2</w:t>
      </w:r>
      <w:r>
        <w:t>.</w:t>
      </w:r>
      <w:r>
        <w:rPr>
          <w:rFonts w:hint="eastAsia"/>
        </w:rPr>
        <w:t>各城区间缺乏协调统一的发展规划</w:t>
      </w:r>
      <w:bookmarkEnd w:id="65"/>
    </w:p>
    <w:p w14:paraId="37BDE446"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随着城市化进程的加快推进，部分城区过分强调自身功能的完善与发展，忽视与周边城市和地区的功能互补，各自为政、自成体系的现象时有发生，基础设施存在重复建设的情况，城市聚集效应无法达到最有状态，土地浪费现象较为突出。而且面对越来越激烈的竞争，部分城市和地区为追求自身利益的最大化，通过降低土地出让价格、减免土地租金等手段吸引企业落户，从而降低市场在土地资源配置中的作用，部分优惠政策甚至造成土地资源闲置以及土地流失现象。</w:t>
      </w:r>
    </w:p>
    <w:p w14:paraId="0AEB19E4" w14:textId="77777777" w:rsidR="004651C7" w:rsidRDefault="00BF798C">
      <w:pPr>
        <w:pStyle w:val="4"/>
      </w:pPr>
      <w:bookmarkStart w:id="66" w:name="_Toc93661682"/>
      <w:r>
        <w:rPr>
          <w:rFonts w:hint="eastAsia"/>
        </w:rPr>
        <w:t>3</w:t>
      </w:r>
      <w:r>
        <w:t>.</w:t>
      </w:r>
      <w:r>
        <w:rPr>
          <w:rFonts w:hint="eastAsia"/>
        </w:rPr>
        <w:t>土地流转市场尚不健全</w:t>
      </w:r>
      <w:bookmarkEnd w:id="66"/>
    </w:p>
    <w:p w14:paraId="784CE5BD"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一是土地流转程序不规范。当前部分流转土地为自发行为，仅是农户之间口头协</w:t>
      </w:r>
      <w:r>
        <w:rPr>
          <w:rFonts w:eastAsia="宋体" w:cs="Times New Roman" w:hint="eastAsia"/>
          <w:sz w:val="24"/>
          <w:szCs w:val="22"/>
        </w:rPr>
        <w:lastRenderedPageBreak/>
        <w:t>商，而未按照协议签订书面合同，少数流转土地虽有合同，但存在双方权利义务不明确，条款不齐全、合同未能鉴证公证等问题，导致双方权责利无法得到有效保障。二是土地交易信息平台服务功能仍需改善。当前土地流转市场存在信息不对称问题，即使部分地区建立土地交易信息平台，但利用效率处于较低水平，农民能获得的政策和市场信息非常有限，土地流转需求量和供给量状况不明晰。部分想流转土地的农民找不到愿意租地的人员，而愿意接受流转土地来扩大种植面积的种植大户则找不到合适的流转土地。土地流转信息不对称增加了土地流转成本，降低土地流转成效。三是政府在土地流转中的作用尚需加强。部分地区土地经营权流转完全依赖市场，流转业务行为存在监管不足现象，土地流转过程中产生的纠纷时有发生，而必要的公证与管理机制的缺乏、中介组织发展不规范以及土地价格评估体系不健全等问题，导致农村土地经营权以低廉的价格流转，农民的根本权益得不到保护。</w:t>
      </w:r>
    </w:p>
    <w:p w14:paraId="3916806B" w14:textId="77777777" w:rsidR="004651C7" w:rsidRDefault="00BF798C">
      <w:pPr>
        <w:pStyle w:val="4"/>
      </w:pPr>
      <w:bookmarkStart w:id="67" w:name="_Toc93661683"/>
      <w:r>
        <w:rPr>
          <w:rFonts w:hint="eastAsia"/>
        </w:rPr>
        <w:t>4</w:t>
      </w:r>
      <w:r>
        <w:t>.</w:t>
      </w:r>
      <w:r>
        <w:rPr>
          <w:rFonts w:hint="eastAsia"/>
        </w:rPr>
        <w:t>社会保障制度有待进一步完善</w:t>
      </w:r>
      <w:bookmarkEnd w:id="67"/>
    </w:p>
    <w:p w14:paraId="2F494CFB"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一方面，尽管我国城市建设的加快推进吸引了大量农民工进城务工，农业人口向二三产业快速转移，但农民工就业的稳定性依然较差，而且农民工落户城市的比例不高，我国常住人口城镇化率虽升至</w:t>
      </w:r>
      <w:r>
        <w:rPr>
          <w:rFonts w:eastAsia="宋体" w:cs="Times New Roman" w:hint="eastAsia"/>
          <w:sz w:val="24"/>
          <w:szCs w:val="22"/>
        </w:rPr>
        <w:t>2019</w:t>
      </w:r>
      <w:r>
        <w:rPr>
          <w:rFonts w:eastAsia="宋体" w:cs="Times New Roman" w:hint="eastAsia"/>
          <w:sz w:val="24"/>
          <w:szCs w:val="22"/>
        </w:rPr>
        <w:t>年的</w:t>
      </w:r>
      <w:r>
        <w:rPr>
          <w:rFonts w:eastAsia="宋体" w:cs="Times New Roman" w:hint="eastAsia"/>
          <w:sz w:val="24"/>
          <w:szCs w:val="22"/>
        </w:rPr>
        <w:t>60.6%</w:t>
      </w:r>
      <w:r>
        <w:rPr>
          <w:rFonts w:eastAsia="宋体" w:cs="Times New Roman" w:hint="eastAsia"/>
          <w:sz w:val="24"/>
          <w:szCs w:val="22"/>
        </w:rPr>
        <w:t>，但户籍人口城镇化率仅为</w:t>
      </w:r>
      <w:r>
        <w:rPr>
          <w:rFonts w:eastAsia="宋体" w:cs="Times New Roman" w:hint="eastAsia"/>
          <w:sz w:val="24"/>
          <w:szCs w:val="22"/>
        </w:rPr>
        <w:t>44.4%</w:t>
      </w:r>
      <w:r>
        <w:rPr>
          <w:rFonts w:eastAsia="宋体" w:cs="Times New Roman" w:hint="eastAsia"/>
          <w:sz w:val="24"/>
          <w:szCs w:val="22"/>
        </w:rPr>
        <w:t>，仍有大量的农民工不能在城市落户。另一方面，我国城市化进程落后于工业化和城市建设的发展进程，对农民工在就业、子女教育、医疗、养老等社会保障方面尚存短板。在就业不稳定及保障不完善的条件下，农民将土地作为最后的保障，对土地有着经济和精神上的依赖，对于让渡承包权、经营权的意愿不高，对土地流转态度较为谨慎，从而制约着农村土地流转效率。</w:t>
      </w:r>
    </w:p>
    <w:p w14:paraId="2A1B174C" w14:textId="77777777" w:rsidR="004651C7" w:rsidRDefault="00BF798C">
      <w:pPr>
        <w:pStyle w:val="4"/>
      </w:pPr>
      <w:bookmarkStart w:id="68" w:name="_Toc93661684"/>
      <w:r>
        <w:rPr>
          <w:rFonts w:hint="eastAsia"/>
        </w:rPr>
        <w:t>5</w:t>
      </w:r>
      <w:r>
        <w:t>.</w:t>
      </w:r>
      <w:r>
        <w:rPr>
          <w:rFonts w:hint="eastAsia"/>
        </w:rPr>
        <w:t>农村土地“非粮化”“非农化”现象时有发生</w:t>
      </w:r>
      <w:bookmarkEnd w:id="68"/>
    </w:p>
    <w:p w14:paraId="6C59777A"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尽管政府加大了对粮食种植的政策支持力度，但与其他经济作物和养殖业等相比，粮食作物的经济收益仍处较低水平，土地流转后用于种植收益更高的经济作物、发展畜禽养殖业以及观光农业和旅游农业的动因较强，导致部分耕地出现“非粮化”“非农化”现象。同时，随着城市化进程的加快推进，部分城市建设用地供应日益紧张，将部分耕地用于开发楼盘、修建道路、兴建厂房等现象屡禁不止，农地非农化的压力有所上升。此外，随着农村居民返乡建房以及农村启动建设项目的不断增加，占用耕地建房或占用永久基本农田进行非农化建设的问题愈发突出，部分地区甚至出现良田盖房现象。</w:t>
      </w:r>
    </w:p>
    <w:p w14:paraId="3F497E5A" w14:textId="77777777" w:rsidR="004651C7" w:rsidRDefault="00BF798C">
      <w:pPr>
        <w:pStyle w:val="3"/>
        <w:spacing w:before="192" w:after="240"/>
        <w:ind w:firstLine="480"/>
      </w:pPr>
      <w:bookmarkStart w:id="69" w:name="_Toc93661685"/>
      <w:bookmarkStart w:id="70" w:name="_Toc93924832"/>
      <w:r>
        <w:rPr>
          <w:rFonts w:hint="eastAsia"/>
        </w:rPr>
        <w:lastRenderedPageBreak/>
        <w:t>（二）劳动力要素配置领域存在的短板弱项</w:t>
      </w:r>
      <w:bookmarkEnd w:id="69"/>
      <w:bookmarkEnd w:id="70"/>
    </w:p>
    <w:p w14:paraId="0181266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我国劳动生产率水平大幅提高。国际劳工组织数据显示，</w:t>
      </w:r>
      <w:r>
        <w:rPr>
          <w:rFonts w:eastAsia="宋体" w:cs="Times New Roman" w:hint="eastAsia"/>
          <w:sz w:val="24"/>
          <w:szCs w:val="22"/>
        </w:rPr>
        <w:t>1991</w:t>
      </w:r>
      <w:r>
        <w:rPr>
          <w:rFonts w:eastAsia="宋体" w:cs="Times New Roman" w:hint="eastAsia"/>
          <w:sz w:val="24"/>
          <w:szCs w:val="22"/>
        </w:rPr>
        <w:t>年我国劳动生产率仅有</w:t>
      </w:r>
      <w:r>
        <w:rPr>
          <w:rFonts w:eastAsia="宋体" w:cs="Times New Roman" w:hint="eastAsia"/>
          <w:sz w:val="24"/>
          <w:szCs w:val="22"/>
        </w:rPr>
        <w:t>1376</w:t>
      </w:r>
      <w:r>
        <w:rPr>
          <w:rFonts w:eastAsia="宋体" w:cs="Times New Roman" w:hint="eastAsia"/>
          <w:sz w:val="24"/>
          <w:szCs w:val="22"/>
        </w:rPr>
        <w:t>美元</w:t>
      </w:r>
      <w:r>
        <w:rPr>
          <w:rFonts w:eastAsia="宋体" w:cs="Times New Roman" w:hint="eastAsia"/>
          <w:sz w:val="24"/>
          <w:szCs w:val="22"/>
        </w:rPr>
        <w:t>/</w:t>
      </w:r>
      <w:r>
        <w:rPr>
          <w:rFonts w:eastAsia="宋体" w:cs="Times New Roman" w:hint="eastAsia"/>
          <w:sz w:val="24"/>
          <w:szCs w:val="22"/>
        </w:rPr>
        <w:t>人，此后逐年稳步提高，</w:t>
      </w:r>
      <w:r>
        <w:rPr>
          <w:rFonts w:eastAsia="宋体" w:cs="Times New Roman" w:hint="eastAsia"/>
          <w:sz w:val="24"/>
          <w:szCs w:val="22"/>
        </w:rPr>
        <w:t>2019</w:t>
      </w:r>
      <w:r>
        <w:rPr>
          <w:rFonts w:eastAsia="宋体" w:cs="Times New Roman" w:hint="eastAsia"/>
          <w:sz w:val="24"/>
          <w:szCs w:val="22"/>
        </w:rPr>
        <w:t>年已提高到</w:t>
      </w:r>
      <w:r>
        <w:rPr>
          <w:rFonts w:eastAsia="宋体" w:cs="Times New Roman" w:hint="eastAsia"/>
          <w:sz w:val="24"/>
          <w:szCs w:val="22"/>
        </w:rPr>
        <w:t>15038</w:t>
      </w:r>
      <w:r>
        <w:rPr>
          <w:rFonts w:eastAsia="宋体" w:cs="Times New Roman" w:hint="eastAsia"/>
          <w:sz w:val="24"/>
          <w:szCs w:val="22"/>
        </w:rPr>
        <w:t>美元</w:t>
      </w:r>
      <w:r>
        <w:rPr>
          <w:rFonts w:eastAsia="宋体" w:cs="Times New Roman" w:hint="eastAsia"/>
          <w:sz w:val="24"/>
          <w:szCs w:val="22"/>
        </w:rPr>
        <w:t>/</w:t>
      </w:r>
      <w:r>
        <w:rPr>
          <w:rFonts w:eastAsia="宋体" w:cs="Times New Roman" w:hint="eastAsia"/>
          <w:sz w:val="24"/>
          <w:szCs w:val="22"/>
        </w:rPr>
        <w:t>人，增长了大约</w:t>
      </w:r>
      <w:r>
        <w:rPr>
          <w:rFonts w:eastAsia="宋体" w:cs="Times New Roman" w:hint="eastAsia"/>
          <w:sz w:val="24"/>
          <w:szCs w:val="22"/>
        </w:rPr>
        <w:t>9.9</w:t>
      </w:r>
      <w:r>
        <w:rPr>
          <w:rFonts w:eastAsia="宋体" w:cs="Times New Roman" w:hint="eastAsia"/>
          <w:sz w:val="24"/>
          <w:szCs w:val="22"/>
        </w:rPr>
        <w:t>倍、年均增速达</w:t>
      </w:r>
      <w:r>
        <w:rPr>
          <w:rFonts w:eastAsia="宋体" w:cs="Times New Roman" w:hint="eastAsia"/>
          <w:sz w:val="24"/>
          <w:szCs w:val="22"/>
        </w:rPr>
        <w:t>9%</w:t>
      </w:r>
      <w:r>
        <w:rPr>
          <w:rFonts w:eastAsia="宋体" w:cs="Times New Roman" w:hint="eastAsia"/>
          <w:sz w:val="24"/>
          <w:szCs w:val="22"/>
        </w:rPr>
        <w:t>。但与世界平均水平和美国相比，我国劳动生产率水平还比较低，</w:t>
      </w:r>
      <w:r>
        <w:rPr>
          <w:rFonts w:eastAsia="宋体" w:cs="Times New Roman" w:hint="eastAsia"/>
          <w:sz w:val="24"/>
          <w:szCs w:val="22"/>
        </w:rPr>
        <w:t>2019</w:t>
      </w:r>
      <w:r>
        <w:rPr>
          <w:rFonts w:eastAsia="宋体" w:cs="Times New Roman" w:hint="eastAsia"/>
          <w:sz w:val="24"/>
          <w:szCs w:val="22"/>
        </w:rPr>
        <w:t>年我国劳动生产率明显低于世界平均水平（</w:t>
      </w:r>
      <w:r>
        <w:rPr>
          <w:rFonts w:eastAsia="宋体" w:cs="Times New Roman" w:hint="eastAsia"/>
          <w:sz w:val="24"/>
          <w:szCs w:val="22"/>
        </w:rPr>
        <w:t>25623</w:t>
      </w:r>
      <w:r>
        <w:rPr>
          <w:rFonts w:eastAsia="宋体" w:cs="Times New Roman" w:hint="eastAsia"/>
          <w:sz w:val="24"/>
          <w:szCs w:val="22"/>
        </w:rPr>
        <w:t>美元</w:t>
      </w:r>
      <w:r>
        <w:rPr>
          <w:rFonts w:eastAsia="宋体" w:cs="Times New Roman" w:hint="eastAsia"/>
          <w:sz w:val="24"/>
          <w:szCs w:val="22"/>
        </w:rPr>
        <w:t>/</w:t>
      </w:r>
      <w:r>
        <w:rPr>
          <w:rFonts w:eastAsia="宋体" w:cs="Times New Roman" w:hint="eastAsia"/>
          <w:sz w:val="24"/>
          <w:szCs w:val="22"/>
        </w:rPr>
        <w:t>人），离美国（</w:t>
      </w:r>
      <w:r>
        <w:rPr>
          <w:rFonts w:eastAsia="宋体" w:cs="Times New Roman" w:hint="eastAsia"/>
          <w:sz w:val="24"/>
          <w:szCs w:val="22"/>
        </w:rPr>
        <w:t>113114</w:t>
      </w:r>
      <w:r>
        <w:rPr>
          <w:rFonts w:eastAsia="宋体" w:cs="Times New Roman" w:hint="eastAsia"/>
          <w:sz w:val="24"/>
          <w:szCs w:val="22"/>
        </w:rPr>
        <w:t>美元</w:t>
      </w:r>
      <w:r>
        <w:rPr>
          <w:rFonts w:eastAsia="宋体" w:cs="Times New Roman" w:hint="eastAsia"/>
          <w:sz w:val="24"/>
          <w:szCs w:val="22"/>
        </w:rPr>
        <w:t>/</w:t>
      </w:r>
      <w:r>
        <w:rPr>
          <w:rFonts w:eastAsia="宋体" w:cs="Times New Roman" w:hint="eastAsia"/>
          <w:sz w:val="24"/>
          <w:szCs w:val="22"/>
        </w:rPr>
        <w:t>人）的差距更大。对标对表新发展格局要求，我国劳动力要素配置还存在以下三方面突出问题和短板弱项，导致劳动力要素配置效率偏低。</w:t>
      </w:r>
    </w:p>
    <w:p w14:paraId="52ABF45F" w14:textId="77777777" w:rsidR="004651C7" w:rsidRDefault="00BF798C">
      <w:pPr>
        <w:pStyle w:val="4"/>
      </w:pPr>
      <w:bookmarkStart w:id="71" w:name="_Toc93661686"/>
      <w:r>
        <w:rPr>
          <w:rFonts w:hint="eastAsia"/>
        </w:rPr>
        <w:t>1</w:t>
      </w:r>
      <w:r>
        <w:t>.</w:t>
      </w:r>
      <w:r>
        <w:rPr>
          <w:rFonts w:hint="eastAsia"/>
        </w:rPr>
        <w:t>信息不对称导致劳动力要素资源配置效率偏低</w:t>
      </w:r>
      <w:bookmarkEnd w:id="71"/>
    </w:p>
    <w:p w14:paraId="29CAB303"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首先，政府提供的信息平台有限，不足以满足企业和求职者的匹配需求，相关行业求人倍率等劳动力市场指标数据没有及时充分向公众发布，使得微观主体的供求行为存在一定的盲目性。其次，劳动力中介市场尚不完善，部分网络平台上有较多的虚假信息，中介市场规范度亟待提高。再次，部分人群找工作的主要途径是通过亲友介绍，导致供给方掌握的信息较为有限。与此同时，一个员工对自己的知识、技能，以及实际工作能力和水平，比他的雇主要清楚得多得多，这种信息不对称也造成了劳动力市场中的“逆向选择”和“道德风险”，导致劳动力市场无法实现最优效率配置。</w:t>
      </w:r>
    </w:p>
    <w:p w14:paraId="60423881" w14:textId="77777777" w:rsidR="004651C7" w:rsidRDefault="00BF798C">
      <w:pPr>
        <w:pStyle w:val="4"/>
      </w:pPr>
      <w:bookmarkStart w:id="72" w:name="_Toc93661687"/>
      <w:r>
        <w:rPr>
          <w:rFonts w:hint="eastAsia"/>
        </w:rPr>
        <w:t>2</w:t>
      </w:r>
      <w:r>
        <w:t>.</w:t>
      </w:r>
      <w:r>
        <w:rPr>
          <w:rFonts w:hint="eastAsia"/>
        </w:rPr>
        <w:t>市场分割和工资扭曲导致劳动力资源配置效率偏低</w:t>
      </w:r>
      <w:bookmarkEnd w:id="72"/>
    </w:p>
    <w:p w14:paraId="677E927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当前我国劳动力市场的资源配置机制仍不完善，劳动力市场的城乡二元分割格局依然没有完全消除，且城市内部的二元分割格局也出现了强化趋势。户籍制度决定着城乡的社会结构、分层与流动机制，城市劳动力市场还没有条件对农村实行全方位开放，最低工资标准普遍偏低也削弱了保障公平的效能。由于劳动力市场的双重分割以及工资决定机制并未完全市场化，导致劳动力市场出现了“体制外”工资（市场化）和“体制内”工资（政府管制）并存的现象，不仅增加了劳动力要素的流动障碍，也造成行业之间收入差距存在扩大倾向。除此之外，一些人为的招聘条件限制和隐性门槛的设置又对劳动力市场产生了更大的扭曲，降低了劳动力要素的配置效率。</w:t>
      </w:r>
    </w:p>
    <w:p w14:paraId="7DC5C4C1" w14:textId="77777777" w:rsidR="004651C7" w:rsidRDefault="00BF798C">
      <w:pPr>
        <w:pStyle w:val="4"/>
      </w:pPr>
      <w:bookmarkStart w:id="73" w:name="_Toc93661688"/>
      <w:r>
        <w:rPr>
          <w:rFonts w:hint="eastAsia"/>
        </w:rPr>
        <w:t>3</w:t>
      </w:r>
      <w:r>
        <w:t>.</w:t>
      </w:r>
      <w:r>
        <w:rPr>
          <w:rFonts w:hint="eastAsia"/>
        </w:rPr>
        <w:t>技能供需结构不匹配导致劳动力资源配置效率偏低</w:t>
      </w:r>
      <w:bookmarkEnd w:id="73"/>
    </w:p>
    <w:p w14:paraId="271A250A"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劳动力市场中“招工难”和“求职难”并存，技能供需结构不匹配。我国的技术工人短缺，如机床工人等专业工种长期面临招工难题。目前中国技能劳动者数量占全国就业人员总量的</w:t>
      </w:r>
      <w:r>
        <w:rPr>
          <w:rFonts w:eastAsia="宋体" w:cs="Times New Roman" w:hint="eastAsia"/>
          <w:sz w:val="24"/>
          <w:szCs w:val="22"/>
        </w:rPr>
        <w:t>19%</w:t>
      </w:r>
      <w:r>
        <w:rPr>
          <w:rFonts w:eastAsia="宋体" w:cs="Times New Roman" w:hint="eastAsia"/>
          <w:sz w:val="24"/>
          <w:szCs w:val="22"/>
        </w:rPr>
        <w:t>左右，高技能人才仅占</w:t>
      </w:r>
      <w:r>
        <w:rPr>
          <w:rFonts w:eastAsia="宋体" w:cs="Times New Roman" w:hint="eastAsia"/>
          <w:sz w:val="24"/>
          <w:szCs w:val="22"/>
        </w:rPr>
        <w:t>5%</w:t>
      </w:r>
      <w:r>
        <w:rPr>
          <w:rFonts w:eastAsia="宋体" w:cs="Times New Roman" w:hint="eastAsia"/>
          <w:sz w:val="24"/>
          <w:szCs w:val="22"/>
        </w:rPr>
        <w:t>。与此同时，我国每年有</w:t>
      </w:r>
      <w:r>
        <w:rPr>
          <w:rFonts w:eastAsia="宋体" w:cs="Times New Roman" w:hint="eastAsia"/>
          <w:sz w:val="24"/>
          <w:szCs w:val="22"/>
        </w:rPr>
        <w:t>900</w:t>
      </w:r>
      <w:r>
        <w:rPr>
          <w:rFonts w:eastAsia="宋体" w:cs="Times New Roman" w:hint="eastAsia"/>
          <w:sz w:val="24"/>
          <w:szCs w:val="22"/>
        </w:rPr>
        <w:t>多万的高校毕业生，由于技能供需结构不匹配，很多毕业生面临求职难的窘境。部分学校</w:t>
      </w:r>
      <w:r>
        <w:rPr>
          <w:rFonts w:eastAsia="宋体" w:cs="Times New Roman" w:hint="eastAsia"/>
          <w:sz w:val="24"/>
          <w:szCs w:val="22"/>
        </w:rPr>
        <w:lastRenderedPageBreak/>
        <w:t>软硬件均相对较差，尤其是课程体系设计不能顺应市场的需求，以致部分大学毕业生并不完全具备雇主所需要的必要技能。未来随着技术革命和产业变革，对劳动者素质将提出更高要求，对复合型人才的需求上升，低技能劳动者不适应新就业岗位、高技能人才不足的结构性矛盾将进一步加剧。</w:t>
      </w:r>
    </w:p>
    <w:p w14:paraId="310BAD1A" w14:textId="77777777" w:rsidR="004651C7" w:rsidRDefault="00BF798C">
      <w:pPr>
        <w:pStyle w:val="3"/>
        <w:spacing w:before="192" w:after="240"/>
        <w:ind w:firstLine="480"/>
      </w:pPr>
      <w:bookmarkStart w:id="74" w:name="_Toc93661689"/>
      <w:bookmarkStart w:id="75" w:name="_Toc93924833"/>
      <w:r>
        <w:rPr>
          <w:rFonts w:hint="eastAsia"/>
        </w:rPr>
        <w:t>（三）资本要素配置领域存在的短板弱项</w:t>
      </w:r>
      <w:bookmarkEnd w:id="74"/>
      <w:bookmarkEnd w:id="75"/>
    </w:p>
    <w:p w14:paraId="27FC8854"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总体上看，当前我国资本要素配置及整合水平可以归纳为“金融总量过剩与结构失衡问题并存”。总量方面，我国银行业总资产</w:t>
      </w:r>
      <w:r>
        <w:rPr>
          <w:rFonts w:eastAsia="宋体" w:cs="Times New Roman" w:hint="eastAsia"/>
          <w:sz w:val="24"/>
          <w:szCs w:val="22"/>
        </w:rPr>
        <w:t>268</w:t>
      </w:r>
      <w:r>
        <w:rPr>
          <w:rFonts w:eastAsia="宋体" w:cs="Times New Roman" w:hint="eastAsia"/>
          <w:sz w:val="24"/>
          <w:szCs w:val="22"/>
        </w:rPr>
        <w:t>万亿元，规模位居全球第一；证券业总资产</w:t>
      </w:r>
      <w:r>
        <w:rPr>
          <w:rFonts w:eastAsia="宋体" w:cs="Times New Roman" w:hint="eastAsia"/>
          <w:sz w:val="24"/>
          <w:szCs w:val="22"/>
        </w:rPr>
        <w:t>7</w:t>
      </w:r>
      <w:r>
        <w:rPr>
          <w:rFonts w:eastAsia="宋体" w:cs="Times New Roman" w:hint="eastAsia"/>
          <w:sz w:val="24"/>
          <w:szCs w:val="22"/>
        </w:rPr>
        <w:t>万亿元，沪深两市上市公司近</w:t>
      </w:r>
      <w:r>
        <w:rPr>
          <w:rFonts w:eastAsia="宋体" w:cs="Times New Roman" w:hint="eastAsia"/>
          <w:sz w:val="24"/>
          <w:szCs w:val="22"/>
        </w:rPr>
        <w:t>3700</w:t>
      </w:r>
      <w:r>
        <w:rPr>
          <w:rFonts w:eastAsia="宋体" w:cs="Times New Roman" w:hint="eastAsia"/>
          <w:sz w:val="24"/>
          <w:szCs w:val="22"/>
        </w:rPr>
        <w:t>家，总市值</w:t>
      </w:r>
      <w:r>
        <w:rPr>
          <w:rFonts w:eastAsia="宋体" w:cs="Times New Roman" w:hint="eastAsia"/>
          <w:sz w:val="24"/>
          <w:szCs w:val="22"/>
        </w:rPr>
        <w:t>54</w:t>
      </w:r>
      <w:r>
        <w:rPr>
          <w:rFonts w:eastAsia="宋体" w:cs="Times New Roman" w:hint="eastAsia"/>
          <w:sz w:val="24"/>
          <w:szCs w:val="22"/>
        </w:rPr>
        <w:t>万亿元，成为全球第二大股票市场；保险业总资产</w:t>
      </w:r>
      <w:r>
        <w:rPr>
          <w:rFonts w:eastAsia="宋体" w:cs="Times New Roman" w:hint="eastAsia"/>
          <w:sz w:val="24"/>
          <w:szCs w:val="22"/>
        </w:rPr>
        <w:t>18</w:t>
      </w:r>
      <w:r>
        <w:rPr>
          <w:rFonts w:eastAsia="宋体" w:cs="Times New Roman" w:hint="eastAsia"/>
          <w:sz w:val="24"/>
          <w:szCs w:val="22"/>
        </w:rPr>
        <w:t>万亿元。金融业增加值逐步提升，</w:t>
      </w:r>
      <w:r>
        <w:rPr>
          <w:rFonts w:eastAsia="宋体" w:cs="Times New Roman" w:hint="eastAsia"/>
          <w:sz w:val="24"/>
          <w:szCs w:val="22"/>
        </w:rPr>
        <w:t>2017</w:t>
      </w:r>
      <w:r>
        <w:rPr>
          <w:rFonts w:eastAsia="宋体" w:cs="Times New Roman" w:hint="eastAsia"/>
          <w:sz w:val="24"/>
          <w:szCs w:val="22"/>
        </w:rPr>
        <w:t>年占</w:t>
      </w:r>
      <w:r>
        <w:rPr>
          <w:rFonts w:eastAsia="宋体" w:cs="Times New Roman" w:hint="eastAsia"/>
          <w:sz w:val="24"/>
          <w:szCs w:val="22"/>
        </w:rPr>
        <w:t>GDP</w:t>
      </w:r>
      <w:r>
        <w:rPr>
          <w:rFonts w:eastAsia="宋体" w:cs="Times New Roman" w:hint="eastAsia"/>
          <w:sz w:val="24"/>
          <w:szCs w:val="22"/>
        </w:rPr>
        <w:t>达到</w:t>
      </w:r>
      <w:r>
        <w:rPr>
          <w:rFonts w:eastAsia="宋体" w:cs="Times New Roman" w:hint="eastAsia"/>
          <w:sz w:val="24"/>
          <w:szCs w:val="22"/>
        </w:rPr>
        <w:t>7.8%</w:t>
      </w:r>
      <w:r>
        <w:rPr>
          <w:rFonts w:eastAsia="宋体" w:cs="Times New Roman" w:hint="eastAsia"/>
          <w:sz w:val="24"/>
          <w:szCs w:val="22"/>
        </w:rPr>
        <w:t>，大幅高于国际上主要经济体。</w:t>
      </w:r>
      <w:r>
        <w:rPr>
          <w:rFonts w:eastAsia="宋体" w:cs="Times New Roman" w:hint="eastAsia"/>
          <w:sz w:val="24"/>
          <w:szCs w:val="22"/>
        </w:rPr>
        <w:t>G7</w:t>
      </w:r>
      <w:r>
        <w:rPr>
          <w:rFonts w:eastAsia="宋体" w:cs="Times New Roman" w:hint="eastAsia"/>
          <w:sz w:val="24"/>
          <w:szCs w:val="22"/>
        </w:rPr>
        <w:t>国家金融业增加值占比平均为</w:t>
      </w:r>
      <w:r>
        <w:rPr>
          <w:rFonts w:eastAsia="宋体" w:cs="Times New Roman" w:hint="eastAsia"/>
          <w:sz w:val="24"/>
          <w:szCs w:val="22"/>
        </w:rPr>
        <w:t>5%</w:t>
      </w:r>
      <w:r>
        <w:rPr>
          <w:rFonts w:eastAsia="宋体" w:cs="Times New Roman" w:hint="eastAsia"/>
          <w:sz w:val="24"/>
          <w:szCs w:val="22"/>
        </w:rPr>
        <w:t>左右，美国为</w:t>
      </w:r>
      <w:r>
        <w:rPr>
          <w:rFonts w:eastAsia="宋体" w:cs="Times New Roman" w:hint="eastAsia"/>
          <w:sz w:val="24"/>
          <w:szCs w:val="22"/>
        </w:rPr>
        <w:t>7.4%</w:t>
      </w:r>
      <w:r>
        <w:rPr>
          <w:rFonts w:eastAsia="宋体" w:cs="Times New Roman" w:hint="eastAsia"/>
          <w:sz w:val="24"/>
          <w:szCs w:val="22"/>
        </w:rPr>
        <w:t>，英国</w:t>
      </w:r>
      <w:r>
        <w:rPr>
          <w:rFonts w:eastAsia="宋体" w:cs="Times New Roman" w:hint="eastAsia"/>
          <w:sz w:val="24"/>
          <w:szCs w:val="22"/>
        </w:rPr>
        <w:t>6.3%</w:t>
      </w:r>
      <w:r>
        <w:rPr>
          <w:rFonts w:eastAsia="宋体" w:cs="Times New Roman" w:hint="eastAsia"/>
          <w:sz w:val="24"/>
          <w:szCs w:val="22"/>
        </w:rPr>
        <w:t>，日本</w:t>
      </w:r>
      <w:r>
        <w:rPr>
          <w:rFonts w:eastAsia="宋体" w:cs="Times New Roman" w:hint="eastAsia"/>
          <w:sz w:val="24"/>
          <w:szCs w:val="22"/>
        </w:rPr>
        <w:t>4.1%</w:t>
      </w:r>
      <w:r>
        <w:rPr>
          <w:rFonts w:eastAsia="宋体" w:cs="Times New Roman" w:hint="eastAsia"/>
          <w:sz w:val="24"/>
          <w:szCs w:val="22"/>
        </w:rPr>
        <w:t>，德国</w:t>
      </w:r>
      <w:r>
        <w:rPr>
          <w:rFonts w:eastAsia="宋体" w:cs="Times New Roman" w:hint="eastAsia"/>
          <w:sz w:val="24"/>
          <w:szCs w:val="22"/>
        </w:rPr>
        <w:t>3.5%</w:t>
      </w:r>
      <w:r>
        <w:rPr>
          <w:rFonts w:eastAsia="宋体" w:cs="Times New Roman" w:hint="eastAsia"/>
          <w:sz w:val="24"/>
          <w:szCs w:val="22"/>
        </w:rPr>
        <w:t>，韩国</w:t>
      </w:r>
      <w:r>
        <w:rPr>
          <w:rFonts w:eastAsia="宋体" w:cs="Times New Roman" w:hint="eastAsia"/>
          <w:sz w:val="24"/>
          <w:szCs w:val="22"/>
        </w:rPr>
        <w:t>5.0%</w:t>
      </w:r>
      <w:r>
        <w:rPr>
          <w:rFonts w:eastAsia="宋体" w:cs="Times New Roman" w:hint="eastAsia"/>
          <w:sz w:val="24"/>
          <w:szCs w:val="22"/>
        </w:rPr>
        <w:t>。但是，我国经济金融化程度日益加深并没有改变金融结构失衡的态势。一是金融资源过度集中于房地产、金融等行业，对实体经济支持力度与实体经济重要地位不匹配。经济中“脱实向虚”的现象以及金融体系内部资金空转使得资金配置出现扭曲。</w:t>
      </w:r>
      <w:r>
        <w:rPr>
          <w:rFonts w:eastAsia="宋体" w:cs="Times New Roman" w:hint="eastAsia"/>
          <w:sz w:val="24"/>
          <w:szCs w:val="22"/>
        </w:rPr>
        <w:t>2018</w:t>
      </w:r>
      <w:r>
        <w:rPr>
          <w:rFonts w:eastAsia="宋体" w:cs="Times New Roman" w:hint="eastAsia"/>
          <w:sz w:val="24"/>
          <w:szCs w:val="22"/>
        </w:rPr>
        <w:t>年，房地产行业人民币贷款余额达</w:t>
      </w:r>
      <w:r>
        <w:rPr>
          <w:rFonts w:eastAsia="宋体" w:cs="Times New Roman" w:hint="eastAsia"/>
          <w:sz w:val="24"/>
          <w:szCs w:val="22"/>
        </w:rPr>
        <w:t>38.7</w:t>
      </w:r>
      <w:r>
        <w:rPr>
          <w:rFonts w:eastAsia="宋体" w:cs="Times New Roman" w:hint="eastAsia"/>
          <w:sz w:val="24"/>
          <w:szCs w:val="22"/>
        </w:rPr>
        <w:t>万亿元，占人民币贷款余额（</w:t>
      </w:r>
      <w:r>
        <w:rPr>
          <w:rFonts w:eastAsia="宋体" w:cs="Times New Roman" w:hint="eastAsia"/>
          <w:sz w:val="24"/>
          <w:szCs w:val="22"/>
        </w:rPr>
        <w:t>136.3</w:t>
      </w:r>
      <w:r>
        <w:rPr>
          <w:rFonts w:eastAsia="宋体" w:cs="Times New Roman" w:hint="eastAsia"/>
          <w:sz w:val="24"/>
          <w:szCs w:val="22"/>
        </w:rPr>
        <w:t>万亿元）的</w:t>
      </w:r>
      <w:r>
        <w:rPr>
          <w:rFonts w:eastAsia="宋体" w:cs="Times New Roman" w:hint="eastAsia"/>
          <w:sz w:val="24"/>
          <w:szCs w:val="22"/>
        </w:rPr>
        <w:t>28.4%</w:t>
      </w:r>
      <w:r>
        <w:rPr>
          <w:rFonts w:eastAsia="宋体" w:cs="Times New Roman" w:hint="eastAsia"/>
          <w:sz w:val="24"/>
          <w:szCs w:val="22"/>
        </w:rPr>
        <w:t>，远超出同期房地产业增加值占</w:t>
      </w:r>
      <w:r>
        <w:rPr>
          <w:rFonts w:eastAsia="宋体" w:cs="Times New Roman" w:hint="eastAsia"/>
          <w:sz w:val="24"/>
          <w:szCs w:val="22"/>
        </w:rPr>
        <w:t>GDP</w:t>
      </w:r>
      <w:r>
        <w:rPr>
          <w:rFonts w:eastAsia="宋体" w:cs="Times New Roman" w:hint="eastAsia"/>
          <w:sz w:val="24"/>
          <w:szCs w:val="22"/>
        </w:rPr>
        <w:t>比重（</w:t>
      </w:r>
      <w:r>
        <w:rPr>
          <w:rFonts w:eastAsia="宋体" w:cs="Times New Roman" w:hint="eastAsia"/>
          <w:sz w:val="24"/>
          <w:szCs w:val="22"/>
        </w:rPr>
        <w:t>7.0%</w:t>
      </w:r>
      <w:r>
        <w:rPr>
          <w:rFonts w:eastAsia="宋体" w:cs="Times New Roman" w:hint="eastAsia"/>
          <w:sz w:val="24"/>
          <w:szCs w:val="22"/>
        </w:rPr>
        <w:t>）。相对应的，制造业人民币贷款余额为</w:t>
      </w:r>
      <w:r>
        <w:rPr>
          <w:rFonts w:eastAsia="宋体" w:cs="Times New Roman" w:hint="eastAsia"/>
          <w:sz w:val="24"/>
          <w:szCs w:val="22"/>
        </w:rPr>
        <w:t>13.9</w:t>
      </w:r>
      <w:r>
        <w:rPr>
          <w:rFonts w:eastAsia="宋体" w:cs="Times New Roman" w:hint="eastAsia"/>
          <w:sz w:val="24"/>
          <w:szCs w:val="22"/>
        </w:rPr>
        <w:t>万亿元，仅占人民币贷款余额的</w:t>
      </w:r>
      <w:r>
        <w:rPr>
          <w:rFonts w:eastAsia="宋体" w:cs="Times New Roman" w:hint="eastAsia"/>
          <w:sz w:val="24"/>
          <w:szCs w:val="22"/>
        </w:rPr>
        <w:t>10.2%</w:t>
      </w:r>
      <w:r>
        <w:rPr>
          <w:rFonts w:eastAsia="宋体" w:cs="Times New Roman" w:hint="eastAsia"/>
          <w:sz w:val="24"/>
          <w:szCs w:val="22"/>
        </w:rPr>
        <w:t>，远低于同期增加值占比（</w:t>
      </w:r>
      <w:r>
        <w:rPr>
          <w:rFonts w:eastAsia="宋体" w:cs="Times New Roman" w:hint="eastAsia"/>
          <w:sz w:val="24"/>
          <w:szCs w:val="22"/>
        </w:rPr>
        <w:t>27.8%</w:t>
      </w:r>
      <w:r>
        <w:rPr>
          <w:rFonts w:eastAsia="宋体" w:cs="Times New Roman" w:hint="eastAsia"/>
          <w:sz w:val="24"/>
          <w:szCs w:val="22"/>
        </w:rPr>
        <w:t>）；第一产业人民币贷款余额为</w:t>
      </w:r>
      <w:r>
        <w:rPr>
          <w:rFonts w:eastAsia="宋体" w:cs="Times New Roman" w:hint="eastAsia"/>
          <w:sz w:val="24"/>
          <w:szCs w:val="22"/>
        </w:rPr>
        <w:t>1.2</w:t>
      </w:r>
      <w:r>
        <w:rPr>
          <w:rFonts w:eastAsia="宋体" w:cs="Times New Roman" w:hint="eastAsia"/>
          <w:sz w:val="24"/>
          <w:szCs w:val="22"/>
        </w:rPr>
        <w:t>万亿元，仅占人民币贷款余额的</w:t>
      </w:r>
      <w:r>
        <w:rPr>
          <w:rFonts w:eastAsia="宋体" w:cs="Times New Roman" w:hint="eastAsia"/>
          <w:sz w:val="24"/>
          <w:szCs w:val="22"/>
        </w:rPr>
        <w:t>0.9%</w:t>
      </w:r>
      <w:r>
        <w:rPr>
          <w:rFonts w:eastAsia="宋体" w:cs="Times New Roman" w:hint="eastAsia"/>
          <w:sz w:val="24"/>
          <w:szCs w:val="22"/>
        </w:rPr>
        <w:t>，也低于同期增加值占比（</w:t>
      </w:r>
      <w:r>
        <w:rPr>
          <w:rFonts w:eastAsia="宋体" w:cs="Times New Roman" w:hint="eastAsia"/>
          <w:sz w:val="24"/>
          <w:szCs w:val="22"/>
        </w:rPr>
        <w:t>7.0%</w:t>
      </w:r>
      <w:r>
        <w:rPr>
          <w:rFonts w:eastAsia="宋体" w:cs="Times New Roman" w:hint="eastAsia"/>
          <w:sz w:val="24"/>
          <w:szCs w:val="22"/>
        </w:rPr>
        <w:t>）。</w:t>
      </w:r>
    </w:p>
    <w:p w14:paraId="1E06B5BD"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二是金融资源配置存在所有制偏好，对大型央企、地方国企和政府项目更加友好，民营企业获得金融资源的难度相对更大、成本相对更高。据不完全统计，现在银行业贷款余额中，民营企业贷款占</w:t>
      </w:r>
      <w:r>
        <w:rPr>
          <w:rFonts w:eastAsia="宋体" w:cs="Times New Roman" w:hint="eastAsia"/>
          <w:sz w:val="24"/>
          <w:szCs w:val="22"/>
        </w:rPr>
        <w:t>25%</w:t>
      </w:r>
      <w:r>
        <w:rPr>
          <w:rFonts w:eastAsia="宋体" w:cs="Times New Roman" w:hint="eastAsia"/>
          <w:sz w:val="24"/>
          <w:szCs w:val="22"/>
        </w:rPr>
        <w:t>，而民营经济在国民经济中的份额超过</w:t>
      </w:r>
      <w:r>
        <w:rPr>
          <w:rFonts w:eastAsia="宋体" w:cs="Times New Roman" w:hint="eastAsia"/>
          <w:sz w:val="24"/>
          <w:szCs w:val="22"/>
        </w:rPr>
        <w:t>60%</w:t>
      </w:r>
      <w:r>
        <w:rPr>
          <w:rFonts w:eastAsia="宋体" w:cs="Times New Roman" w:hint="eastAsia"/>
          <w:sz w:val="24"/>
          <w:szCs w:val="22"/>
        </w:rPr>
        <w:t>。民营企业从银行得到的贷款和其在经济中的比重还不相匹配、不相适应，“融资难、融资贵”问题持续存在。</w:t>
      </w:r>
    </w:p>
    <w:p w14:paraId="0276E87C"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三是金融资源更加青睐大中型企业，量多面广的小微企业获得金融支持的可及性较低。近年来，普惠小微贷款虽呈较快增长态势，但占全部贷款余额比重依然较低。截至</w:t>
      </w:r>
      <w:r>
        <w:rPr>
          <w:rFonts w:eastAsia="宋体" w:cs="Times New Roman" w:hint="eastAsia"/>
          <w:sz w:val="24"/>
          <w:szCs w:val="22"/>
        </w:rPr>
        <w:t>2020</w:t>
      </w:r>
      <w:r>
        <w:rPr>
          <w:rFonts w:eastAsia="宋体" w:cs="Times New Roman" w:hint="eastAsia"/>
          <w:sz w:val="24"/>
          <w:szCs w:val="22"/>
        </w:rPr>
        <w:t>年</w:t>
      </w:r>
      <w:r>
        <w:rPr>
          <w:rFonts w:eastAsia="宋体" w:cs="Times New Roman" w:hint="eastAsia"/>
          <w:sz w:val="24"/>
          <w:szCs w:val="22"/>
        </w:rPr>
        <w:t>9</w:t>
      </w:r>
      <w:r>
        <w:rPr>
          <w:rFonts w:eastAsia="宋体" w:cs="Times New Roman" w:hint="eastAsia"/>
          <w:sz w:val="24"/>
          <w:szCs w:val="22"/>
        </w:rPr>
        <w:t>月末，普惠型小微贷款余额为</w:t>
      </w:r>
      <w:r>
        <w:rPr>
          <w:rFonts w:eastAsia="宋体" w:cs="Times New Roman" w:hint="eastAsia"/>
          <w:sz w:val="24"/>
          <w:szCs w:val="22"/>
        </w:rPr>
        <w:t>14.6</w:t>
      </w:r>
      <w:r>
        <w:rPr>
          <w:rFonts w:eastAsia="宋体" w:cs="Times New Roman" w:hint="eastAsia"/>
          <w:sz w:val="24"/>
          <w:szCs w:val="22"/>
        </w:rPr>
        <w:t>万亿元，占人民币贷款余额的比重仅为</w:t>
      </w:r>
      <w:r>
        <w:rPr>
          <w:rFonts w:eastAsia="宋体" w:cs="Times New Roman" w:hint="eastAsia"/>
          <w:sz w:val="24"/>
          <w:szCs w:val="22"/>
        </w:rPr>
        <w:t>8.6%</w:t>
      </w:r>
      <w:r>
        <w:rPr>
          <w:rFonts w:eastAsia="宋体" w:cs="Times New Roman" w:hint="eastAsia"/>
          <w:sz w:val="24"/>
          <w:szCs w:val="22"/>
        </w:rPr>
        <w:t>。当前银行等金融机构抵押贷款不适应中小微企业“抵押少、信息软、资产轻”的特点，特别是对于缺乏抵押品和担保人的小微企业，如要获得贷款还需购</w:t>
      </w:r>
      <w:r>
        <w:rPr>
          <w:rFonts w:eastAsia="宋体" w:cs="Times New Roman" w:hint="eastAsia"/>
          <w:sz w:val="24"/>
          <w:szCs w:val="22"/>
        </w:rPr>
        <w:lastRenderedPageBreak/>
        <w:t>买保险、商业担保等，进一步抬高融资成本。</w:t>
      </w:r>
    </w:p>
    <w:p w14:paraId="26C181D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究其原因，在于我国现代金融体系尚未健全完善，有待进一步调整优化融资结构和金融机构体系、市场体系、产品体系。在融资结构上，直接融资和间接融资比例失衡；在机构体系上，中小金融机构业务规模较小、比重偏低；在市场体系上，资本市场发展不平衡不协同；在产品体系上，金融产品过度创新积累金融风险，个性化、差异化、定制化金融产品及服务仍然偏少；在对外开放上，整体开放程度滞后于自身发展需要。</w:t>
      </w:r>
    </w:p>
    <w:p w14:paraId="689ECFB3" w14:textId="77777777" w:rsidR="004651C7" w:rsidRDefault="00BF798C">
      <w:pPr>
        <w:pStyle w:val="4"/>
      </w:pPr>
      <w:bookmarkStart w:id="76" w:name="_Toc93661690"/>
      <w:r>
        <w:rPr>
          <w:rFonts w:hint="eastAsia"/>
        </w:rPr>
        <w:t>1</w:t>
      </w:r>
      <w:r>
        <w:t>.</w:t>
      </w:r>
      <w:r>
        <w:rPr>
          <w:rFonts w:hint="eastAsia"/>
        </w:rPr>
        <w:t>融资渠道过于依赖间接融资</w:t>
      </w:r>
      <w:bookmarkEnd w:id="76"/>
    </w:p>
    <w:p w14:paraId="2F92F885"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我国资金融通以间接融资为主，直接融资尤其是股权融资比例较低。截至</w:t>
      </w:r>
      <w:r>
        <w:rPr>
          <w:rFonts w:eastAsia="宋体" w:cs="Times New Roman" w:hint="eastAsia"/>
          <w:sz w:val="24"/>
          <w:szCs w:val="22"/>
        </w:rPr>
        <w:t>2020</w:t>
      </w:r>
      <w:r>
        <w:rPr>
          <w:rFonts w:eastAsia="宋体" w:cs="Times New Roman" w:hint="eastAsia"/>
          <w:sz w:val="24"/>
          <w:szCs w:val="22"/>
        </w:rPr>
        <w:t>年</w:t>
      </w:r>
      <w:r>
        <w:rPr>
          <w:rFonts w:eastAsia="宋体" w:cs="Times New Roman" w:hint="eastAsia"/>
          <w:sz w:val="24"/>
          <w:szCs w:val="22"/>
        </w:rPr>
        <w:t>9</w:t>
      </w:r>
      <w:r>
        <w:rPr>
          <w:rFonts w:eastAsia="宋体" w:cs="Times New Roman" w:hint="eastAsia"/>
          <w:sz w:val="24"/>
          <w:szCs w:val="22"/>
        </w:rPr>
        <w:t>月末，直接融资（包括政府债券、企业债券、股票）存量为</w:t>
      </w:r>
      <w:r>
        <w:rPr>
          <w:rFonts w:eastAsia="宋体" w:cs="Times New Roman" w:hint="eastAsia"/>
          <w:sz w:val="24"/>
          <w:szCs w:val="22"/>
        </w:rPr>
        <w:t>79.8</w:t>
      </w:r>
      <w:r>
        <w:rPr>
          <w:rFonts w:eastAsia="宋体" w:cs="Times New Roman" w:hint="eastAsia"/>
          <w:sz w:val="24"/>
          <w:szCs w:val="22"/>
        </w:rPr>
        <w:t>万亿元，约占社会融资规模存量的</w:t>
      </w:r>
      <w:r>
        <w:rPr>
          <w:rFonts w:eastAsia="宋体" w:cs="Times New Roman" w:hint="eastAsia"/>
          <w:sz w:val="24"/>
          <w:szCs w:val="22"/>
        </w:rPr>
        <w:t>29%</w:t>
      </w:r>
      <w:r>
        <w:rPr>
          <w:rFonts w:eastAsia="宋体" w:cs="Times New Roman" w:hint="eastAsia"/>
          <w:sz w:val="24"/>
          <w:szCs w:val="22"/>
        </w:rPr>
        <w:t>。其中，股票融资占直接融资的比重仅为</w:t>
      </w:r>
      <w:r>
        <w:rPr>
          <w:rFonts w:eastAsia="宋体" w:cs="Times New Roman" w:hint="eastAsia"/>
          <w:sz w:val="24"/>
          <w:szCs w:val="22"/>
        </w:rPr>
        <w:t>10%</w:t>
      </w:r>
      <w:r>
        <w:rPr>
          <w:rFonts w:eastAsia="宋体" w:cs="Times New Roman" w:hint="eastAsia"/>
          <w:sz w:val="24"/>
          <w:szCs w:val="22"/>
        </w:rPr>
        <w:t>。间接融资为主导的金融体系对中小微企业和创新经济支持不足，一定程度上也导致宏观杠杆率偏高。与传统行业不同，科技企业和创新型产业在发展初期通常资产轻、规模小，缺乏有形担保物和内源融资能力，商业银行风险偏好低，侧重企业的担保物、资产规模和现金流，为中小企业等高风险“长尾客户”授信积极性低。因此，创新型产业通常需要具有风险分散能力的资本市场对其直接融资。发展直接融资可以将不同风险偏好、期限的资金更为精准高效地转化为资本，促进资金要素向最具潜力的领域协同集聚，提高资金要素质量和配置效率，推动产业基础高级化、产业链现代化。</w:t>
      </w:r>
    </w:p>
    <w:p w14:paraId="3454CEC6" w14:textId="77777777" w:rsidR="004651C7" w:rsidRDefault="00BF798C">
      <w:pPr>
        <w:pStyle w:val="4"/>
      </w:pPr>
      <w:bookmarkStart w:id="77" w:name="_Toc93661691"/>
      <w:r>
        <w:rPr>
          <w:rFonts w:hint="eastAsia"/>
        </w:rPr>
        <w:t>2</w:t>
      </w:r>
      <w:r>
        <w:t>.</w:t>
      </w:r>
      <w:r>
        <w:rPr>
          <w:rFonts w:hint="eastAsia"/>
        </w:rPr>
        <w:t>金融机构体系分散化程度不高</w:t>
      </w:r>
      <w:bookmarkEnd w:id="77"/>
    </w:p>
    <w:p w14:paraId="348D4E35"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大型金融机构业务占主导的模式导致金融资源更多惠及大企业、大项目和城市，民营企业、小微企业、“三农”领域获得的金融支持明显不足。以银行业为例，截至</w:t>
      </w:r>
      <w:r>
        <w:rPr>
          <w:rFonts w:eastAsia="宋体" w:cs="Times New Roman" w:hint="eastAsia"/>
          <w:sz w:val="24"/>
          <w:szCs w:val="22"/>
        </w:rPr>
        <w:t>2019</w:t>
      </w:r>
      <w:r>
        <w:rPr>
          <w:rFonts w:eastAsia="宋体" w:cs="Times New Roman" w:hint="eastAsia"/>
          <w:sz w:val="24"/>
          <w:szCs w:val="22"/>
        </w:rPr>
        <w:t>年末，我国银行机构数量达</w:t>
      </w:r>
      <w:r>
        <w:rPr>
          <w:rFonts w:eastAsia="宋体" w:cs="Times New Roman" w:hint="eastAsia"/>
          <w:sz w:val="24"/>
          <w:szCs w:val="22"/>
        </w:rPr>
        <w:t>4607</w:t>
      </w:r>
      <w:r>
        <w:rPr>
          <w:rFonts w:eastAsia="宋体" w:cs="Times New Roman" w:hint="eastAsia"/>
          <w:sz w:val="24"/>
          <w:szCs w:val="22"/>
        </w:rPr>
        <w:t>家，仅次于美国（</w:t>
      </w:r>
      <w:r>
        <w:rPr>
          <w:rFonts w:eastAsia="宋体" w:cs="Times New Roman" w:hint="eastAsia"/>
          <w:sz w:val="24"/>
          <w:szCs w:val="22"/>
        </w:rPr>
        <w:t>5193</w:t>
      </w:r>
      <w:r>
        <w:rPr>
          <w:rFonts w:eastAsia="宋体" w:cs="Times New Roman" w:hint="eastAsia"/>
          <w:sz w:val="24"/>
          <w:szCs w:val="22"/>
        </w:rPr>
        <w:t>家），成为全球银行机构数量排名第二的经济体。根据央行金融稳定局数据，中小银行共</w:t>
      </w:r>
      <w:r>
        <w:rPr>
          <w:rFonts w:eastAsia="宋体" w:cs="Times New Roman" w:hint="eastAsia"/>
          <w:sz w:val="24"/>
          <w:szCs w:val="22"/>
        </w:rPr>
        <w:t>4005</w:t>
      </w:r>
      <w:r>
        <w:rPr>
          <w:rFonts w:eastAsia="宋体" w:cs="Times New Roman" w:hint="eastAsia"/>
          <w:sz w:val="24"/>
          <w:szCs w:val="22"/>
        </w:rPr>
        <w:t>家，数量占比</w:t>
      </w:r>
      <w:r>
        <w:rPr>
          <w:rFonts w:eastAsia="宋体" w:cs="Times New Roman" w:hint="eastAsia"/>
          <w:sz w:val="24"/>
          <w:szCs w:val="22"/>
        </w:rPr>
        <w:t>87%</w:t>
      </w:r>
      <w:r>
        <w:rPr>
          <w:rFonts w:eastAsia="宋体" w:cs="Times New Roman" w:hint="eastAsia"/>
          <w:sz w:val="24"/>
          <w:szCs w:val="22"/>
        </w:rPr>
        <w:t>，资产规模近</w:t>
      </w:r>
      <w:r>
        <w:rPr>
          <w:rFonts w:eastAsia="宋体" w:cs="Times New Roman" w:hint="eastAsia"/>
          <w:sz w:val="24"/>
          <w:szCs w:val="22"/>
        </w:rPr>
        <w:t>80</w:t>
      </w:r>
      <w:r>
        <w:rPr>
          <w:rFonts w:eastAsia="宋体" w:cs="Times New Roman" w:hint="eastAsia"/>
          <w:sz w:val="24"/>
          <w:szCs w:val="22"/>
        </w:rPr>
        <w:t>万亿元，仅占整个银行业体量约</w:t>
      </w:r>
      <w:r>
        <w:rPr>
          <w:rFonts w:eastAsia="宋体" w:cs="Times New Roman" w:hint="eastAsia"/>
          <w:sz w:val="24"/>
          <w:szCs w:val="22"/>
        </w:rPr>
        <w:t>25%</w:t>
      </w:r>
      <w:r>
        <w:rPr>
          <w:rFonts w:eastAsia="宋体" w:cs="Times New Roman" w:hint="eastAsia"/>
          <w:sz w:val="24"/>
          <w:szCs w:val="22"/>
        </w:rPr>
        <w:t>。大型银行的经营管理方式不能充分适应中小企业的融资特点。大型银行的机构设置、审批体制和经营考核以服务大型企业为主，习惯于做大金额业务，审批权限相对集中，贷款审批和发放程序较复杂，难以满足中小企业短、频、快的融资需求。相反，中小银行扎根基层，在服务当地居民、中小企业、个体工商户等领域具备更好的条件和基础。中小银行熟悉各所在区域的经济发展特点、产业发展特点，管理决策更加接近市场，能够根据地域</w:t>
      </w:r>
      <w:r>
        <w:rPr>
          <w:rFonts w:eastAsia="宋体" w:cs="Times New Roman" w:hint="eastAsia"/>
          <w:sz w:val="24"/>
          <w:szCs w:val="22"/>
        </w:rPr>
        <w:lastRenderedPageBreak/>
        <w:t>经济、行业、风险特色，制订更为有效的业务流程和风险管控措施，也更能以市场需求为导向开发差异化、定制化产品和服务。</w:t>
      </w:r>
    </w:p>
    <w:p w14:paraId="2BFE1DA6" w14:textId="77777777" w:rsidR="004651C7" w:rsidRDefault="00BF798C">
      <w:pPr>
        <w:pStyle w:val="4"/>
      </w:pPr>
      <w:bookmarkStart w:id="78" w:name="_Toc93661692"/>
      <w:r>
        <w:rPr>
          <w:rFonts w:hint="eastAsia"/>
        </w:rPr>
        <w:t>3</w:t>
      </w:r>
      <w:r>
        <w:t>.</w:t>
      </w:r>
      <w:r>
        <w:rPr>
          <w:rFonts w:hint="eastAsia"/>
        </w:rPr>
        <w:t>资本市场发展不平衡不协同</w:t>
      </w:r>
      <w:bookmarkEnd w:id="78"/>
    </w:p>
    <w:p w14:paraId="4EC42D5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一是股票市场与债券市场发展之间的失调。</w:t>
      </w:r>
      <w:r>
        <w:rPr>
          <w:rFonts w:eastAsia="宋体" w:cs="Times New Roman" w:hint="eastAsia"/>
          <w:sz w:val="24"/>
          <w:szCs w:val="22"/>
        </w:rPr>
        <w:t>2019</w:t>
      </w:r>
      <w:r>
        <w:rPr>
          <w:rFonts w:eastAsia="宋体" w:cs="Times New Roman" w:hint="eastAsia"/>
          <w:sz w:val="24"/>
          <w:szCs w:val="22"/>
        </w:rPr>
        <w:t>年社会融资规模增量中，企业债券融资额达</w:t>
      </w:r>
      <w:r>
        <w:rPr>
          <w:rFonts w:eastAsia="宋体" w:cs="Times New Roman" w:hint="eastAsia"/>
          <w:sz w:val="24"/>
          <w:szCs w:val="22"/>
        </w:rPr>
        <w:t>32416</w:t>
      </w:r>
      <w:r>
        <w:rPr>
          <w:rFonts w:eastAsia="宋体" w:cs="Times New Roman" w:hint="eastAsia"/>
          <w:sz w:val="24"/>
          <w:szCs w:val="22"/>
        </w:rPr>
        <w:t>亿元，而非金融企业境内股票融资额仅为</w:t>
      </w:r>
      <w:r>
        <w:rPr>
          <w:rFonts w:eastAsia="宋体" w:cs="Times New Roman" w:hint="eastAsia"/>
          <w:sz w:val="24"/>
          <w:szCs w:val="22"/>
        </w:rPr>
        <w:t>3479</w:t>
      </w:r>
      <w:r>
        <w:rPr>
          <w:rFonts w:eastAsia="宋体" w:cs="Times New Roman" w:hint="eastAsia"/>
          <w:sz w:val="24"/>
          <w:szCs w:val="22"/>
        </w:rPr>
        <w:t>亿元。二是股票市场内部各个板块发展不平衡。主板市场发展较快，</w:t>
      </w:r>
      <w:r>
        <w:rPr>
          <w:rFonts w:eastAsia="宋体" w:cs="Times New Roman" w:hint="eastAsia"/>
          <w:sz w:val="24"/>
          <w:szCs w:val="22"/>
        </w:rPr>
        <w:t>2019</w:t>
      </w:r>
      <w:r>
        <w:rPr>
          <w:rFonts w:eastAsia="宋体" w:cs="Times New Roman" w:hint="eastAsia"/>
          <w:sz w:val="24"/>
          <w:szCs w:val="22"/>
        </w:rPr>
        <w:t>年市价总值近</w:t>
      </w:r>
      <w:r>
        <w:rPr>
          <w:rFonts w:eastAsia="宋体" w:cs="Times New Roman" w:hint="eastAsia"/>
          <w:sz w:val="24"/>
          <w:szCs w:val="22"/>
        </w:rPr>
        <w:t>40</w:t>
      </w:r>
      <w:r>
        <w:rPr>
          <w:rFonts w:eastAsia="宋体" w:cs="Times New Roman" w:hint="eastAsia"/>
          <w:sz w:val="24"/>
          <w:szCs w:val="22"/>
        </w:rPr>
        <w:t>万亿元，成为大型成熟企业直接融资的平台；科创板市价总值近</w:t>
      </w:r>
      <w:r>
        <w:rPr>
          <w:rFonts w:eastAsia="宋体" w:cs="Times New Roman" w:hint="eastAsia"/>
          <w:sz w:val="24"/>
          <w:szCs w:val="22"/>
        </w:rPr>
        <w:t>1</w:t>
      </w:r>
      <w:r>
        <w:rPr>
          <w:rFonts w:eastAsia="宋体" w:cs="Times New Roman" w:hint="eastAsia"/>
          <w:sz w:val="24"/>
          <w:szCs w:val="22"/>
        </w:rPr>
        <w:t>万亿元。新三板与区域性股权交易市场起步较晚且规模体量较小，新三板还存在市场分层制度（基础层和创新层）缺陷等问题，导致交易活跃度低和流动性较差。同时，一、二、三、四板之间的双向转板机制不健全，不利于形成直接融资的合力。三是资本市场退市制度不合理。</w:t>
      </w:r>
      <w:r>
        <w:rPr>
          <w:rFonts w:eastAsia="宋体" w:cs="Times New Roman" w:hint="eastAsia"/>
          <w:sz w:val="24"/>
          <w:szCs w:val="22"/>
        </w:rPr>
        <w:t>2019</w:t>
      </w:r>
      <w:r>
        <w:rPr>
          <w:rFonts w:eastAsia="宋体" w:cs="Times New Roman" w:hint="eastAsia"/>
          <w:sz w:val="24"/>
          <w:szCs w:val="22"/>
        </w:rPr>
        <w:t>年沪深两市退市公司仅为</w:t>
      </w:r>
      <w:r>
        <w:rPr>
          <w:rFonts w:eastAsia="宋体" w:cs="Times New Roman" w:hint="eastAsia"/>
          <w:sz w:val="24"/>
          <w:szCs w:val="22"/>
        </w:rPr>
        <w:t>18</w:t>
      </w:r>
      <w:r>
        <w:rPr>
          <w:rFonts w:eastAsia="宋体" w:cs="Times New Roman" w:hint="eastAsia"/>
          <w:sz w:val="24"/>
          <w:szCs w:val="22"/>
        </w:rPr>
        <w:t>家，退市率为</w:t>
      </w:r>
      <w:r>
        <w:rPr>
          <w:rFonts w:eastAsia="宋体" w:cs="Times New Roman" w:hint="eastAsia"/>
          <w:sz w:val="24"/>
          <w:szCs w:val="22"/>
        </w:rPr>
        <w:t>0.7%</w:t>
      </w:r>
      <w:r>
        <w:rPr>
          <w:rFonts w:eastAsia="宋体" w:cs="Times New Roman" w:hint="eastAsia"/>
          <w:sz w:val="24"/>
          <w:szCs w:val="22"/>
        </w:rPr>
        <w:t>，远低于成熟发达国家资本市场</w:t>
      </w:r>
      <w:r>
        <w:rPr>
          <w:rFonts w:eastAsia="宋体" w:cs="Times New Roman" w:hint="eastAsia"/>
          <w:sz w:val="24"/>
          <w:szCs w:val="22"/>
        </w:rPr>
        <w:t>6%</w:t>
      </w:r>
      <w:r>
        <w:rPr>
          <w:rFonts w:eastAsia="宋体" w:cs="Times New Roman" w:hint="eastAsia"/>
          <w:sz w:val="24"/>
          <w:szCs w:val="22"/>
        </w:rPr>
        <w:t>的平均水平。</w:t>
      </w:r>
    </w:p>
    <w:p w14:paraId="570C39BF" w14:textId="77777777" w:rsidR="004651C7" w:rsidRDefault="00BF798C">
      <w:pPr>
        <w:pStyle w:val="4"/>
      </w:pPr>
      <w:bookmarkStart w:id="79" w:name="_Toc93661693"/>
      <w:r>
        <w:rPr>
          <w:rFonts w:hint="eastAsia"/>
        </w:rPr>
        <w:t>4</w:t>
      </w:r>
      <w:r>
        <w:t>.</w:t>
      </w:r>
      <w:r>
        <w:rPr>
          <w:rFonts w:hint="eastAsia"/>
        </w:rPr>
        <w:t>金融产品过度创新积累金融风险</w:t>
      </w:r>
      <w:bookmarkEnd w:id="79"/>
    </w:p>
    <w:p w14:paraId="0B1037BF"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一是银行理财产品快速扩张积聚隐患。近年来，银行理财产品在利率市场化和监管漏洞的背景下快速发展，从</w:t>
      </w:r>
      <w:r>
        <w:rPr>
          <w:rFonts w:eastAsia="宋体" w:cs="Times New Roman" w:hint="eastAsia"/>
          <w:sz w:val="24"/>
          <w:szCs w:val="22"/>
        </w:rPr>
        <w:t>2012</w:t>
      </w:r>
      <w:r>
        <w:rPr>
          <w:rFonts w:eastAsia="宋体" w:cs="Times New Roman" w:hint="eastAsia"/>
          <w:sz w:val="24"/>
          <w:szCs w:val="22"/>
        </w:rPr>
        <w:t>年的</w:t>
      </w:r>
      <w:r>
        <w:rPr>
          <w:rFonts w:eastAsia="宋体" w:cs="Times New Roman" w:hint="eastAsia"/>
          <w:sz w:val="24"/>
          <w:szCs w:val="22"/>
        </w:rPr>
        <w:t>6.5</w:t>
      </w:r>
      <w:r>
        <w:rPr>
          <w:rFonts w:eastAsia="宋体" w:cs="Times New Roman" w:hint="eastAsia"/>
          <w:sz w:val="24"/>
          <w:szCs w:val="22"/>
        </w:rPr>
        <w:t>万亿元升到</w:t>
      </w:r>
      <w:r>
        <w:rPr>
          <w:rFonts w:eastAsia="宋体" w:cs="Times New Roman" w:hint="eastAsia"/>
          <w:sz w:val="24"/>
          <w:szCs w:val="22"/>
        </w:rPr>
        <w:t>2019</w:t>
      </w:r>
      <w:r>
        <w:rPr>
          <w:rFonts w:eastAsia="宋体" w:cs="Times New Roman" w:hint="eastAsia"/>
          <w:sz w:val="24"/>
          <w:szCs w:val="22"/>
        </w:rPr>
        <w:t>年的</w:t>
      </w:r>
      <w:r>
        <w:rPr>
          <w:rFonts w:eastAsia="宋体" w:cs="Times New Roman" w:hint="eastAsia"/>
          <w:sz w:val="24"/>
          <w:szCs w:val="22"/>
        </w:rPr>
        <w:t>23</w:t>
      </w:r>
      <w:r>
        <w:rPr>
          <w:rFonts w:eastAsia="宋体" w:cs="Times New Roman" w:hint="eastAsia"/>
          <w:sz w:val="24"/>
          <w:szCs w:val="22"/>
        </w:rPr>
        <w:t>万亿元，年均增长率高达</w:t>
      </w:r>
      <w:r>
        <w:rPr>
          <w:rFonts w:eastAsia="宋体" w:cs="Times New Roman" w:hint="eastAsia"/>
          <w:sz w:val="24"/>
          <w:szCs w:val="22"/>
        </w:rPr>
        <w:t>19.8%</w:t>
      </w:r>
      <w:r>
        <w:rPr>
          <w:rFonts w:eastAsia="宋体" w:cs="Times New Roman" w:hint="eastAsia"/>
          <w:sz w:val="24"/>
          <w:szCs w:val="22"/>
        </w:rPr>
        <w:t>。大部分银行理财产品为地方政府融资平台、房地产以及过剩产能行业提供替代性的融资渠道，导致资金池、期限错配、多层嵌套、透明度低以及资金空转等金融风险层出不穷。二是互联网金融无序发展浪费金融资源。互联网金融产品如众筹、</w:t>
      </w:r>
      <w:r>
        <w:rPr>
          <w:rFonts w:eastAsia="宋体" w:cs="Times New Roman" w:hint="eastAsia"/>
          <w:sz w:val="24"/>
          <w:szCs w:val="22"/>
        </w:rPr>
        <w:t>P2P</w:t>
      </w:r>
      <w:r>
        <w:rPr>
          <w:rFonts w:eastAsia="宋体" w:cs="Times New Roman" w:hint="eastAsia"/>
          <w:sz w:val="24"/>
          <w:szCs w:val="22"/>
        </w:rPr>
        <w:t>等满足了自然人或者企业快速的资金需求，但也因其缺乏相应的配套制度，一些融资平台出现关停倒闭等情况，引发社会信用和兑换危机。截至</w:t>
      </w:r>
      <w:r>
        <w:rPr>
          <w:rFonts w:eastAsia="宋体" w:cs="Times New Roman" w:hint="eastAsia"/>
          <w:sz w:val="24"/>
          <w:szCs w:val="22"/>
        </w:rPr>
        <w:t>11</w:t>
      </w:r>
      <w:r>
        <w:rPr>
          <w:rFonts w:eastAsia="宋体" w:cs="Times New Roman" w:hint="eastAsia"/>
          <w:sz w:val="24"/>
          <w:szCs w:val="22"/>
        </w:rPr>
        <w:t>月中旬，全国实际运营的</w:t>
      </w:r>
      <w:r>
        <w:rPr>
          <w:rFonts w:eastAsia="宋体" w:cs="Times New Roman" w:hint="eastAsia"/>
          <w:sz w:val="24"/>
          <w:szCs w:val="22"/>
        </w:rPr>
        <w:t>P2P</w:t>
      </w:r>
      <w:r>
        <w:rPr>
          <w:rFonts w:eastAsia="宋体" w:cs="Times New Roman" w:hint="eastAsia"/>
          <w:sz w:val="24"/>
          <w:szCs w:val="22"/>
        </w:rPr>
        <w:t>网贷机构由高峰时期的约</w:t>
      </w:r>
      <w:r>
        <w:rPr>
          <w:rFonts w:eastAsia="宋体" w:cs="Times New Roman" w:hint="eastAsia"/>
          <w:sz w:val="24"/>
          <w:szCs w:val="22"/>
        </w:rPr>
        <w:t>5000</w:t>
      </w:r>
      <w:r>
        <w:rPr>
          <w:rFonts w:eastAsia="宋体" w:cs="Times New Roman" w:hint="eastAsia"/>
          <w:sz w:val="24"/>
          <w:szCs w:val="22"/>
        </w:rPr>
        <w:t>家，逐步压降至完全归零，出借人有超</w:t>
      </w:r>
      <w:r>
        <w:rPr>
          <w:rFonts w:eastAsia="宋体" w:cs="Times New Roman" w:hint="eastAsia"/>
          <w:sz w:val="24"/>
          <w:szCs w:val="22"/>
        </w:rPr>
        <w:t>8000</w:t>
      </w:r>
      <w:r>
        <w:rPr>
          <w:rFonts w:eastAsia="宋体" w:cs="Times New Roman" w:hint="eastAsia"/>
          <w:sz w:val="24"/>
          <w:szCs w:val="22"/>
        </w:rPr>
        <w:t>亿元的资金没有收回。三是金融科技亟待规范监管。金融科技公司缺乏对消费者还款能力的有效评估，往往形成过度授信，与场景诱导共同刺激超前消费，使得一些低收入人群和年轻人深陷债务陷阱，最终损害消费者权益，甚至给家庭和社会带来危害。在收费方面，金融科技公司“普而不惠”，贷款利率高于银行金融机构，与普惠金融理念不符。在信息保护方面，部分金融科技公司存在过度收集并滥用客户信息、信息管理不当的问题，在消费者不知情的情况下，其信息在平台方、支付机构、出资方等之间流转，侵害了消费者信息安全权。四是个性化、差异化、定制化金融产品及服务仍然偏少。金融机构产品和服务创新意识不强，业务品种单一、产品和服务</w:t>
      </w:r>
      <w:r>
        <w:rPr>
          <w:rFonts w:eastAsia="宋体" w:cs="Times New Roman" w:hint="eastAsia"/>
          <w:sz w:val="24"/>
          <w:szCs w:val="22"/>
        </w:rPr>
        <w:lastRenderedPageBreak/>
        <w:t>同质化比较严重，缺乏个性化、差异化、定制化，无法满足创新型业态的融资需求。</w:t>
      </w:r>
    </w:p>
    <w:p w14:paraId="08374852" w14:textId="77777777" w:rsidR="004651C7" w:rsidRDefault="00BF798C">
      <w:pPr>
        <w:pStyle w:val="4"/>
      </w:pPr>
      <w:bookmarkStart w:id="80" w:name="_Toc93661694"/>
      <w:r>
        <w:rPr>
          <w:rFonts w:hint="eastAsia"/>
        </w:rPr>
        <w:t>5</w:t>
      </w:r>
      <w:r>
        <w:t>.</w:t>
      </w:r>
      <w:r>
        <w:rPr>
          <w:rFonts w:hint="eastAsia"/>
        </w:rPr>
        <w:t>金融业开放程度滞后于自身发展需要</w:t>
      </w:r>
      <w:bookmarkEnd w:id="80"/>
    </w:p>
    <w:p w14:paraId="4BDE328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金融业开放通过引入金融机构、业务、产品，增加金融有效供给，有利于统筹利用“两个市场、两种资源”，优化资源配置效率，更好地满足实体经济差异化、个性化的金融服务需求。尽管我国在持续推动金融业对外开放，但当前国内外环境复杂多变，外资诉求也不断增加，我国金融业开放程度与实现自身发展需要相比仍存在一定差距。一方面，我国金融市场开放仍以“管道式”开放为主，金融市场深度和广度不足，便利性均有待提高，金融业国际竞争力仍需要加强，金融制度环境与国际接轨程度也有待提升，外资金融机构的营商环境也需进一步改进。目前外资占中国</w:t>
      </w:r>
      <w:r>
        <w:rPr>
          <w:rFonts w:eastAsia="宋体" w:cs="Times New Roman" w:hint="eastAsia"/>
          <w:sz w:val="24"/>
          <w:szCs w:val="22"/>
        </w:rPr>
        <w:t>A</w:t>
      </w:r>
      <w:r>
        <w:rPr>
          <w:rFonts w:eastAsia="宋体" w:cs="Times New Roman" w:hint="eastAsia"/>
          <w:sz w:val="24"/>
          <w:szCs w:val="22"/>
        </w:rPr>
        <w:t>股市场的比重只有</w:t>
      </w:r>
      <w:r>
        <w:rPr>
          <w:rFonts w:eastAsia="宋体" w:cs="Times New Roman" w:hint="eastAsia"/>
          <w:sz w:val="24"/>
          <w:szCs w:val="22"/>
        </w:rPr>
        <w:t>2%</w:t>
      </w:r>
      <w:r>
        <w:rPr>
          <w:rFonts w:eastAsia="宋体" w:cs="Times New Roman" w:hint="eastAsia"/>
          <w:sz w:val="24"/>
          <w:szCs w:val="22"/>
        </w:rPr>
        <w:t>，占中国债券市场的比重只有</w:t>
      </w:r>
      <w:r>
        <w:rPr>
          <w:rFonts w:eastAsia="宋体" w:cs="Times New Roman" w:hint="eastAsia"/>
          <w:sz w:val="24"/>
          <w:szCs w:val="22"/>
        </w:rPr>
        <w:t>2.9%</w:t>
      </w:r>
      <w:r>
        <w:rPr>
          <w:rFonts w:eastAsia="宋体" w:cs="Times New Roman" w:hint="eastAsia"/>
          <w:sz w:val="24"/>
          <w:szCs w:val="22"/>
        </w:rPr>
        <w:t>，外资银行资产占全部商业银行的比重为</w:t>
      </w:r>
      <w:r>
        <w:rPr>
          <w:rFonts w:eastAsia="宋体" w:cs="Times New Roman" w:hint="eastAsia"/>
          <w:sz w:val="24"/>
          <w:szCs w:val="22"/>
        </w:rPr>
        <w:t>1.6%</w:t>
      </w:r>
      <w:r>
        <w:rPr>
          <w:rFonts w:eastAsia="宋体" w:cs="Times New Roman" w:hint="eastAsia"/>
          <w:sz w:val="24"/>
          <w:szCs w:val="22"/>
        </w:rPr>
        <w:t>，外资保险公司占比为</w:t>
      </w:r>
      <w:r>
        <w:rPr>
          <w:rFonts w:eastAsia="宋体" w:cs="Times New Roman" w:hint="eastAsia"/>
          <w:sz w:val="24"/>
          <w:szCs w:val="22"/>
        </w:rPr>
        <w:t>5.8%</w:t>
      </w:r>
      <w:r>
        <w:rPr>
          <w:rFonts w:eastAsia="宋体" w:cs="Times New Roman" w:hint="eastAsia"/>
          <w:sz w:val="24"/>
          <w:szCs w:val="22"/>
        </w:rPr>
        <w:t>，都还有很大提升空间。另一方面，与国际相比，我国金融业对外开放程度与我国的大国地位和国际影响力严重不匹配。作为全世界第二大经济体和第一大出口国，我国金融业开放程度的国际排名不仅远落后于主要发达经济体，甚至近年来被诸多发展中国家超越。世界经济合作与发展组织（</w:t>
      </w:r>
      <w:r>
        <w:rPr>
          <w:rFonts w:eastAsia="宋体" w:cs="Times New Roman" w:hint="eastAsia"/>
          <w:sz w:val="24"/>
          <w:szCs w:val="22"/>
        </w:rPr>
        <w:t>OECD</w:t>
      </w:r>
      <w:r>
        <w:rPr>
          <w:rFonts w:eastAsia="宋体" w:cs="Times New Roman" w:hint="eastAsia"/>
          <w:sz w:val="24"/>
          <w:szCs w:val="22"/>
        </w:rPr>
        <w:t>）发布的全球外资限制指数（</w:t>
      </w:r>
      <w:r>
        <w:rPr>
          <w:rFonts w:eastAsia="宋体" w:cs="Times New Roman" w:hint="eastAsia"/>
          <w:sz w:val="24"/>
          <w:szCs w:val="22"/>
        </w:rPr>
        <w:t>FDI Regulatory Restrictiveness Index</w:t>
      </w:r>
      <w:r>
        <w:rPr>
          <w:rFonts w:eastAsia="宋体" w:cs="Times New Roman" w:hint="eastAsia"/>
          <w:sz w:val="24"/>
          <w:szCs w:val="22"/>
        </w:rPr>
        <w:t>）显示，</w:t>
      </w:r>
      <w:r>
        <w:rPr>
          <w:rFonts w:eastAsia="宋体" w:cs="Times New Roman" w:hint="eastAsia"/>
          <w:sz w:val="24"/>
          <w:szCs w:val="22"/>
        </w:rPr>
        <w:t>2019</w:t>
      </w:r>
      <w:r>
        <w:rPr>
          <w:rFonts w:eastAsia="宋体" w:cs="Times New Roman" w:hint="eastAsia"/>
          <w:sz w:val="24"/>
          <w:szCs w:val="22"/>
        </w:rPr>
        <w:t>年全球金融业外资限制程度最高的十个国家分别是利比亚（</w:t>
      </w:r>
      <w:r>
        <w:rPr>
          <w:rFonts w:eastAsia="宋体" w:cs="Times New Roman" w:hint="eastAsia"/>
          <w:sz w:val="24"/>
          <w:szCs w:val="22"/>
        </w:rPr>
        <w:t>0.630</w:t>
      </w:r>
      <w:r>
        <w:rPr>
          <w:rFonts w:eastAsia="宋体" w:cs="Times New Roman" w:hint="eastAsia"/>
          <w:sz w:val="24"/>
          <w:szCs w:val="22"/>
        </w:rPr>
        <w:t>）、阿尔及利亚（</w:t>
      </w:r>
      <w:r>
        <w:rPr>
          <w:rFonts w:eastAsia="宋体" w:cs="Times New Roman" w:hint="eastAsia"/>
          <w:sz w:val="24"/>
          <w:szCs w:val="22"/>
        </w:rPr>
        <w:t>0.617</w:t>
      </w:r>
      <w:r>
        <w:rPr>
          <w:rFonts w:eastAsia="宋体" w:cs="Times New Roman" w:hint="eastAsia"/>
          <w:sz w:val="24"/>
          <w:szCs w:val="22"/>
        </w:rPr>
        <w:t>）、俄罗斯（</w:t>
      </w:r>
      <w:r>
        <w:rPr>
          <w:rFonts w:eastAsia="宋体" w:cs="Times New Roman" w:hint="eastAsia"/>
          <w:sz w:val="24"/>
          <w:szCs w:val="22"/>
        </w:rPr>
        <w:t>0.494</w:t>
      </w:r>
      <w:r>
        <w:rPr>
          <w:rFonts w:eastAsia="宋体" w:cs="Times New Roman" w:hint="eastAsia"/>
          <w:sz w:val="24"/>
          <w:szCs w:val="22"/>
        </w:rPr>
        <w:t>）、泰国（</w:t>
      </w:r>
      <w:r>
        <w:rPr>
          <w:rFonts w:eastAsia="宋体" w:cs="Times New Roman" w:hint="eastAsia"/>
          <w:sz w:val="24"/>
          <w:szCs w:val="22"/>
        </w:rPr>
        <w:t>0.456</w:t>
      </w:r>
      <w:r>
        <w:rPr>
          <w:rFonts w:eastAsia="宋体" w:cs="Times New Roman" w:hint="eastAsia"/>
          <w:sz w:val="24"/>
          <w:szCs w:val="22"/>
        </w:rPr>
        <w:t>）、马来西亚（</w:t>
      </w:r>
      <w:r>
        <w:rPr>
          <w:rFonts w:eastAsia="宋体" w:cs="Times New Roman" w:hint="eastAsia"/>
          <w:sz w:val="24"/>
          <w:szCs w:val="22"/>
        </w:rPr>
        <w:t>0.319</w:t>
      </w:r>
      <w:r>
        <w:rPr>
          <w:rFonts w:eastAsia="宋体" w:cs="Times New Roman" w:hint="eastAsia"/>
          <w:sz w:val="24"/>
          <w:szCs w:val="22"/>
        </w:rPr>
        <w:t>）、缅甸（</w:t>
      </w:r>
      <w:r>
        <w:rPr>
          <w:rFonts w:eastAsia="宋体" w:cs="Times New Roman" w:hint="eastAsia"/>
          <w:sz w:val="24"/>
          <w:szCs w:val="22"/>
        </w:rPr>
        <w:t>0.276</w:t>
      </w:r>
      <w:r>
        <w:rPr>
          <w:rFonts w:eastAsia="宋体" w:cs="Times New Roman" w:hint="eastAsia"/>
          <w:sz w:val="24"/>
          <w:szCs w:val="22"/>
        </w:rPr>
        <w:t>）、白俄罗斯（</w:t>
      </w:r>
      <w:r>
        <w:rPr>
          <w:rFonts w:eastAsia="宋体" w:cs="Times New Roman" w:hint="eastAsia"/>
          <w:sz w:val="24"/>
          <w:szCs w:val="22"/>
        </w:rPr>
        <w:t>0.270</w:t>
      </w:r>
      <w:r>
        <w:rPr>
          <w:rFonts w:eastAsia="宋体" w:cs="Times New Roman" w:hint="eastAsia"/>
          <w:sz w:val="24"/>
          <w:szCs w:val="22"/>
        </w:rPr>
        <w:t>）、印度（</w:t>
      </w:r>
      <w:r>
        <w:rPr>
          <w:rFonts w:eastAsia="宋体" w:cs="Times New Roman" w:hint="eastAsia"/>
          <w:sz w:val="24"/>
          <w:szCs w:val="22"/>
        </w:rPr>
        <w:t>0.264</w:t>
      </w:r>
      <w:r>
        <w:rPr>
          <w:rFonts w:eastAsia="宋体" w:cs="Times New Roman" w:hint="eastAsia"/>
          <w:sz w:val="24"/>
          <w:szCs w:val="22"/>
        </w:rPr>
        <w:t>）、中国（</w:t>
      </w:r>
      <w:r>
        <w:rPr>
          <w:rFonts w:eastAsia="宋体" w:cs="Times New Roman" w:hint="eastAsia"/>
          <w:sz w:val="24"/>
          <w:szCs w:val="22"/>
        </w:rPr>
        <w:t>0.240</w:t>
      </w:r>
      <w:r>
        <w:rPr>
          <w:rFonts w:eastAsia="宋体" w:cs="Times New Roman" w:hint="eastAsia"/>
          <w:sz w:val="24"/>
          <w:szCs w:val="22"/>
        </w:rPr>
        <w:t>）、新西兰（</w:t>
      </w:r>
      <w:r>
        <w:rPr>
          <w:rFonts w:eastAsia="宋体" w:cs="Times New Roman" w:hint="eastAsia"/>
          <w:sz w:val="24"/>
          <w:szCs w:val="22"/>
        </w:rPr>
        <w:t>0.223</w:t>
      </w:r>
      <w:r>
        <w:rPr>
          <w:rFonts w:eastAsia="宋体" w:cs="Times New Roman" w:hint="eastAsia"/>
          <w:sz w:val="24"/>
          <w:szCs w:val="22"/>
        </w:rPr>
        <w:t>）。其他主要国家得分如下，日本（</w:t>
      </w:r>
      <w:r>
        <w:rPr>
          <w:rFonts w:eastAsia="宋体" w:cs="Times New Roman" w:hint="eastAsia"/>
          <w:sz w:val="24"/>
          <w:szCs w:val="22"/>
        </w:rPr>
        <w:t>0.000</w:t>
      </w:r>
      <w:r>
        <w:rPr>
          <w:rFonts w:eastAsia="宋体" w:cs="Times New Roman" w:hint="eastAsia"/>
          <w:sz w:val="24"/>
          <w:szCs w:val="22"/>
        </w:rPr>
        <w:t>）、英国（</w:t>
      </w:r>
      <w:r>
        <w:rPr>
          <w:rFonts w:eastAsia="宋体" w:cs="Times New Roman" w:hint="eastAsia"/>
          <w:sz w:val="24"/>
          <w:szCs w:val="22"/>
        </w:rPr>
        <w:t>0.002</w:t>
      </w:r>
      <w:r>
        <w:rPr>
          <w:rFonts w:eastAsia="宋体" w:cs="Times New Roman" w:hint="eastAsia"/>
          <w:sz w:val="24"/>
          <w:szCs w:val="22"/>
        </w:rPr>
        <w:t>）、德国（</w:t>
      </w:r>
      <w:r>
        <w:rPr>
          <w:rFonts w:eastAsia="宋体" w:cs="Times New Roman" w:hint="eastAsia"/>
          <w:sz w:val="24"/>
          <w:szCs w:val="22"/>
        </w:rPr>
        <w:t>0.005</w:t>
      </w:r>
      <w:r>
        <w:rPr>
          <w:rFonts w:eastAsia="宋体" w:cs="Times New Roman" w:hint="eastAsia"/>
          <w:sz w:val="24"/>
          <w:szCs w:val="22"/>
        </w:rPr>
        <w:t>）、意大利（</w:t>
      </w:r>
      <w:r>
        <w:rPr>
          <w:rFonts w:eastAsia="宋体" w:cs="Times New Roman" w:hint="eastAsia"/>
          <w:sz w:val="24"/>
          <w:szCs w:val="22"/>
        </w:rPr>
        <w:t>0.018</w:t>
      </w:r>
      <w:r>
        <w:rPr>
          <w:rFonts w:eastAsia="宋体" w:cs="Times New Roman" w:hint="eastAsia"/>
          <w:sz w:val="24"/>
          <w:szCs w:val="22"/>
        </w:rPr>
        <w:t>）、美国（</w:t>
      </w:r>
      <w:r>
        <w:rPr>
          <w:rFonts w:eastAsia="宋体" w:cs="Times New Roman" w:hint="eastAsia"/>
          <w:sz w:val="24"/>
          <w:szCs w:val="22"/>
        </w:rPr>
        <w:t>0.042</w:t>
      </w:r>
      <w:r>
        <w:rPr>
          <w:rFonts w:eastAsia="宋体" w:cs="Times New Roman" w:hint="eastAsia"/>
          <w:sz w:val="24"/>
          <w:szCs w:val="22"/>
        </w:rPr>
        <w:t>）、韩国（</w:t>
      </w:r>
      <w:r>
        <w:rPr>
          <w:rFonts w:eastAsia="宋体" w:cs="Times New Roman" w:hint="eastAsia"/>
          <w:sz w:val="24"/>
          <w:szCs w:val="22"/>
        </w:rPr>
        <w:t>0.050</w:t>
      </w:r>
      <w:r>
        <w:rPr>
          <w:rFonts w:eastAsia="宋体" w:cs="Times New Roman" w:hint="eastAsia"/>
          <w:sz w:val="24"/>
          <w:szCs w:val="22"/>
        </w:rPr>
        <w:t>）、法国（</w:t>
      </w:r>
      <w:r>
        <w:rPr>
          <w:rFonts w:eastAsia="宋体" w:cs="Times New Roman" w:hint="eastAsia"/>
          <w:sz w:val="24"/>
          <w:szCs w:val="22"/>
        </w:rPr>
        <w:t>0.054</w:t>
      </w:r>
      <w:r>
        <w:rPr>
          <w:rFonts w:eastAsia="宋体" w:cs="Times New Roman" w:hint="eastAsia"/>
          <w:sz w:val="24"/>
          <w:szCs w:val="22"/>
        </w:rPr>
        <w:t>）、加拿大（</w:t>
      </w:r>
      <w:r>
        <w:rPr>
          <w:rFonts w:eastAsia="宋体" w:cs="Times New Roman" w:hint="eastAsia"/>
          <w:sz w:val="24"/>
          <w:szCs w:val="22"/>
        </w:rPr>
        <w:t>0.072</w:t>
      </w:r>
      <w:r>
        <w:rPr>
          <w:rFonts w:eastAsia="宋体" w:cs="Times New Roman" w:hint="eastAsia"/>
          <w:sz w:val="24"/>
          <w:szCs w:val="22"/>
        </w:rPr>
        <w:t>）以及巴西（</w:t>
      </w:r>
      <w:r>
        <w:rPr>
          <w:rFonts w:eastAsia="宋体" w:cs="Times New Roman" w:hint="eastAsia"/>
          <w:sz w:val="24"/>
          <w:szCs w:val="22"/>
        </w:rPr>
        <w:t>0.075</w:t>
      </w:r>
      <w:r>
        <w:rPr>
          <w:rFonts w:eastAsia="宋体" w:cs="Times New Roman" w:hint="eastAsia"/>
          <w:sz w:val="24"/>
          <w:szCs w:val="22"/>
        </w:rPr>
        <w:t>）。</w:t>
      </w:r>
    </w:p>
    <w:p w14:paraId="26453C7C" w14:textId="77777777" w:rsidR="004651C7" w:rsidRDefault="00BF798C">
      <w:pPr>
        <w:pStyle w:val="3"/>
        <w:spacing w:before="192" w:after="240"/>
        <w:ind w:firstLine="480"/>
      </w:pPr>
      <w:bookmarkStart w:id="81" w:name="_Toc93661695"/>
      <w:bookmarkStart w:id="82" w:name="_Toc93924834"/>
      <w:r>
        <w:rPr>
          <w:rFonts w:hint="eastAsia"/>
        </w:rPr>
        <w:t>（四）技术要素配置领域存在的短板弱项</w:t>
      </w:r>
      <w:bookmarkEnd w:id="81"/>
      <w:bookmarkEnd w:id="82"/>
    </w:p>
    <w:p w14:paraId="492E39E9"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使用全要素生产率（</w:t>
      </w:r>
      <w:r>
        <w:rPr>
          <w:rFonts w:eastAsia="宋体" w:cs="Times New Roman" w:hint="eastAsia"/>
          <w:sz w:val="24"/>
          <w:szCs w:val="22"/>
        </w:rPr>
        <w:t>Total Factor Productivity</w:t>
      </w:r>
      <w:r>
        <w:rPr>
          <w:rFonts w:eastAsia="宋体" w:cs="Times New Roman" w:hint="eastAsia"/>
          <w:sz w:val="24"/>
          <w:szCs w:val="22"/>
        </w:rPr>
        <w:t>，简称</w:t>
      </w:r>
      <w:r>
        <w:rPr>
          <w:rFonts w:eastAsia="宋体" w:cs="Times New Roman" w:hint="eastAsia"/>
          <w:sz w:val="24"/>
          <w:szCs w:val="22"/>
        </w:rPr>
        <w:t>TFP</w:t>
      </w:r>
      <w:r>
        <w:rPr>
          <w:rFonts w:eastAsia="宋体" w:cs="Times New Roman" w:hint="eastAsia"/>
          <w:sz w:val="24"/>
          <w:szCs w:val="22"/>
        </w:rPr>
        <w:t>）衡量技术要素效率，采用美国宾夕法尼亚大学国际比较中心</w:t>
      </w:r>
      <w:r>
        <w:rPr>
          <w:rFonts w:eastAsia="宋体" w:cs="Times New Roman" w:hint="eastAsia"/>
          <w:sz w:val="24"/>
          <w:szCs w:val="22"/>
        </w:rPr>
        <w:t>PWT10.0</w:t>
      </w:r>
      <w:r>
        <w:rPr>
          <w:rFonts w:eastAsia="宋体" w:cs="Times New Roman" w:hint="eastAsia"/>
          <w:sz w:val="24"/>
          <w:szCs w:val="22"/>
        </w:rPr>
        <w:t>数据进行国际比较。可以发现，</w:t>
      </w:r>
      <w:r>
        <w:rPr>
          <w:rFonts w:eastAsia="宋体" w:cs="Times New Roman" w:hint="eastAsia"/>
          <w:sz w:val="24"/>
          <w:szCs w:val="22"/>
        </w:rPr>
        <w:t>TFP</w:t>
      </w:r>
      <w:r>
        <w:rPr>
          <w:rFonts w:eastAsia="宋体" w:cs="Times New Roman" w:hint="eastAsia"/>
          <w:sz w:val="24"/>
          <w:szCs w:val="22"/>
        </w:rPr>
        <w:t>增长的国际经验有：</w:t>
      </w:r>
    </w:p>
    <w:p w14:paraId="0D7089D2" w14:textId="77777777" w:rsidR="004651C7" w:rsidRDefault="00BF798C">
      <w:pPr>
        <w:overflowPunct w:val="0"/>
        <w:spacing w:line="360" w:lineRule="auto"/>
        <w:ind w:firstLine="480"/>
        <w:rPr>
          <w:rFonts w:eastAsia="宋体" w:cs="Times New Roman"/>
          <w:sz w:val="24"/>
          <w:szCs w:val="22"/>
        </w:rPr>
      </w:pPr>
      <w:bookmarkStart w:id="83" w:name="_Hlk87396202"/>
      <w:r>
        <w:rPr>
          <w:rFonts w:eastAsia="宋体" w:cs="Times New Roman"/>
          <w:sz w:val="24"/>
          <w:szCs w:val="22"/>
        </w:rPr>
        <w:t>一是</w:t>
      </w:r>
      <w:r>
        <w:rPr>
          <w:rFonts w:eastAsia="宋体" w:cs="Times New Roman" w:hint="eastAsia"/>
          <w:sz w:val="24"/>
          <w:szCs w:val="22"/>
        </w:rPr>
        <w:t>TFP</w:t>
      </w:r>
      <w:r>
        <w:rPr>
          <w:rFonts w:eastAsia="宋体" w:cs="Times New Roman" w:hint="eastAsia"/>
          <w:sz w:val="24"/>
          <w:szCs w:val="22"/>
        </w:rPr>
        <w:t>增长率基本在</w:t>
      </w:r>
      <w:r>
        <w:rPr>
          <w:rFonts w:eastAsia="宋体" w:cs="Times New Roman" w:hint="eastAsia"/>
          <w:sz w:val="24"/>
          <w:szCs w:val="22"/>
        </w:rPr>
        <w:t>2</w:t>
      </w:r>
      <w:r>
        <w:rPr>
          <w:rFonts w:eastAsia="宋体" w:cs="Times New Roman"/>
          <w:sz w:val="24"/>
          <w:szCs w:val="22"/>
        </w:rPr>
        <w:t>%</w:t>
      </w:r>
      <w:r>
        <w:rPr>
          <w:rFonts w:eastAsia="宋体" w:cs="Times New Roman" w:hint="eastAsia"/>
          <w:sz w:val="24"/>
          <w:szCs w:val="22"/>
        </w:rPr>
        <w:t>以内。</w:t>
      </w:r>
      <w:bookmarkEnd w:id="83"/>
      <w:r>
        <w:rPr>
          <w:rFonts w:eastAsia="宋体" w:cs="Times New Roman" w:hint="eastAsia"/>
          <w:sz w:val="24"/>
          <w:szCs w:val="22"/>
        </w:rPr>
        <w:t>G</w:t>
      </w:r>
      <w:r>
        <w:rPr>
          <w:rFonts w:eastAsia="宋体" w:cs="Times New Roman"/>
          <w:sz w:val="24"/>
          <w:szCs w:val="22"/>
        </w:rPr>
        <w:t>7</w:t>
      </w:r>
      <w:r>
        <w:rPr>
          <w:rFonts w:eastAsia="宋体" w:cs="Times New Roman" w:hint="eastAsia"/>
          <w:sz w:val="24"/>
          <w:szCs w:val="22"/>
        </w:rPr>
        <w:t>国家</w:t>
      </w:r>
      <w:r>
        <w:rPr>
          <w:rFonts w:eastAsia="宋体" w:cs="Times New Roman" w:hint="eastAsia"/>
          <w:sz w:val="24"/>
          <w:szCs w:val="22"/>
        </w:rPr>
        <w:t>TFP</w:t>
      </w:r>
      <w:r>
        <w:rPr>
          <w:rFonts w:eastAsia="宋体" w:cs="Times New Roman" w:hint="eastAsia"/>
          <w:sz w:val="24"/>
          <w:szCs w:val="22"/>
        </w:rPr>
        <w:t>平均增速普遍低于</w:t>
      </w:r>
      <w:r>
        <w:rPr>
          <w:rFonts w:eastAsia="宋体" w:cs="Times New Roman" w:hint="eastAsia"/>
          <w:sz w:val="24"/>
          <w:szCs w:val="22"/>
        </w:rPr>
        <w:t>1</w:t>
      </w:r>
      <w:r>
        <w:rPr>
          <w:rFonts w:eastAsia="宋体" w:cs="Times New Roman"/>
          <w:sz w:val="24"/>
          <w:szCs w:val="22"/>
        </w:rPr>
        <w:t>%</w:t>
      </w:r>
      <w:r>
        <w:rPr>
          <w:rFonts w:eastAsia="宋体" w:cs="Times New Roman" w:hint="eastAsia"/>
          <w:sz w:val="24"/>
          <w:szCs w:val="22"/>
        </w:rPr>
        <w:t>。美国、英国、法国、日本</w:t>
      </w:r>
      <w:r>
        <w:rPr>
          <w:rFonts w:eastAsia="宋体" w:cs="Times New Roman" w:hint="eastAsia"/>
          <w:sz w:val="24"/>
          <w:szCs w:val="22"/>
        </w:rPr>
        <w:t>TFP</w:t>
      </w:r>
      <w:r>
        <w:rPr>
          <w:rFonts w:eastAsia="宋体" w:cs="Times New Roman" w:hint="eastAsia"/>
          <w:sz w:val="24"/>
          <w:szCs w:val="22"/>
        </w:rPr>
        <w:t>增长情况比较类似，</w:t>
      </w:r>
      <w:r>
        <w:rPr>
          <w:rFonts w:eastAsia="宋体" w:cs="Times New Roman" w:hint="eastAsia"/>
          <w:sz w:val="24"/>
          <w:szCs w:val="22"/>
        </w:rPr>
        <w:t>1</w:t>
      </w:r>
      <w:r>
        <w:rPr>
          <w:rFonts w:eastAsia="宋体" w:cs="Times New Roman"/>
          <w:sz w:val="24"/>
          <w:szCs w:val="22"/>
        </w:rPr>
        <w:t>980-2019</w:t>
      </w:r>
      <w:r>
        <w:rPr>
          <w:rFonts w:eastAsia="宋体" w:cs="Times New Roman" w:hint="eastAsia"/>
          <w:sz w:val="24"/>
          <w:szCs w:val="22"/>
        </w:rPr>
        <w:t>年平均增速分别为</w:t>
      </w:r>
      <w:r>
        <w:rPr>
          <w:rFonts w:eastAsia="宋体" w:cs="Times New Roman" w:hint="eastAsia"/>
          <w:sz w:val="24"/>
          <w:szCs w:val="22"/>
        </w:rPr>
        <w:t>0</w:t>
      </w:r>
      <w:r>
        <w:rPr>
          <w:rFonts w:eastAsia="宋体" w:cs="Times New Roman"/>
          <w:sz w:val="24"/>
          <w:szCs w:val="22"/>
        </w:rPr>
        <w:t>.6%</w:t>
      </w:r>
      <w:r>
        <w:rPr>
          <w:rFonts w:eastAsia="宋体" w:cs="Times New Roman" w:hint="eastAsia"/>
          <w:sz w:val="24"/>
          <w:szCs w:val="22"/>
        </w:rPr>
        <w:t>、</w:t>
      </w:r>
      <w:r>
        <w:rPr>
          <w:rFonts w:eastAsia="宋体" w:cs="Times New Roman" w:hint="eastAsia"/>
          <w:sz w:val="24"/>
          <w:szCs w:val="22"/>
        </w:rPr>
        <w:t>0</w:t>
      </w:r>
      <w:r>
        <w:rPr>
          <w:rFonts w:eastAsia="宋体" w:cs="Times New Roman"/>
          <w:sz w:val="24"/>
          <w:szCs w:val="22"/>
        </w:rPr>
        <w:t>.52%</w:t>
      </w:r>
      <w:r>
        <w:rPr>
          <w:rFonts w:eastAsia="宋体" w:cs="Times New Roman" w:hint="eastAsia"/>
          <w:sz w:val="24"/>
          <w:szCs w:val="22"/>
        </w:rPr>
        <w:t>、</w:t>
      </w:r>
      <w:r>
        <w:rPr>
          <w:rFonts w:eastAsia="宋体" w:cs="Times New Roman" w:hint="eastAsia"/>
          <w:sz w:val="24"/>
          <w:szCs w:val="22"/>
        </w:rPr>
        <w:t>0</w:t>
      </w:r>
      <w:r>
        <w:rPr>
          <w:rFonts w:eastAsia="宋体" w:cs="Times New Roman"/>
          <w:sz w:val="24"/>
          <w:szCs w:val="22"/>
        </w:rPr>
        <w:t>.53%</w:t>
      </w:r>
      <w:r>
        <w:rPr>
          <w:rFonts w:eastAsia="宋体" w:cs="Times New Roman" w:hint="eastAsia"/>
          <w:sz w:val="24"/>
          <w:szCs w:val="22"/>
        </w:rPr>
        <w:t>和</w:t>
      </w:r>
      <w:r>
        <w:rPr>
          <w:rFonts w:eastAsia="宋体" w:cs="Times New Roman" w:hint="eastAsia"/>
          <w:sz w:val="24"/>
          <w:szCs w:val="22"/>
        </w:rPr>
        <w:t>0</w:t>
      </w:r>
      <w:r>
        <w:rPr>
          <w:rFonts w:eastAsia="宋体" w:cs="Times New Roman"/>
          <w:sz w:val="24"/>
          <w:szCs w:val="22"/>
        </w:rPr>
        <w:t>.51%</w:t>
      </w:r>
      <w:r>
        <w:rPr>
          <w:rFonts w:eastAsia="宋体" w:cs="Times New Roman" w:hint="eastAsia"/>
          <w:sz w:val="24"/>
          <w:szCs w:val="22"/>
        </w:rPr>
        <w:t>。意大利、加拿大</w:t>
      </w:r>
      <w:r>
        <w:rPr>
          <w:rFonts w:eastAsia="宋体" w:cs="Times New Roman" w:hint="eastAsia"/>
          <w:sz w:val="24"/>
          <w:szCs w:val="22"/>
        </w:rPr>
        <w:t>TFP</w:t>
      </w:r>
      <w:r>
        <w:rPr>
          <w:rFonts w:eastAsia="宋体" w:cs="Times New Roman" w:hint="eastAsia"/>
          <w:sz w:val="24"/>
          <w:szCs w:val="22"/>
        </w:rPr>
        <w:t>增长乏力，平均增速分别为</w:t>
      </w:r>
      <w:r>
        <w:rPr>
          <w:rFonts w:eastAsia="宋体" w:cs="Times New Roman" w:hint="eastAsia"/>
          <w:sz w:val="24"/>
          <w:szCs w:val="22"/>
        </w:rPr>
        <w:t>-</w:t>
      </w:r>
      <w:r>
        <w:rPr>
          <w:rFonts w:eastAsia="宋体" w:cs="Times New Roman"/>
          <w:sz w:val="24"/>
          <w:szCs w:val="22"/>
        </w:rPr>
        <w:t>0.35%</w:t>
      </w:r>
      <w:r>
        <w:rPr>
          <w:rFonts w:eastAsia="宋体" w:cs="Times New Roman" w:hint="eastAsia"/>
          <w:sz w:val="24"/>
          <w:szCs w:val="22"/>
        </w:rPr>
        <w:t>和</w:t>
      </w:r>
      <w:r>
        <w:rPr>
          <w:rFonts w:eastAsia="宋体" w:cs="Times New Roman" w:hint="eastAsia"/>
          <w:sz w:val="24"/>
          <w:szCs w:val="22"/>
        </w:rPr>
        <w:t>0</w:t>
      </w:r>
      <w:r>
        <w:rPr>
          <w:rFonts w:eastAsia="宋体" w:cs="Times New Roman"/>
          <w:sz w:val="24"/>
          <w:szCs w:val="22"/>
        </w:rPr>
        <w:t>.11%</w:t>
      </w:r>
      <w:r>
        <w:rPr>
          <w:rFonts w:eastAsia="宋体" w:cs="Times New Roman" w:hint="eastAsia"/>
          <w:sz w:val="24"/>
          <w:szCs w:val="22"/>
        </w:rPr>
        <w:t>。德国</w:t>
      </w:r>
      <w:r>
        <w:rPr>
          <w:rFonts w:eastAsia="宋体" w:cs="Times New Roman" w:hint="eastAsia"/>
          <w:sz w:val="24"/>
          <w:szCs w:val="22"/>
        </w:rPr>
        <w:t>TFP</w:t>
      </w:r>
      <w:r>
        <w:rPr>
          <w:rFonts w:eastAsia="宋体" w:cs="Times New Roman" w:hint="eastAsia"/>
          <w:sz w:val="24"/>
          <w:szCs w:val="22"/>
        </w:rPr>
        <w:t>增长在</w:t>
      </w:r>
      <w:r>
        <w:rPr>
          <w:rFonts w:eastAsia="宋体" w:cs="Times New Roman" w:hint="eastAsia"/>
          <w:sz w:val="24"/>
          <w:szCs w:val="22"/>
        </w:rPr>
        <w:t>G</w:t>
      </w:r>
      <w:r>
        <w:rPr>
          <w:rFonts w:eastAsia="宋体" w:cs="Times New Roman"/>
          <w:sz w:val="24"/>
          <w:szCs w:val="22"/>
        </w:rPr>
        <w:t>7</w:t>
      </w:r>
      <w:r>
        <w:rPr>
          <w:rFonts w:eastAsia="宋体" w:cs="Times New Roman" w:hint="eastAsia"/>
          <w:sz w:val="24"/>
          <w:szCs w:val="22"/>
        </w:rPr>
        <w:t>中相对较好，平均增速为</w:t>
      </w:r>
      <w:r>
        <w:rPr>
          <w:rFonts w:eastAsia="宋体" w:cs="Times New Roman" w:hint="eastAsia"/>
          <w:sz w:val="24"/>
          <w:szCs w:val="22"/>
        </w:rPr>
        <w:t>0</w:t>
      </w:r>
      <w:r>
        <w:rPr>
          <w:rFonts w:eastAsia="宋体" w:cs="Times New Roman"/>
          <w:sz w:val="24"/>
          <w:szCs w:val="22"/>
        </w:rPr>
        <w:t>.88%</w:t>
      </w:r>
      <w:r>
        <w:rPr>
          <w:rFonts w:eastAsia="宋体" w:cs="Times New Roman" w:hint="eastAsia"/>
          <w:sz w:val="24"/>
          <w:szCs w:val="22"/>
        </w:rPr>
        <w:t>。新兴经济体</w:t>
      </w:r>
      <w:r>
        <w:rPr>
          <w:rFonts w:eastAsia="宋体" w:cs="Times New Roman" w:hint="eastAsia"/>
          <w:sz w:val="24"/>
          <w:szCs w:val="22"/>
        </w:rPr>
        <w:t>TFP</w:t>
      </w:r>
      <w:r>
        <w:rPr>
          <w:rFonts w:eastAsia="宋体" w:cs="Times New Roman" w:hint="eastAsia"/>
          <w:sz w:val="24"/>
          <w:szCs w:val="22"/>
        </w:rPr>
        <w:t>平均增速在</w:t>
      </w:r>
      <w:r>
        <w:rPr>
          <w:rFonts w:eastAsia="宋体" w:cs="Times New Roman" w:hint="eastAsia"/>
          <w:sz w:val="24"/>
          <w:szCs w:val="22"/>
        </w:rPr>
        <w:t>1</w:t>
      </w:r>
      <w:r>
        <w:rPr>
          <w:rFonts w:eastAsia="宋体" w:cs="Times New Roman"/>
          <w:sz w:val="24"/>
          <w:szCs w:val="22"/>
        </w:rPr>
        <w:t>%~2%</w:t>
      </w:r>
      <w:r>
        <w:rPr>
          <w:rFonts w:eastAsia="宋体" w:cs="Times New Roman" w:hint="eastAsia"/>
          <w:sz w:val="24"/>
          <w:szCs w:val="22"/>
        </w:rPr>
        <w:t>之间。韩国、印度、俄罗斯</w:t>
      </w:r>
      <w:r>
        <w:rPr>
          <w:rFonts w:eastAsia="宋体" w:cs="Times New Roman" w:hint="eastAsia"/>
          <w:sz w:val="24"/>
          <w:szCs w:val="22"/>
        </w:rPr>
        <w:t>TFP</w:t>
      </w:r>
      <w:r>
        <w:rPr>
          <w:rFonts w:eastAsia="宋体" w:cs="Times New Roman" w:hint="eastAsia"/>
          <w:sz w:val="24"/>
          <w:szCs w:val="22"/>
        </w:rPr>
        <w:t>平均增速分别为</w:t>
      </w:r>
      <w:r>
        <w:rPr>
          <w:rFonts w:eastAsia="宋体" w:cs="Times New Roman" w:hint="eastAsia"/>
          <w:sz w:val="24"/>
          <w:szCs w:val="22"/>
        </w:rPr>
        <w:t>1</w:t>
      </w:r>
      <w:r>
        <w:rPr>
          <w:rFonts w:eastAsia="宋体" w:cs="Times New Roman"/>
          <w:sz w:val="24"/>
          <w:szCs w:val="22"/>
        </w:rPr>
        <w:t>.51%</w:t>
      </w:r>
      <w:r>
        <w:rPr>
          <w:rFonts w:eastAsia="宋体" w:cs="Times New Roman" w:hint="eastAsia"/>
          <w:sz w:val="24"/>
          <w:szCs w:val="22"/>
        </w:rPr>
        <w:t>、</w:t>
      </w:r>
      <w:r>
        <w:rPr>
          <w:rFonts w:eastAsia="宋体" w:cs="Times New Roman" w:hint="eastAsia"/>
          <w:sz w:val="24"/>
          <w:szCs w:val="22"/>
        </w:rPr>
        <w:t>1</w:t>
      </w:r>
      <w:r>
        <w:rPr>
          <w:rFonts w:eastAsia="宋体" w:cs="Times New Roman"/>
          <w:sz w:val="24"/>
          <w:szCs w:val="22"/>
        </w:rPr>
        <w:t>.31%</w:t>
      </w:r>
      <w:r>
        <w:rPr>
          <w:rFonts w:eastAsia="宋体" w:cs="Times New Roman" w:hint="eastAsia"/>
          <w:sz w:val="24"/>
          <w:szCs w:val="22"/>
        </w:rPr>
        <w:t>和</w:t>
      </w:r>
      <w:r>
        <w:rPr>
          <w:rFonts w:eastAsia="宋体" w:cs="Times New Roman" w:hint="eastAsia"/>
          <w:sz w:val="24"/>
          <w:szCs w:val="22"/>
        </w:rPr>
        <w:t>1</w:t>
      </w:r>
      <w:r>
        <w:rPr>
          <w:rFonts w:eastAsia="宋体" w:cs="Times New Roman"/>
          <w:sz w:val="24"/>
          <w:szCs w:val="22"/>
        </w:rPr>
        <w:t>.29%</w:t>
      </w:r>
      <w:r>
        <w:rPr>
          <w:rFonts w:eastAsia="宋体" w:cs="Times New Roman" w:hint="eastAsia"/>
          <w:sz w:val="24"/>
          <w:szCs w:val="22"/>
        </w:rPr>
        <w:t>。巴</w:t>
      </w:r>
      <w:r>
        <w:rPr>
          <w:rFonts w:eastAsia="宋体" w:cs="Times New Roman" w:hint="eastAsia"/>
          <w:sz w:val="24"/>
          <w:szCs w:val="22"/>
        </w:rPr>
        <w:lastRenderedPageBreak/>
        <w:t>西、南非</w:t>
      </w:r>
      <w:r>
        <w:rPr>
          <w:rFonts w:eastAsia="宋体" w:cs="Times New Roman" w:hint="eastAsia"/>
          <w:sz w:val="24"/>
          <w:szCs w:val="22"/>
        </w:rPr>
        <w:t>TFP</w:t>
      </w:r>
      <w:r>
        <w:rPr>
          <w:rFonts w:eastAsia="宋体" w:cs="Times New Roman" w:hint="eastAsia"/>
          <w:sz w:val="24"/>
          <w:szCs w:val="22"/>
        </w:rPr>
        <w:t>增长乏力，平均增速仅分别为</w:t>
      </w:r>
      <w:r>
        <w:rPr>
          <w:rFonts w:eastAsia="宋体" w:cs="Times New Roman" w:hint="eastAsia"/>
          <w:sz w:val="24"/>
          <w:szCs w:val="22"/>
        </w:rPr>
        <w:t>-</w:t>
      </w:r>
      <w:r>
        <w:rPr>
          <w:rFonts w:eastAsia="宋体" w:cs="Times New Roman"/>
          <w:sz w:val="24"/>
          <w:szCs w:val="22"/>
        </w:rPr>
        <w:t>0.86%</w:t>
      </w:r>
      <w:r>
        <w:rPr>
          <w:rFonts w:eastAsia="宋体" w:cs="Times New Roman" w:hint="eastAsia"/>
          <w:sz w:val="24"/>
          <w:szCs w:val="22"/>
        </w:rPr>
        <w:t>、</w:t>
      </w:r>
      <w:r>
        <w:rPr>
          <w:rFonts w:eastAsia="宋体" w:cs="Times New Roman" w:hint="eastAsia"/>
          <w:sz w:val="24"/>
          <w:szCs w:val="22"/>
        </w:rPr>
        <w:t>-</w:t>
      </w:r>
      <w:r>
        <w:rPr>
          <w:rFonts w:eastAsia="宋体" w:cs="Times New Roman"/>
          <w:sz w:val="24"/>
          <w:szCs w:val="22"/>
        </w:rPr>
        <w:t>0.6%</w:t>
      </w:r>
      <w:r>
        <w:rPr>
          <w:rFonts w:eastAsia="宋体" w:cs="Times New Roman" w:hint="eastAsia"/>
          <w:sz w:val="24"/>
          <w:szCs w:val="22"/>
        </w:rPr>
        <w:t>。</w:t>
      </w:r>
    </w:p>
    <w:p w14:paraId="3163FF87" w14:textId="77777777" w:rsidR="004651C7" w:rsidRDefault="00BF798C">
      <w:pPr>
        <w:overflowPunct w:val="0"/>
        <w:spacing w:line="360" w:lineRule="auto"/>
        <w:ind w:firstLine="480"/>
        <w:rPr>
          <w:rFonts w:eastAsia="宋体" w:cs="Times New Roman"/>
          <w:sz w:val="24"/>
          <w:szCs w:val="22"/>
        </w:rPr>
      </w:pPr>
      <w:bookmarkStart w:id="84" w:name="_Hlk87396221"/>
      <w:r>
        <w:rPr>
          <w:rFonts w:eastAsia="宋体" w:cs="Times New Roman" w:hint="eastAsia"/>
          <w:sz w:val="24"/>
          <w:szCs w:val="22"/>
        </w:rPr>
        <w:t>二是</w:t>
      </w:r>
      <w:r>
        <w:rPr>
          <w:rFonts w:eastAsia="宋体" w:cs="Times New Roman" w:hint="eastAsia"/>
          <w:sz w:val="24"/>
          <w:szCs w:val="22"/>
        </w:rPr>
        <w:t>TFP</w:t>
      </w:r>
      <w:r>
        <w:rPr>
          <w:rFonts w:eastAsia="宋体" w:cs="Times New Roman" w:hint="eastAsia"/>
          <w:sz w:val="24"/>
          <w:szCs w:val="22"/>
        </w:rPr>
        <w:t>对经济增长的贡献率一般低于</w:t>
      </w:r>
      <w:r>
        <w:rPr>
          <w:rFonts w:eastAsia="宋体" w:cs="Times New Roman" w:hint="eastAsia"/>
          <w:sz w:val="24"/>
          <w:szCs w:val="22"/>
        </w:rPr>
        <w:t>3</w:t>
      </w:r>
      <w:r>
        <w:rPr>
          <w:rFonts w:eastAsia="宋体" w:cs="Times New Roman"/>
          <w:sz w:val="24"/>
          <w:szCs w:val="22"/>
        </w:rPr>
        <w:t>0%</w:t>
      </w:r>
      <w:bookmarkEnd w:id="84"/>
      <w:r>
        <w:rPr>
          <w:rFonts w:eastAsia="宋体" w:cs="Times New Roman" w:hint="eastAsia"/>
          <w:sz w:val="24"/>
          <w:szCs w:val="22"/>
        </w:rPr>
        <w:t>。从</w:t>
      </w:r>
      <w:r>
        <w:rPr>
          <w:rFonts w:eastAsia="宋体" w:cs="Times New Roman" w:hint="eastAsia"/>
          <w:sz w:val="24"/>
          <w:szCs w:val="22"/>
        </w:rPr>
        <w:t>1</w:t>
      </w:r>
      <w:r>
        <w:rPr>
          <w:rFonts w:eastAsia="宋体" w:cs="Times New Roman"/>
          <w:sz w:val="24"/>
          <w:szCs w:val="22"/>
        </w:rPr>
        <w:t>980-2019</w:t>
      </w:r>
      <w:r>
        <w:rPr>
          <w:rFonts w:eastAsia="宋体" w:cs="Times New Roman" w:hint="eastAsia"/>
          <w:sz w:val="24"/>
          <w:szCs w:val="22"/>
        </w:rPr>
        <w:t>年视角看，主要国家</w:t>
      </w:r>
      <w:r>
        <w:rPr>
          <w:rFonts w:eastAsia="宋体" w:cs="Times New Roman" w:hint="eastAsia"/>
          <w:sz w:val="24"/>
          <w:szCs w:val="22"/>
        </w:rPr>
        <w:t>TFP</w:t>
      </w:r>
      <w:r>
        <w:rPr>
          <w:rFonts w:eastAsia="宋体" w:cs="Times New Roman" w:hint="eastAsia"/>
          <w:sz w:val="24"/>
          <w:szCs w:val="22"/>
        </w:rPr>
        <w:t>对经济增长的贡献率都低于</w:t>
      </w:r>
      <w:r>
        <w:rPr>
          <w:rFonts w:eastAsia="宋体" w:cs="Times New Roman" w:hint="eastAsia"/>
          <w:sz w:val="24"/>
          <w:szCs w:val="22"/>
        </w:rPr>
        <w:t>3</w:t>
      </w:r>
      <w:r>
        <w:rPr>
          <w:rFonts w:eastAsia="宋体" w:cs="Times New Roman"/>
          <w:sz w:val="24"/>
          <w:szCs w:val="22"/>
        </w:rPr>
        <w:t>0%</w:t>
      </w:r>
      <w:r>
        <w:rPr>
          <w:rFonts w:eastAsia="宋体" w:cs="Times New Roman" w:hint="eastAsia"/>
          <w:sz w:val="24"/>
          <w:szCs w:val="22"/>
        </w:rPr>
        <w:t>，美国、英国、法国、加拿大、日本、韩国、印度分别为</w:t>
      </w:r>
      <w:r>
        <w:rPr>
          <w:rFonts w:eastAsia="宋体" w:cs="Times New Roman" w:hint="eastAsia"/>
          <w:sz w:val="24"/>
          <w:szCs w:val="22"/>
        </w:rPr>
        <w:t>2</w:t>
      </w:r>
      <w:r>
        <w:rPr>
          <w:rFonts w:eastAsia="宋体" w:cs="Times New Roman"/>
          <w:sz w:val="24"/>
          <w:szCs w:val="22"/>
        </w:rPr>
        <w:t>2.9%</w:t>
      </w:r>
      <w:r>
        <w:rPr>
          <w:rFonts w:eastAsia="宋体" w:cs="Times New Roman" w:hint="eastAsia"/>
          <w:sz w:val="24"/>
          <w:szCs w:val="22"/>
        </w:rPr>
        <w:t>、</w:t>
      </w:r>
      <w:r>
        <w:rPr>
          <w:rFonts w:eastAsia="宋体" w:cs="Times New Roman" w:hint="eastAsia"/>
          <w:sz w:val="24"/>
          <w:szCs w:val="22"/>
        </w:rPr>
        <w:t>2</w:t>
      </w:r>
      <w:r>
        <w:rPr>
          <w:rFonts w:eastAsia="宋体" w:cs="Times New Roman"/>
          <w:sz w:val="24"/>
          <w:szCs w:val="22"/>
        </w:rPr>
        <w:t>4.4%</w:t>
      </w:r>
      <w:r>
        <w:rPr>
          <w:rFonts w:eastAsia="宋体" w:cs="Times New Roman" w:hint="eastAsia"/>
          <w:sz w:val="24"/>
          <w:szCs w:val="22"/>
        </w:rPr>
        <w:t>、</w:t>
      </w:r>
      <w:r>
        <w:rPr>
          <w:rFonts w:eastAsia="宋体" w:cs="Times New Roman"/>
          <w:sz w:val="24"/>
          <w:szCs w:val="22"/>
        </w:rPr>
        <w:t>29.8%</w:t>
      </w:r>
      <w:r>
        <w:rPr>
          <w:rFonts w:eastAsia="宋体" w:cs="Times New Roman" w:hint="eastAsia"/>
          <w:sz w:val="24"/>
          <w:szCs w:val="22"/>
        </w:rPr>
        <w:t>、</w:t>
      </w:r>
      <w:r>
        <w:rPr>
          <w:rFonts w:eastAsia="宋体" w:cs="Times New Roman" w:hint="eastAsia"/>
          <w:sz w:val="24"/>
          <w:szCs w:val="22"/>
        </w:rPr>
        <w:t>4</w:t>
      </w:r>
      <w:r>
        <w:rPr>
          <w:rFonts w:eastAsia="宋体" w:cs="Times New Roman"/>
          <w:sz w:val="24"/>
          <w:szCs w:val="22"/>
        </w:rPr>
        <w:t>.7%</w:t>
      </w:r>
      <w:r>
        <w:rPr>
          <w:rFonts w:eastAsia="宋体" w:cs="Times New Roman" w:hint="eastAsia"/>
          <w:sz w:val="24"/>
          <w:szCs w:val="22"/>
        </w:rPr>
        <w:t>、</w:t>
      </w:r>
      <w:r>
        <w:rPr>
          <w:rFonts w:eastAsia="宋体" w:cs="Times New Roman" w:hint="eastAsia"/>
          <w:sz w:val="24"/>
          <w:szCs w:val="22"/>
        </w:rPr>
        <w:t>2</w:t>
      </w:r>
      <w:r>
        <w:rPr>
          <w:rFonts w:eastAsia="宋体" w:cs="Times New Roman"/>
          <w:sz w:val="24"/>
          <w:szCs w:val="22"/>
        </w:rPr>
        <w:t>7.3%</w:t>
      </w:r>
      <w:r>
        <w:rPr>
          <w:rFonts w:eastAsia="宋体" w:cs="Times New Roman" w:hint="eastAsia"/>
          <w:sz w:val="24"/>
          <w:szCs w:val="22"/>
        </w:rPr>
        <w:t>、</w:t>
      </w:r>
      <w:r>
        <w:rPr>
          <w:rFonts w:eastAsia="宋体" w:cs="Times New Roman" w:hint="eastAsia"/>
          <w:sz w:val="24"/>
          <w:szCs w:val="22"/>
        </w:rPr>
        <w:t>2</w:t>
      </w:r>
      <w:r>
        <w:rPr>
          <w:rFonts w:eastAsia="宋体" w:cs="Times New Roman"/>
          <w:sz w:val="24"/>
          <w:szCs w:val="22"/>
        </w:rPr>
        <w:t>5%</w:t>
      </w:r>
      <w:r>
        <w:rPr>
          <w:rFonts w:eastAsia="宋体" w:cs="Times New Roman" w:hint="eastAsia"/>
          <w:sz w:val="24"/>
          <w:szCs w:val="22"/>
        </w:rPr>
        <w:t>、</w:t>
      </w:r>
      <w:r>
        <w:rPr>
          <w:rFonts w:eastAsia="宋体" w:cs="Times New Roman"/>
          <w:sz w:val="24"/>
          <w:szCs w:val="22"/>
        </w:rPr>
        <w:t>21.5%</w:t>
      </w:r>
      <w:r>
        <w:rPr>
          <w:rFonts w:eastAsia="宋体" w:cs="Times New Roman" w:hint="eastAsia"/>
          <w:sz w:val="24"/>
          <w:szCs w:val="22"/>
        </w:rPr>
        <w:t>。受同期</w:t>
      </w:r>
      <w:r>
        <w:rPr>
          <w:rFonts w:eastAsia="宋体" w:cs="Times New Roman" w:hint="eastAsia"/>
          <w:sz w:val="24"/>
          <w:szCs w:val="22"/>
        </w:rPr>
        <w:t>GDP</w:t>
      </w:r>
      <w:r>
        <w:rPr>
          <w:rFonts w:eastAsia="宋体" w:cs="Times New Roman" w:hint="eastAsia"/>
          <w:sz w:val="24"/>
          <w:szCs w:val="22"/>
        </w:rPr>
        <w:t>增速较低的带动，德国</w:t>
      </w:r>
      <w:r>
        <w:rPr>
          <w:rFonts w:eastAsia="宋体" w:cs="Times New Roman" w:hint="eastAsia"/>
          <w:sz w:val="24"/>
          <w:szCs w:val="22"/>
        </w:rPr>
        <w:t>TFP</w:t>
      </w:r>
      <w:r>
        <w:rPr>
          <w:rFonts w:eastAsia="宋体" w:cs="Times New Roman" w:hint="eastAsia"/>
          <w:sz w:val="24"/>
          <w:szCs w:val="22"/>
        </w:rPr>
        <w:t>对经济增长的贡献率被动拉升至</w:t>
      </w:r>
      <w:r>
        <w:rPr>
          <w:rFonts w:eastAsia="宋体" w:cs="Times New Roman" w:hint="eastAsia"/>
          <w:sz w:val="24"/>
          <w:szCs w:val="22"/>
        </w:rPr>
        <w:t>5</w:t>
      </w:r>
      <w:r>
        <w:rPr>
          <w:rFonts w:eastAsia="宋体" w:cs="Times New Roman"/>
          <w:sz w:val="24"/>
          <w:szCs w:val="22"/>
        </w:rPr>
        <w:t>2.2%</w:t>
      </w:r>
      <w:r>
        <w:rPr>
          <w:rFonts w:eastAsia="宋体" w:cs="Times New Roman" w:hint="eastAsia"/>
          <w:sz w:val="24"/>
          <w:szCs w:val="22"/>
        </w:rPr>
        <w:t>。从</w:t>
      </w:r>
      <w:r>
        <w:rPr>
          <w:rFonts w:eastAsia="宋体" w:cs="Times New Roman" w:hint="eastAsia"/>
          <w:sz w:val="24"/>
          <w:szCs w:val="22"/>
        </w:rPr>
        <w:t>1</w:t>
      </w:r>
      <w:r>
        <w:rPr>
          <w:rFonts w:eastAsia="宋体" w:cs="Times New Roman"/>
          <w:sz w:val="24"/>
          <w:szCs w:val="22"/>
        </w:rPr>
        <w:t>0</w:t>
      </w:r>
      <w:r>
        <w:rPr>
          <w:rFonts w:eastAsia="宋体" w:cs="Times New Roman" w:hint="eastAsia"/>
          <w:sz w:val="24"/>
          <w:szCs w:val="22"/>
        </w:rPr>
        <w:t>年一年代的视角看，</w:t>
      </w:r>
      <w:r>
        <w:rPr>
          <w:rFonts w:eastAsia="宋体" w:cs="Times New Roman" w:hint="eastAsia"/>
          <w:sz w:val="24"/>
          <w:szCs w:val="22"/>
        </w:rPr>
        <w:t>TFP</w:t>
      </w:r>
      <w:r>
        <w:rPr>
          <w:rFonts w:eastAsia="宋体" w:cs="Times New Roman" w:hint="eastAsia"/>
          <w:sz w:val="24"/>
          <w:szCs w:val="22"/>
        </w:rPr>
        <w:t>贡献率较高的有：美国在</w:t>
      </w:r>
      <w:r>
        <w:rPr>
          <w:rFonts w:eastAsia="宋体" w:cs="Times New Roman" w:hint="eastAsia"/>
          <w:sz w:val="24"/>
          <w:szCs w:val="22"/>
        </w:rPr>
        <w:t>2</w:t>
      </w:r>
      <w:r>
        <w:rPr>
          <w:rFonts w:eastAsia="宋体" w:cs="Times New Roman"/>
          <w:sz w:val="24"/>
          <w:szCs w:val="22"/>
        </w:rPr>
        <w:t>000-2009</w:t>
      </w:r>
      <w:r>
        <w:rPr>
          <w:rFonts w:eastAsia="宋体" w:cs="Times New Roman" w:hint="eastAsia"/>
          <w:sz w:val="24"/>
          <w:szCs w:val="22"/>
        </w:rPr>
        <w:t>年的</w:t>
      </w:r>
      <w:r>
        <w:rPr>
          <w:rFonts w:eastAsia="宋体" w:cs="Times New Roman" w:hint="eastAsia"/>
          <w:sz w:val="24"/>
          <w:szCs w:val="22"/>
        </w:rPr>
        <w:t>3</w:t>
      </w:r>
      <w:r>
        <w:rPr>
          <w:rFonts w:eastAsia="宋体" w:cs="Times New Roman"/>
          <w:sz w:val="24"/>
          <w:szCs w:val="22"/>
        </w:rPr>
        <w:t>4.9%</w:t>
      </w:r>
      <w:r>
        <w:rPr>
          <w:rFonts w:eastAsia="宋体" w:cs="Times New Roman" w:hint="eastAsia"/>
          <w:sz w:val="24"/>
          <w:szCs w:val="22"/>
        </w:rPr>
        <w:t>，英国在</w:t>
      </w:r>
      <w:r>
        <w:rPr>
          <w:rFonts w:eastAsia="宋体" w:cs="Times New Roman"/>
          <w:sz w:val="24"/>
          <w:szCs w:val="22"/>
        </w:rPr>
        <w:t>1980-1989</w:t>
      </w:r>
      <w:r>
        <w:rPr>
          <w:rFonts w:eastAsia="宋体" w:cs="Times New Roman" w:hint="eastAsia"/>
          <w:sz w:val="24"/>
          <w:szCs w:val="22"/>
        </w:rPr>
        <w:t>年的</w:t>
      </w:r>
      <w:r>
        <w:rPr>
          <w:rFonts w:eastAsia="宋体" w:cs="Times New Roman" w:hint="eastAsia"/>
          <w:sz w:val="24"/>
          <w:szCs w:val="22"/>
        </w:rPr>
        <w:t>3</w:t>
      </w:r>
      <w:r>
        <w:rPr>
          <w:rFonts w:eastAsia="宋体" w:cs="Times New Roman"/>
          <w:sz w:val="24"/>
          <w:szCs w:val="22"/>
        </w:rPr>
        <w:t>6.3%</w:t>
      </w:r>
      <w:r>
        <w:rPr>
          <w:rFonts w:eastAsia="宋体" w:cs="Times New Roman" w:hint="eastAsia"/>
          <w:sz w:val="24"/>
          <w:szCs w:val="22"/>
        </w:rPr>
        <w:t>，德国在</w:t>
      </w:r>
      <w:r>
        <w:rPr>
          <w:rFonts w:eastAsia="宋体" w:cs="Times New Roman" w:hint="eastAsia"/>
          <w:sz w:val="24"/>
          <w:szCs w:val="22"/>
        </w:rPr>
        <w:t>1</w:t>
      </w:r>
      <w:r>
        <w:rPr>
          <w:rFonts w:eastAsia="宋体" w:cs="Times New Roman"/>
          <w:sz w:val="24"/>
          <w:szCs w:val="22"/>
        </w:rPr>
        <w:t>980-1989</w:t>
      </w:r>
      <w:r>
        <w:rPr>
          <w:rFonts w:eastAsia="宋体" w:cs="Times New Roman" w:hint="eastAsia"/>
          <w:sz w:val="24"/>
          <w:szCs w:val="22"/>
        </w:rPr>
        <w:t>年、</w:t>
      </w:r>
      <w:r>
        <w:rPr>
          <w:rFonts w:eastAsia="宋体" w:cs="Times New Roman" w:hint="eastAsia"/>
          <w:sz w:val="24"/>
          <w:szCs w:val="22"/>
        </w:rPr>
        <w:t>1</w:t>
      </w:r>
      <w:r>
        <w:rPr>
          <w:rFonts w:eastAsia="宋体" w:cs="Times New Roman"/>
          <w:sz w:val="24"/>
          <w:szCs w:val="22"/>
        </w:rPr>
        <w:t>990-1999</w:t>
      </w:r>
      <w:r>
        <w:rPr>
          <w:rFonts w:eastAsia="宋体" w:cs="Times New Roman" w:hint="eastAsia"/>
          <w:sz w:val="24"/>
          <w:szCs w:val="22"/>
        </w:rPr>
        <w:t>年、</w:t>
      </w:r>
      <w:r>
        <w:rPr>
          <w:rFonts w:eastAsia="宋体" w:cs="Times New Roman" w:hint="eastAsia"/>
          <w:sz w:val="24"/>
          <w:szCs w:val="22"/>
        </w:rPr>
        <w:t>2</w:t>
      </w:r>
      <w:r>
        <w:rPr>
          <w:rFonts w:eastAsia="宋体" w:cs="Times New Roman"/>
          <w:sz w:val="24"/>
          <w:szCs w:val="22"/>
        </w:rPr>
        <w:t>000-2009</w:t>
      </w:r>
      <w:r>
        <w:rPr>
          <w:rFonts w:eastAsia="宋体" w:cs="Times New Roman" w:hint="eastAsia"/>
          <w:sz w:val="24"/>
          <w:szCs w:val="22"/>
        </w:rPr>
        <w:t>年的</w:t>
      </w:r>
      <w:r>
        <w:rPr>
          <w:rFonts w:eastAsia="宋体" w:cs="Times New Roman" w:hint="eastAsia"/>
          <w:sz w:val="24"/>
          <w:szCs w:val="22"/>
        </w:rPr>
        <w:t>4</w:t>
      </w:r>
      <w:r>
        <w:rPr>
          <w:rFonts w:eastAsia="宋体" w:cs="Times New Roman"/>
          <w:sz w:val="24"/>
          <w:szCs w:val="22"/>
        </w:rPr>
        <w:t>7.2%</w:t>
      </w:r>
      <w:r>
        <w:rPr>
          <w:rFonts w:eastAsia="宋体" w:cs="Times New Roman" w:hint="eastAsia"/>
          <w:sz w:val="24"/>
          <w:szCs w:val="22"/>
        </w:rPr>
        <w:t>、</w:t>
      </w:r>
      <w:r>
        <w:rPr>
          <w:rFonts w:eastAsia="宋体" w:cs="Times New Roman" w:hint="eastAsia"/>
          <w:sz w:val="24"/>
          <w:szCs w:val="22"/>
        </w:rPr>
        <w:t>7</w:t>
      </w:r>
      <w:r>
        <w:rPr>
          <w:rFonts w:eastAsia="宋体" w:cs="Times New Roman"/>
          <w:sz w:val="24"/>
          <w:szCs w:val="22"/>
        </w:rPr>
        <w:t>6.9%</w:t>
      </w:r>
      <w:r>
        <w:rPr>
          <w:rFonts w:eastAsia="宋体" w:cs="Times New Roman" w:hint="eastAsia"/>
          <w:sz w:val="24"/>
          <w:szCs w:val="22"/>
        </w:rPr>
        <w:t>、</w:t>
      </w:r>
      <w:r>
        <w:rPr>
          <w:rFonts w:eastAsia="宋体" w:cs="Times New Roman" w:hint="eastAsia"/>
          <w:sz w:val="24"/>
          <w:szCs w:val="22"/>
        </w:rPr>
        <w:t>4</w:t>
      </w:r>
      <w:r>
        <w:rPr>
          <w:rFonts w:eastAsia="宋体" w:cs="Times New Roman"/>
          <w:sz w:val="24"/>
          <w:szCs w:val="22"/>
        </w:rPr>
        <w:t>2.9%</w:t>
      </w:r>
      <w:r>
        <w:rPr>
          <w:rFonts w:eastAsia="宋体" w:cs="Times New Roman" w:hint="eastAsia"/>
          <w:sz w:val="24"/>
          <w:szCs w:val="22"/>
        </w:rPr>
        <w:t>，法国在</w:t>
      </w:r>
      <w:r>
        <w:rPr>
          <w:rFonts w:eastAsia="宋体" w:cs="Times New Roman" w:hint="eastAsia"/>
          <w:sz w:val="24"/>
          <w:szCs w:val="22"/>
        </w:rPr>
        <w:t>1</w:t>
      </w:r>
      <w:r>
        <w:rPr>
          <w:rFonts w:eastAsia="宋体" w:cs="Times New Roman"/>
          <w:sz w:val="24"/>
          <w:szCs w:val="22"/>
        </w:rPr>
        <w:t>980-1989</w:t>
      </w:r>
      <w:r>
        <w:rPr>
          <w:rFonts w:eastAsia="宋体" w:cs="Times New Roman" w:hint="eastAsia"/>
          <w:sz w:val="24"/>
          <w:szCs w:val="22"/>
        </w:rPr>
        <w:t>年、</w:t>
      </w:r>
      <w:r>
        <w:rPr>
          <w:rFonts w:eastAsia="宋体" w:cs="Times New Roman" w:hint="eastAsia"/>
          <w:sz w:val="24"/>
          <w:szCs w:val="22"/>
        </w:rPr>
        <w:t>1</w:t>
      </w:r>
      <w:r>
        <w:rPr>
          <w:rFonts w:eastAsia="宋体" w:cs="Times New Roman"/>
          <w:sz w:val="24"/>
          <w:szCs w:val="22"/>
        </w:rPr>
        <w:t>990-1999</w:t>
      </w:r>
      <w:r>
        <w:rPr>
          <w:rFonts w:eastAsia="宋体" w:cs="Times New Roman" w:hint="eastAsia"/>
          <w:sz w:val="24"/>
          <w:szCs w:val="22"/>
        </w:rPr>
        <w:t>年的</w:t>
      </w:r>
      <w:r>
        <w:rPr>
          <w:rFonts w:eastAsia="宋体" w:cs="Times New Roman" w:hint="eastAsia"/>
          <w:sz w:val="24"/>
          <w:szCs w:val="22"/>
        </w:rPr>
        <w:t>5</w:t>
      </w:r>
      <w:r>
        <w:rPr>
          <w:rFonts w:eastAsia="宋体" w:cs="Times New Roman"/>
          <w:sz w:val="24"/>
          <w:szCs w:val="22"/>
        </w:rPr>
        <w:t>0.8%</w:t>
      </w:r>
      <w:r>
        <w:rPr>
          <w:rFonts w:eastAsia="宋体" w:cs="Times New Roman" w:hint="eastAsia"/>
          <w:sz w:val="24"/>
          <w:szCs w:val="22"/>
        </w:rPr>
        <w:t>、</w:t>
      </w:r>
      <w:r>
        <w:rPr>
          <w:rFonts w:eastAsia="宋体" w:cs="Times New Roman"/>
          <w:sz w:val="24"/>
          <w:szCs w:val="22"/>
        </w:rPr>
        <w:t>37.4%</w:t>
      </w:r>
      <w:r>
        <w:rPr>
          <w:rFonts w:eastAsia="宋体" w:cs="Times New Roman" w:hint="eastAsia"/>
          <w:sz w:val="24"/>
          <w:szCs w:val="22"/>
        </w:rPr>
        <w:t>，日本在</w:t>
      </w:r>
      <w:r>
        <w:rPr>
          <w:rFonts w:eastAsia="宋体" w:cs="Times New Roman" w:hint="eastAsia"/>
          <w:sz w:val="24"/>
          <w:szCs w:val="22"/>
        </w:rPr>
        <w:t>2</w:t>
      </w:r>
      <w:r>
        <w:rPr>
          <w:rFonts w:eastAsia="宋体" w:cs="Times New Roman"/>
          <w:sz w:val="24"/>
          <w:szCs w:val="22"/>
        </w:rPr>
        <w:t>010-2019</w:t>
      </w:r>
      <w:r>
        <w:rPr>
          <w:rFonts w:eastAsia="宋体" w:cs="Times New Roman" w:hint="eastAsia"/>
          <w:sz w:val="24"/>
          <w:szCs w:val="22"/>
        </w:rPr>
        <w:t>年的</w:t>
      </w:r>
      <w:r>
        <w:rPr>
          <w:rFonts w:eastAsia="宋体" w:cs="Times New Roman" w:hint="eastAsia"/>
          <w:sz w:val="24"/>
          <w:szCs w:val="22"/>
        </w:rPr>
        <w:t>6</w:t>
      </w:r>
      <w:r>
        <w:rPr>
          <w:rFonts w:eastAsia="宋体" w:cs="Times New Roman"/>
          <w:sz w:val="24"/>
          <w:szCs w:val="22"/>
        </w:rPr>
        <w:t>9.1%</w:t>
      </w:r>
      <w:r>
        <w:rPr>
          <w:rFonts w:eastAsia="宋体" w:cs="Times New Roman" w:hint="eastAsia"/>
          <w:sz w:val="24"/>
          <w:szCs w:val="22"/>
        </w:rPr>
        <w:t>，韩国在</w:t>
      </w:r>
      <w:r>
        <w:rPr>
          <w:rFonts w:eastAsia="宋体" w:cs="Times New Roman" w:hint="eastAsia"/>
          <w:sz w:val="24"/>
          <w:szCs w:val="22"/>
        </w:rPr>
        <w:t>2</w:t>
      </w:r>
      <w:r>
        <w:rPr>
          <w:rFonts w:eastAsia="宋体" w:cs="Times New Roman"/>
          <w:sz w:val="24"/>
          <w:szCs w:val="22"/>
        </w:rPr>
        <w:t>000-2009</w:t>
      </w:r>
      <w:r>
        <w:rPr>
          <w:rFonts w:eastAsia="宋体" w:cs="Times New Roman" w:hint="eastAsia"/>
          <w:sz w:val="24"/>
          <w:szCs w:val="22"/>
        </w:rPr>
        <w:t>年的</w:t>
      </w:r>
      <w:r>
        <w:rPr>
          <w:rFonts w:eastAsia="宋体" w:cs="Times New Roman" w:hint="eastAsia"/>
          <w:sz w:val="24"/>
          <w:szCs w:val="22"/>
        </w:rPr>
        <w:t>3</w:t>
      </w:r>
      <w:r>
        <w:rPr>
          <w:rFonts w:eastAsia="宋体" w:cs="Times New Roman"/>
          <w:sz w:val="24"/>
          <w:szCs w:val="22"/>
        </w:rPr>
        <w:t>5.4%</w:t>
      </w:r>
      <w:r>
        <w:rPr>
          <w:rFonts w:eastAsia="宋体" w:cs="Times New Roman" w:hint="eastAsia"/>
          <w:sz w:val="24"/>
          <w:szCs w:val="22"/>
        </w:rPr>
        <w:t>，印度在</w:t>
      </w:r>
      <w:r>
        <w:rPr>
          <w:rFonts w:eastAsia="宋体" w:cs="Times New Roman" w:hint="eastAsia"/>
          <w:sz w:val="24"/>
          <w:szCs w:val="22"/>
        </w:rPr>
        <w:t>2</w:t>
      </w:r>
      <w:r>
        <w:rPr>
          <w:rFonts w:eastAsia="宋体" w:cs="Times New Roman"/>
          <w:sz w:val="24"/>
          <w:szCs w:val="22"/>
        </w:rPr>
        <w:t>010-2019</w:t>
      </w:r>
      <w:r>
        <w:rPr>
          <w:rFonts w:eastAsia="宋体" w:cs="Times New Roman" w:hint="eastAsia"/>
          <w:sz w:val="24"/>
          <w:szCs w:val="22"/>
        </w:rPr>
        <w:t>年的</w:t>
      </w:r>
      <w:r>
        <w:rPr>
          <w:rFonts w:eastAsia="宋体" w:cs="Times New Roman" w:hint="eastAsia"/>
          <w:sz w:val="24"/>
          <w:szCs w:val="22"/>
        </w:rPr>
        <w:t>3</w:t>
      </w:r>
      <w:r>
        <w:rPr>
          <w:rFonts w:eastAsia="宋体" w:cs="Times New Roman"/>
          <w:sz w:val="24"/>
          <w:szCs w:val="22"/>
        </w:rPr>
        <w:t>0.5%</w:t>
      </w:r>
      <w:r>
        <w:rPr>
          <w:rFonts w:eastAsia="宋体" w:cs="Times New Roman" w:hint="eastAsia"/>
          <w:sz w:val="24"/>
          <w:szCs w:val="22"/>
        </w:rPr>
        <w:t>。</w:t>
      </w:r>
    </w:p>
    <w:p w14:paraId="644EA765" w14:textId="77777777" w:rsidR="004651C7" w:rsidRDefault="00BF798C">
      <w:pPr>
        <w:overflowPunct w:val="0"/>
        <w:spacing w:line="360" w:lineRule="auto"/>
        <w:ind w:firstLine="480"/>
        <w:rPr>
          <w:rFonts w:eastAsia="宋体" w:cs="Times New Roman"/>
          <w:sz w:val="24"/>
          <w:szCs w:val="22"/>
        </w:rPr>
      </w:pPr>
      <w:bookmarkStart w:id="85" w:name="_Hlk87396231"/>
      <w:r>
        <w:rPr>
          <w:rFonts w:eastAsia="宋体" w:cs="Times New Roman" w:hint="eastAsia"/>
          <w:sz w:val="24"/>
          <w:szCs w:val="22"/>
        </w:rPr>
        <w:t>三是</w:t>
      </w:r>
      <w:r>
        <w:rPr>
          <w:rFonts w:eastAsia="宋体" w:cs="Times New Roman" w:hint="eastAsia"/>
          <w:sz w:val="24"/>
          <w:szCs w:val="22"/>
        </w:rPr>
        <w:t>TFP</w:t>
      </w:r>
      <w:r>
        <w:rPr>
          <w:rFonts w:eastAsia="宋体" w:cs="Times New Roman" w:hint="eastAsia"/>
          <w:sz w:val="24"/>
          <w:szCs w:val="22"/>
        </w:rPr>
        <w:t>增长具有典型的顺周期特征。</w:t>
      </w:r>
      <w:bookmarkEnd w:id="85"/>
      <w:r>
        <w:rPr>
          <w:rFonts w:eastAsia="宋体" w:cs="Times New Roman" w:hint="eastAsia"/>
          <w:sz w:val="24"/>
          <w:szCs w:val="22"/>
        </w:rPr>
        <w:t>经济下行时期</w:t>
      </w:r>
      <w:r>
        <w:rPr>
          <w:rFonts w:eastAsia="宋体" w:cs="Times New Roman" w:hint="eastAsia"/>
          <w:sz w:val="24"/>
          <w:szCs w:val="22"/>
        </w:rPr>
        <w:t>TFP</w:t>
      </w:r>
      <w:r>
        <w:rPr>
          <w:rFonts w:eastAsia="宋体" w:cs="Times New Roman" w:hint="eastAsia"/>
          <w:sz w:val="24"/>
          <w:szCs w:val="22"/>
        </w:rPr>
        <w:t>增长放缓，经济繁荣时期</w:t>
      </w:r>
      <w:r>
        <w:rPr>
          <w:rFonts w:eastAsia="宋体" w:cs="Times New Roman" w:hint="eastAsia"/>
          <w:sz w:val="24"/>
          <w:szCs w:val="22"/>
        </w:rPr>
        <w:t>TFP</w:t>
      </w:r>
      <w:r>
        <w:rPr>
          <w:rFonts w:eastAsia="宋体" w:cs="Times New Roman" w:hint="eastAsia"/>
          <w:sz w:val="24"/>
          <w:szCs w:val="22"/>
        </w:rPr>
        <w:t>增长加快。德国、法国、意大利、日本、俄罗斯、印度、巴西、南非的</w:t>
      </w:r>
      <w:r>
        <w:rPr>
          <w:rFonts w:eastAsia="宋体" w:cs="Times New Roman" w:hint="eastAsia"/>
          <w:sz w:val="24"/>
          <w:szCs w:val="22"/>
        </w:rPr>
        <w:t>TFP</w:t>
      </w:r>
      <w:r>
        <w:rPr>
          <w:rFonts w:eastAsia="宋体" w:cs="Times New Roman" w:hint="eastAsia"/>
          <w:sz w:val="24"/>
          <w:szCs w:val="22"/>
        </w:rPr>
        <w:t>增速与</w:t>
      </w:r>
      <w:r>
        <w:rPr>
          <w:rFonts w:eastAsia="宋体" w:cs="Times New Roman" w:hint="eastAsia"/>
          <w:sz w:val="24"/>
          <w:szCs w:val="22"/>
        </w:rPr>
        <w:t>GDP</w:t>
      </w:r>
      <w:r>
        <w:rPr>
          <w:rFonts w:eastAsia="宋体" w:cs="Times New Roman" w:hint="eastAsia"/>
          <w:sz w:val="24"/>
          <w:szCs w:val="22"/>
        </w:rPr>
        <w:t>增速的相关系数均超过</w:t>
      </w:r>
      <w:r>
        <w:rPr>
          <w:rFonts w:eastAsia="宋体" w:cs="Times New Roman" w:hint="eastAsia"/>
          <w:sz w:val="24"/>
          <w:szCs w:val="22"/>
        </w:rPr>
        <w:t>0</w:t>
      </w:r>
      <w:r>
        <w:rPr>
          <w:rFonts w:eastAsia="宋体" w:cs="Times New Roman"/>
          <w:sz w:val="24"/>
          <w:szCs w:val="22"/>
        </w:rPr>
        <w:t>.8</w:t>
      </w:r>
      <w:r>
        <w:rPr>
          <w:rFonts w:eastAsia="宋体" w:cs="Times New Roman" w:hint="eastAsia"/>
          <w:sz w:val="24"/>
          <w:szCs w:val="22"/>
        </w:rPr>
        <w:t>，属于极强相关关系。美国、英国、加拿大、韩国介于</w:t>
      </w:r>
      <w:r>
        <w:rPr>
          <w:rFonts w:eastAsia="宋体" w:cs="Times New Roman" w:hint="eastAsia"/>
          <w:sz w:val="24"/>
          <w:szCs w:val="22"/>
        </w:rPr>
        <w:t>0</w:t>
      </w:r>
      <w:r>
        <w:rPr>
          <w:rFonts w:eastAsia="宋体" w:cs="Times New Roman"/>
          <w:sz w:val="24"/>
          <w:szCs w:val="22"/>
        </w:rPr>
        <w:t>.6~0.8</w:t>
      </w:r>
      <w:r>
        <w:rPr>
          <w:rFonts w:eastAsia="宋体" w:cs="Times New Roman" w:hint="eastAsia"/>
          <w:sz w:val="24"/>
          <w:szCs w:val="22"/>
        </w:rPr>
        <w:t>之间，属于强相关关系。国际金融危机期间，主要国家</w:t>
      </w:r>
      <w:r>
        <w:rPr>
          <w:rFonts w:eastAsia="宋体" w:cs="Times New Roman" w:hint="eastAsia"/>
          <w:sz w:val="24"/>
          <w:szCs w:val="22"/>
        </w:rPr>
        <w:t>TFP</w:t>
      </w:r>
      <w:r>
        <w:rPr>
          <w:rFonts w:eastAsia="宋体" w:cs="Times New Roman" w:hint="eastAsia"/>
          <w:sz w:val="24"/>
          <w:szCs w:val="22"/>
        </w:rPr>
        <w:t>都出现了</w:t>
      </w:r>
      <w:r>
        <w:rPr>
          <w:rFonts w:eastAsia="宋体" w:cs="Times New Roman" w:hint="eastAsia"/>
          <w:sz w:val="24"/>
          <w:szCs w:val="22"/>
        </w:rPr>
        <w:t>1</w:t>
      </w:r>
      <w:r>
        <w:rPr>
          <w:rFonts w:eastAsia="宋体" w:cs="Times New Roman"/>
          <w:sz w:val="24"/>
          <w:szCs w:val="22"/>
        </w:rPr>
        <w:t>~2</w:t>
      </w:r>
      <w:r>
        <w:rPr>
          <w:rFonts w:eastAsia="宋体" w:cs="Times New Roman" w:hint="eastAsia"/>
          <w:sz w:val="24"/>
          <w:szCs w:val="22"/>
        </w:rPr>
        <w:t>年的负增长。</w:t>
      </w:r>
    </w:p>
    <w:p w14:paraId="3878C73A" w14:textId="77777777" w:rsidR="004651C7" w:rsidRDefault="00BF798C">
      <w:pPr>
        <w:overflowPunct w:val="0"/>
        <w:spacing w:line="360" w:lineRule="auto"/>
        <w:ind w:firstLine="480"/>
        <w:rPr>
          <w:rFonts w:eastAsia="宋体" w:cs="Times New Roman"/>
          <w:sz w:val="24"/>
          <w:szCs w:val="22"/>
        </w:rPr>
      </w:pPr>
      <w:bookmarkStart w:id="86" w:name="_Hlk87396244"/>
      <w:r>
        <w:rPr>
          <w:rFonts w:eastAsia="宋体" w:cs="Times New Roman" w:hint="eastAsia"/>
          <w:sz w:val="24"/>
          <w:szCs w:val="22"/>
        </w:rPr>
        <w:t>四是辩证看待</w:t>
      </w:r>
      <w:r>
        <w:rPr>
          <w:rFonts w:eastAsia="宋体" w:cs="Times New Roman" w:hint="eastAsia"/>
          <w:sz w:val="24"/>
          <w:szCs w:val="22"/>
        </w:rPr>
        <w:t>TFP</w:t>
      </w:r>
      <w:r>
        <w:rPr>
          <w:rFonts w:eastAsia="宋体" w:cs="Times New Roman" w:hint="eastAsia"/>
          <w:sz w:val="24"/>
          <w:szCs w:val="22"/>
        </w:rPr>
        <w:t>贡献率被动提升。</w:t>
      </w:r>
      <w:r>
        <w:rPr>
          <w:rFonts w:eastAsia="宋体" w:cs="Times New Roman" w:hint="eastAsia"/>
          <w:sz w:val="24"/>
          <w:szCs w:val="22"/>
        </w:rPr>
        <w:t>TFP</w:t>
      </w:r>
      <w:r>
        <w:rPr>
          <w:rFonts w:eastAsia="宋体" w:cs="Times New Roman" w:hint="eastAsia"/>
          <w:sz w:val="24"/>
          <w:szCs w:val="22"/>
        </w:rPr>
        <w:t>贡献率较高多发生在同期</w:t>
      </w:r>
      <w:r>
        <w:rPr>
          <w:rFonts w:eastAsia="宋体" w:cs="Times New Roman" w:hint="eastAsia"/>
          <w:sz w:val="24"/>
          <w:szCs w:val="22"/>
        </w:rPr>
        <w:t>GDP</w:t>
      </w:r>
      <w:r>
        <w:rPr>
          <w:rFonts w:eastAsia="宋体" w:cs="Times New Roman" w:hint="eastAsia"/>
          <w:sz w:val="24"/>
          <w:szCs w:val="22"/>
        </w:rPr>
        <w:t>增速较低的时期，意味着</w:t>
      </w:r>
      <w:r>
        <w:rPr>
          <w:rFonts w:eastAsia="宋体" w:cs="Times New Roman" w:hint="eastAsia"/>
          <w:sz w:val="24"/>
          <w:szCs w:val="22"/>
        </w:rPr>
        <w:t>TFP</w:t>
      </w:r>
      <w:r>
        <w:rPr>
          <w:rFonts w:eastAsia="宋体" w:cs="Times New Roman" w:hint="eastAsia"/>
          <w:sz w:val="24"/>
          <w:szCs w:val="22"/>
        </w:rPr>
        <w:t>贡献率提升更多是被动的，只是作为分母的</w:t>
      </w:r>
      <w:r>
        <w:rPr>
          <w:rFonts w:eastAsia="宋体" w:cs="Times New Roman" w:hint="eastAsia"/>
          <w:sz w:val="24"/>
          <w:szCs w:val="22"/>
        </w:rPr>
        <w:t>GDP</w:t>
      </w:r>
      <w:r>
        <w:rPr>
          <w:rFonts w:eastAsia="宋体" w:cs="Times New Roman" w:hint="eastAsia"/>
          <w:sz w:val="24"/>
          <w:szCs w:val="22"/>
        </w:rPr>
        <w:t>增速更多回落而导致的。</w:t>
      </w:r>
      <w:r>
        <w:rPr>
          <w:rFonts w:eastAsia="宋体" w:cs="Times New Roman" w:hint="eastAsia"/>
          <w:sz w:val="24"/>
          <w:szCs w:val="22"/>
        </w:rPr>
        <w:t>1</w:t>
      </w:r>
      <w:r>
        <w:rPr>
          <w:rFonts w:eastAsia="宋体" w:cs="Times New Roman"/>
          <w:sz w:val="24"/>
          <w:szCs w:val="22"/>
        </w:rPr>
        <w:t>0</w:t>
      </w:r>
      <w:r>
        <w:rPr>
          <w:rFonts w:eastAsia="宋体" w:cs="Times New Roman" w:hint="eastAsia"/>
          <w:sz w:val="24"/>
          <w:szCs w:val="22"/>
        </w:rPr>
        <w:t>个</w:t>
      </w:r>
      <w:r>
        <w:rPr>
          <w:rFonts w:eastAsia="宋体" w:cs="Times New Roman" w:hint="eastAsia"/>
          <w:sz w:val="24"/>
          <w:szCs w:val="22"/>
        </w:rPr>
        <w:t>TFP</w:t>
      </w:r>
      <w:r>
        <w:rPr>
          <w:rFonts w:eastAsia="宋体" w:cs="Times New Roman" w:hint="eastAsia"/>
          <w:sz w:val="24"/>
          <w:szCs w:val="22"/>
        </w:rPr>
        <w:t>贡献率较高（大于</w:t>
      </w:r>
      <w:r>
        <w:rPr>
          <w:rFonts w:eastAsia="宋体" w:cs="Times New Roman"/>
          <w:sz w:val="24"/>
          <w:szCs w:val="22"/>
        </w:rPr>
        <w:t>30%</w:t>
      </w:r>
      <w:r>
        <w:rPr>
          <w:rFonts w:eastAsia="宋体" w:cs="Times New Roman" w:hint="eastAsia"/>
          <w:sz w:val="24"/>
          <w:szCs w:val="22"/>
        </w:rPr>
        <w:t>）的集合中，</w:t>
      </w:r>
      <w:r>
        <w:rPr>
          <w:rFonts w:eastAsia="宋体" w:cs="Times New Roman" w:hint="eastAsia"/>
          <w:sz w:val="24"/>
          <w:szCs w:val="22"/>
        </w:rPr>
        <w:t>TFP</w:t>
      </w:r>
      <w:r>
        <w:rPr>
          <w:rFonts w:eastAsia="宋体" w:cs="Times New Roman" w:hint="eastAsia"/>
          <w:sz w:val="24"/>
          <w:szCs w:val="22"/>
        </w:rPr>
        <w:t>增速低于</w:t>
      </w:r>
      <w:r>
        <w:rPr>
          <w:rFonts w:eastAsia="宋体" w:cs="Times New Roman"/>
          <w:sz w:val="24"/>
          <w:szCs w:val="22"/>
        </w:rPr>
        <w:t>1%</w:t>
      </w:r>
      <w:r>
        <w:rPr>
          <w:rFonts w:eastAsia="宋体" w:cs="Times New Roman" w:hint="eastAsia"/>
          <w:sz w:val="24"/>
          <w:szCs w:val="22"/>
        </w:rPr>
        <w:t>的多达</w:t>
      </w:r>
      <w:r>
        <w:rPr>
          <w:rFonts w:eastAsia="宋体" w:cs="Times New Roman" w:hint="eastAsia"/>
          <w:sz w:val="24"/>
          <w:szCs w:val="22"/>
        </w:rPr>
        <w:t>6</w:t>
      </w:r>
      <w:r>
        <w:rPr>
          <w:rFonts w:eastAsia="宋体" w:cs="Times New Roman" w:hint="eastAsia"/>
          <w:sz w:val="24"/>
          <w:szCs w:val="22"/>
        </w:rPr>
        <w:t>个；</w:t>
      </w:r>
      <w:r>
        <w:rPr>
          <w:rFonts w:eastAsia="宋体" w:cs="Times New Roman" w:hint="eastAsia"/>
          <w:sz w:val="24"/>
          <w:szCs w:val="22"/>
        </w:rPr>
        <w:t>1</w:t>
      </w:r>
      <w:r>
        <w:rPr>
          <w:rFonts w:eastAsia="宋体" w:cs="Times New Roman"/>
          <w:sz w:val="24"/>
          <w:szCs w:val="22"/>
        </w:rPr>
        <w:t>%~2%</w:t>
      </w:r>
      <w:r>
        <w:rPr>
          <w:rFonts w:eastAsia="宋体" w:cs="Times New Roman" w:hint="eastAsia"/>
          <w:sz w:val="24"/>
          <w:szCs w:val="22"/>
        </w:rPr>
        <w:t>之间的有</w:t>
      </w:r>
      <w:r>
        <w:rPr>
          <w:rFonts w:eastAsia="宋体" w:cs="Times New Roman" w:hint="eastAsia"/>
          <w:sz w:val="24"/>
          <w:szCs w:val="22"/>
        </w:rPr>
        <w:t>3</w:t>
      </w:r>
      <w:r>
        <w:rPr>
          <w:rFonts w:eastAsia="宋体" w:cs="Times New Roman" w:hint="eastAsia"/>
          <w:sz w:val="24"/>
          <w:szCs w:val="22"/>
        </w:rPr>
        <w:t>个，大于</w:t>
      </w:r>
      <w:r>
        <w:rPr>
          <w:rFonts w:eastAsia="宋体" w:cs="Times New Roman" w:hint="eastAsia"/>
          <w:sz w:val="24"/>
          <w:szCs w:val="22"/>
        </w:rPr>
        <w:t>2</w:t>
      </w:r>
      <w:r>
        <w:rPr>
          <w:rFonts w:eastAsia="宋体" w:cs="Times New Roman"/>
          <w:sz w:val="24"/>
          <w:szCs w:val="22"/>
        </w:rPr>
        <w:t>%</w:t>
      </w:r>
      <w:r>
        <w:rPr>
          <w:rFonts w:eastAsia="宋体" w:cs="Times New Roman" w:hint="eastAsia"/>
          <w:sz w:val="24"/>
          <w:szCs w:val="22"/>
        </w:rPr>
        <w:t>的仅</w:t>
      </w:r>
      <w:r>
        <w:rPr>
          <w:rFonts w:eastAsia="宋体" w:cs="Times New Roman" w:hint="eastAsia"/>
          <w:sz w:val="24"/>
          <w:szCs w:val="22"/>
        </w:rPr>
        <w:t>1</w:t>
      </w:r>
      <w:r>
        <w:rPr>
          <w:rFonts w:eastAsia="宋体" w:cs="Times New Roman" w:hint="eastAsia"/>
          <w:sz w:val="24"/>
          <w:szCs w:val="22"/>
        </w:rPr>
        <w:t>个。</w:t>
      </w:r>
    </w:p>
    <w:bookmarkEnd w:id="86"/>
    <w:p w14:paraId="0C7FC760" w14:textId="77777777" w:rsidR="004651C7" w:rsidRDefault="00BF798C">
      <w:pPr>
        <w:pStyle w:val="affe"/>
      </w:pPr>
      <w:r>
        <w:t>表</w:t>
      </w:r>
      <w:r>
        <w:t>3</w:t>
      </w:r>
      <w:r>
        <w:rPr>
          <w:rFonts w:hint="eastAsia"/>
        </w:rPr>
        <w:t>.</w:t>
      </w:r>
      <w:r>
        <w:t>1</w:t>
      </w:r>
      <w:r>
        <w:rPr>
          <w:rFonts w:hint="eastAsia"/>
        </w:rPr>
        <w:t xml:space="preserve"> </w:t>
      </w:r>
      <w:r>
        <w:t xml:space="preserve"> </w:t>
      </w:r>
      <w:r>
        <w:t>主要国家</w:t>
      </w:r>
      <w:r>
        <w:t>TFP</w:t>
      </w:r>
      <w:r>
        <w:t>增长情况（单位：</w:t>
      </w:r>
      <w:r>
        <w:t>%</w:t>
      </w:r>
      <w:r>
        <w:t>）</w:t>
      </w:r>
    </w:p>
    <w:tbl>
      <w:tblPr>
        <w:tblStyle w:val="51"/>
        <w:tblW w:w="0" w:type="auto"/>
        <w:jc w:val="center"/>
        <w:tblLook w:val="04A0" w:firstRow="1" w:lastRow="0" w:firstColumn="1" w:lastColumn="0" w:noHBand="0" w:noVBand="1"/>
      </w:tblPr>
      <w:tblGrid>
        <w:gridCol w:w="854"/>
        <w:gridCol w:w="1280"/>
        <w:gridCol w:w="1241"/>
        <w:gridCol w:w="1241"/>
        <w:gridCol w:w="1241"/>
        <w:gridCol w:w="1241"/>
        <w:gridCol w:w="1241"/>
      </w:tblGrid>
      <w:tr w:rsidR="004651C7" w14:paraId="4587CAA5" w14:textId="77777777">
        <w:trPr>
          <w:trHeight w:val="371"/>
          <w:jc w:val="center"/>
        </w:trPr>
        <w:tc>
          <w:tcPr>
            <w:tcW w:w="854" w:type="dxa"/>
            <w:tcBorders>
              <w:top w:val="single" w:sz="4" w:space="0" w:color="auto"/>
              <w:left w:val="single" w:sz="4" w:space="0" w:color="auto"/>
              <w:bottom w:val="single" w:sz="4" w:space="0" w:color="auto"/>
            </w:tcBorders>
            <w:vAlign w:val="center"/>
          </w:tcPr>
          <w:p w14:paraId="1D10766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国家</w:t>
            </w:r>
          </w:p>
        </w:tc>
        <w:tc>
          <w:tcPr>
            <w:tcW w:w="1280" w:type="dxa"/>
            <w:tcBorders>
              <w:top w:val="single" w:sz="4" w:space="0" w:color="auto"/>
              <w:bottom w:val="single" w:sz="4" w:space="0" w:color="auto"/>
            </w:tcBorders>
            <w:vAlign w:val="center"/>
          </w:tcPr>
          <w:p w14:paraId="1B9B470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指标</w:t>
            </w:r>
          </w:p>
        </w:tc>
        <w:tc>
          <w:tcPr>
            <w:tcW w:w="1241" w:type="dxa"/>
            <w:tcBorders>
              <w:top w:val="single" w:sz="4" w:space="0" w:color="auto"/>
              <w:bottom w:val="single" w:sz="4" w:space="0" w:color="auto"/>
            </w:tcBorders>
            <w:vAlign w:val="center"/>
          </w:tcPr>
          <w:p w14:paraId="2F00A9D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1980-1989</w:t>
            </w:r>
          </w:p>
        </w:tc>
        <w:tc>
          <w:tcPr>
            <w:tcW w:w="1241" w:type="dxa"/>
            <w:tcBorders>
              <w:top w:val="single" w:sz="4" w:space="0" w:color="auto"/>
              <w:bottom w:val="single" w:sz="4" w:space="0" w:color="auto"/>
            </w:tcBorders>
            <w:vAlign w:val="center"/>
          </w:tcPr>
          <w:p w14:paraId="477F7B5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1990-1999</w:t>
            </w:r>
          </w:p>
        </w:tc>
        <w:tc>
          <w:tcPr>
            <w:tcW w:w="1241" w:type="dxa"/>
            <w:tcBorders>
              <w:top w:val="single" w:sz="4" w:space="0" w:color="auto"/>
              <w:bottom w:val="single" w:sz="4" w:space="0" w:color="auto"/>
              <w:right w:val="nil"/>
            </w:tcBorders>
            <w:vAlign w:val="center"/>
          </w:tcPr>
          <w:p w14:paraId="00AB65D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2000-2009</w:t>
            </w:r>
          </w:p>
        </w:tc>
        <w:tc>
          <w:tcPr>
            <w:tcW w:w="1241" w:type="dxa"/>
            <w:tcBorders>
              <w:top w:val="single" w:sz="4" w:space="0" w:color="auto"/>
              <w:bottom w:val="single" w:sz="4" w:space="0" w:color="auto"/>
              <w:right w:val="nil"/>
            </w:tcBorders>
            <w:vAlign w:val="center"/>
          </w:tcPr>
          <w:p w14:paraId="4A6F9E0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2010-2019</w:t>
            </w:r>
          </w:p>
        </w:tc>
        <w:tc>
          <w:tcPr>
            <w:tcW w:w="1241" w:type="dxa"/>
            <w:tcBorders>
              <w:top w:val="single" w:sz="4" w:space="0" w:color="auto"/>
              <w:bottom w:val="single" w:sz="4" w:space="0" w:color="auto"/>
              <w:right w:val="single" w:sz="4" w:space="0" w:color="auto"/>
            </w:tcBorders>
            <w:vAlign w:val="center"/>
          </w:tcPr>
          <w:p w14:paraId="370E957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980</w:t>
            </w:r>
            <w:r>
              <w:rPr>
                <w:rFonts w:eastAsia="宋体" w:cs="Times New Roman" w:hint="eastAsia"/>
                <w:sz w:val="21"/>
                <w:szCs w:val="21"/>
              </w:rPr>
              <w:t>-</w:t>
            </w:r>
            <w:r>
              <w:rPr>
                <w:rFonts w:eastAsia="宋体" w:cs="Times New Roman"/>
                <w:sz w:val="21"/>
                <w:szCs w:val="21"/>
              </w:rPr>
              <w:t>2019</w:t>
            </w:r>
          </w:p>
        </w:tc>
      </w:tr>
      <w:tr w:rsidR="004651C7" w14:paraId="196D4B45" w14:textId="77777777">
        <w:trPr>
          <w:trHeight w:val="170"/>
          <w:jc w:val="center"/>
        </w:trPr>
        <w:tc>
          <w:tcPr>
            <w:tcW w:w="854" w:type="dxa"/>
            <w:vMerge w:val="restart"/>
            <w:tcBorders>
              <w:left w:val="single" w:sz="4" w:space="0" w:color="auto"/>
            </w:tcBorders>
            <w:vAlign w:val="center"/>
          </w:tcPr>
          <w:p w14:paraId="0575F76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美国</w:t>
            </w:r>
          </w:p>
        </w:tc>
        <w:tc>
          <w:tcPr>
            <w:tcW w:w="1280" w:type="dxa"/>
            <w:tcBorders>
              <w:bottom w:val="nil"/>
            </w:tcBorders>
            <w:vAlign w:val="center"/>
          </w:tcPr>
          <w:p w14:paraId="19A2087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bottom w:val="nil"/>
            </w:tcBorders>
            <w:vAlign w:val="center"/>
          </w:tcPr>
          <w:p w14:paraId="782C487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.45</w:t>
            </w:r>
          </w:p>
        </w:tc>
        <w:tc>
          <w:tcPr>
            <w:tcW w:w="1241" w:type="dxa"/>
            <w:tcBorders>
              <w:bottom w:val="nil"/>
            </w:tcBorders>
            <w:shd w:val="clear" w:color="auto" w:fill="FFF2CC"/>
            <w:vAlign w:val="center"/>
          </w:tcPr>
          <w:p w14:paraId="55E62CF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.73</w:t>
            </w:r>
          </w:p>
        </w:tc>
        <w:tc>
          <w:tcPr>
            <w:tcW w:w="1241" w:type="dxa"/>
            <w:tcBorders>
              <w:bottom w:val="nil"/>
              <w:right w:val="nil"/>
            </w:tcBorders>
            <w:vAlign w:val="center"/>
          </w:tcPr>
          <w:p w14:paraId="7A57F13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.66</w:t>
            </w:r>
          </w:p>
        </w:tc>
        <w:tc>
          <w:tcPr>
            <w:tcW w:w="1241" w:type="dxa"/>
            <w:tcBorders>
              <w:bottom w:val="nil"/>
              <w:right w:val="nil"/>
            </w:tcBorders>
            <w:vAlign w:val="center"/>
          </w:tcPr>
          <w:p w14:paraId="1ACEDED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.57</w:t>
            </w:r>
          </w:p>
        </w:tc>
        <w:tc>
          <w:tcPr>
            <w:tcW w:w="1241" w:type="dxa"/>
            <w:tcBorders>
              <w:bottom w:val="nil"/>
              <w:right w:val="single" w:sz="4" w:space="0" w:color="auto"/>
            </w:tcBorders>
            <w:vAlign w:val="center"/>
          </w:tcPr>
          <w:p w14:paraId="0D47E01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.60</w:t>
            </w:r>
          </w:p>
        </w:tc>
      </w:tr>
      <w:tr w:rsidR="004651C7" w14:paraId="1915CC08" w14:textId="77777777">
        <w:trPr>
          <w:trHeight w:val="170"/>
          <w:jc w:val="center"/>
        </w:trPr>
        <w:tc>
          <w:tcPr>
            <w:tcW w:w="854" w:type="dxa"/>
            <w:vMerge/>
            <w:tcBorders>
              <w:left w:val="single" w:sz="4" w:space="0" w:color="auto"/>
            </w:tcBorders>
            <w:vAlign w:val="center"/>
          </w:tcPr>
          <w:p w14:paraId="10ED5948"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nil"/>
            </w:tcBorders>
            <w:vAlign w:val="center"/>
          </w:tcPr>
          <w:p w14:paraId="7C86D00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nil"/>
              <w:bottom w:val="nil"/>
            </w:tcBorders>
            <w:vAlign w:val="center"/>
          </w:tcPr>
          <w:p w14:paraId="5AE6C70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.10</w:t>
            </w:r>
          </w:p>
        </w:tc>
        <w:tc>
          <w:tcPr>
            <w:tcW w:w="1241" w:type="dxa"/>
            <w:tcBorders>
              <w:top w:val="nil"/>
              <w:bottom w:val="nil"/>
            </w:tcBorders>
            <w:vAlign w:val="center"/>
          </w:tcPr>
          <w:p w14:paraId="626F0DF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.21</w:t>
            </w:r>
          </w:p>
        </w:tc>
        <w:tc>
          <w:tcPr>
            <w:tcW w:w="1241" w:type="dxa"/>
            <w:tcBorders>
              <w:top w:val="nil"/>
              <w:bottom w:val="nil"/>
              <w:right w:val="nil"/>
            </w:tcBorders>
            <w:vAlign w:val="center"/>
          </w:tcPr>
          <w:p w14:paraId="5977D18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.89</w:t>
            </w:r>
          </w:p>
        </w:tc>
        <w:tc>
          <w:tcPr>
            <w:tcW w:w="1241" w:type="dxa"/>
            <w:tcBorders>
              <w:top w:val="nil"/>
              <w:bottom w:val="nil"/>
              <w:right w:val="nil"/>
            </w:tcBorders>
            <w:vAlign w:val="center"/>
          </w:tcPr>
          <w:p w14:paraId="64AE6AE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.30</w:t>
            </w:r>
          </w:p>
        </w:tc>
        <w:tc>
          <w:tcPr>
            <w:tcW w:w="1241" w:type="dxa"/>
            <w:tcBorders>
              <w:top w:val="nil"/>
              <w:bottom w:val="nil"/>
              <w:right w:val="single" w:sz="4" w:space="0" w:color="auto"/>
            </w:tcBorders>
            <w:vAlign w:val="center"/>
          </w:tcPr>
          <w:p w14:paraId="1249177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.62</w:t>
            </w:r>
          </w:p>
        </w:tc>
      </w:tr>
      <w:tr w:rsidR="004651C7" w14:paraId="7E3B035C" w14:textId="77777777">
        <w:trPr>
          <w:trHeight w:val="170"/>
          <w:jc w:val="center"/>
        </w:trPr>
        <w:tc>
          <w:tcPr>
            <w:tcW w:w="854" w:type="dxa"/>
            <w:vMerge/>
            <w:tcBorders>
              <w:left w:val="single" w:sz="4" w:space="0" w:color="auto"/>
              <w:bottom w:val="single" w:sz="4" w:space="0" w:color="auto"/>
            </w:tcBorders>
            <w:vAlign w:val="center"/>
          </w:tcPr>
          <w:p w14:paraId="7441114A"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single" w:sz="4" w:space="0" w:color="auto"/>
            </w:tcBorders>
            <w:vAlign w:val="center"/>
          </w:tcPr>
          <w:p w14:paraId="7F41418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r>
              <w:rPr>
                <w:rFonts w:eastAsia="宋体" w:cs="Times New Roman"/>
                <w:sz w:val="21"/>
                <w:szCs w:val="21"/>
                <w:vertAlign w:val="superscript"/>
              </w:rPr>
              <w:t>1</w:t>
            </w:r>
          </w:p>
        </w:tc>
        <w:tc>
          <w:tcPr>
            <w:tcW w:w="1241" w:type="dxa"/>
            <w:tcBorders>
              <w:top w:val="nil"/>
              <w:bottom w:val="single" w:sz="4" w:space="0" w:color="auto"/>
            </w:tcBorders>
            <w:vAlign w:val="center"/>
          </w:tcPr>
          <w:p w14:paraId="057C162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4.4%</w:t>
            </w:r>
          </w:p>
        </w:tc>
        <w:tc>
          <w:tcPr>
            <w:tcW w:w="1241" w:type="dxa"/>
            <w:tcBorders>
              <w:top w:val="nil"/>
              <w:bottom w:val="single" w:sz="4" w:space="0" w:color="auto"/>
            </w:tcBorders>
            <w:vAlign w:val="center"/>
          </w:tcPr>
          <w:p w14:paraId="046A0FD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2.7%</w:t>
            </w:r>
          </w:p>
        </w:tc>
        <w:tc>
          <w:tcPr>
            <w:tcW w:w="1241" w:type="dxa"/>
            <w:tcBorders>
              <w:top w:val="nil"/>
              <w:bottom w:val="single" w:sz="4" w:space="0" w:color="auto"/>
              <w:right w:val="nil"/>
            </w:tcBorders>
            <w:vAlign w:val="center"/>
          </w:tcPr>
          <w:p w14:paraId="73ED62E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4.9%</w:t>
            </w:r>
          </w:p>
        </w:tc>
        <w:tc>
          <w:tcPr>
            <w:tcW w:w="1241" w:type="dxa"/>
            <w:tcBorders>
              <w:top w:val="nil"/>
              <w:bottom w:val="single" w:sz="4" w:space="0" w:color="auto"/>
              <w:right w:val="nil"/>
            </w:tcBorders>
            <w:vAlign w:val="center"/>
          </w:tcPr>
          <w:p w14:paraId="74F7DE3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4.7%</w:t>
            </w:r>
          </w:p>
        </w:tc>
        <w:tc>
          <w:tcPr>
            <w:tcW w:w="1241" w:type="dxa"/>
            <w:tcBorders>
              <w:top w:val="nil"/>
              <w:bottom w:val="single" w:sz="4" w:space="0" w:color="auto"/>
              <w:right w:val="single" w:sz="4" w:space="0" w:color="auto"/>
            </w:tcBorders>
            <w:vAlign w:val="center"/>
          </w:tcPr>
          <w:p w14:paraId="64146A3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2.9%</w:t>
            </w:r>
          </w:p>
        </w:tc>
      </w:tr>
      <w:tr w:rsidR="004651C7" w14:paraId="60D0CEC4" w14:textId="77777777">
        <w:trPr>
          <w:trHeight w:val="170"/>
          <w:jc w:val="center"/>
        </w:trPr>
        <w:tc>
          <w:tcPr>
            <w:tcW w:w="854" w:type="dxa"/>
            <w:vMerge w:val="restart"/>
            <w:tcBorders>
              <w:left w:val="single" w:sz="4" w:space="0" w:color="auto"/>
            </w:tcBorders>
            <w:vAlign w:val="center"/>
          </w:tcPr>
          <w:p w14:paraId="38FCE2A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英国</w:t>
            </w:r>
          </w:p>
        </w:tc>
        <w:tc>
          <w:tcPr>
            <w:tcW w:w="1280" w:type="dxa"/>
            <w:tcBorders>
              <w:bottom w:val="nil"/>
            </w:tcBorders>
            <w:vAlign w:val="center"/>
          </w:tcPr>
          <w:p w14:paraId="588FC87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bottom w:val="nil"/>
            </w:tcBorders>
            <w:shd w:val="clear" w:color="auto" w:fill="FFF2CC"/>
            <w:vAlign w:val="center"/>
          </w:tcPr>
          <w:p w14:paraId="1F09F54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.96</w:t>
            </w:r>
          </w:p>
        </w:tc>
        <w:tc>
          <w:tcPr>
            <w:tcW w:w="1241" w:type="dxa"/>
            <w:tcBorders>
              <w:bottom w:val="nil"/>
            </w:tcBorders>
            <w:vAlign w:val="center"/>
          </w:tcPr>
          <w:p w14:paraId="5C13E7F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.64</w:t>
            </w:r>
          </w:p>
        </w:tc>
        <w:tc>
          <w:tcPr>
            <w:tcW w:w="1241" w:type="dxa"/>
            <w:tcBorders>
              <w:bottom w:val="nil"/>
              <w:right w:val="nil"/>
            </w:tcBorders>
            <w:vAlign w:val="center"/>
          </w:tcPr>
          <w:p w14:paraId="02B768B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.28</w:t>
            </w:r>
          </w:p>
        </w:tc>
        <w:tc>
          <w:tcPr>
            <w:tcW w:w="1241" w:type="dxa"/>
            <w:tcBorders>
              <w:bottom w:val="nil"/>
              <w:right w:val="nil"/>
            </w:tcBorders>
            <w:vAlign w:val="center"/>
          </w:tcPr>
          <w:p w14:paraId="5138265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.21</w:t>
            </w:r>
          </w:p>
        </w:tc>
        <w:tc>
          <w:tcPr>
            <w:tcW w:w="1241" w:type="dxa"/>
            <w:tcBorders>
              <w:bottom w:val="nil"/>
              <w:right w:val="single" w:sz="4" w:space="0" w:color="auto"/>
            </w:tcBorders>
            <w:vAlign w:val="center"/>
          </w:tcPr>
          <w:p w14:paraId="7223C1D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.52</w:t>
            </w:r>
          </w:p>
        </w:tc>
      </w:tr>
      <w:tr w:rsidR="004651C7" w14:paraId="16C2E922" w14:textId="77777777">
        <w:trPr>
          <w:trHeight w:val="170"/>
          <w:jc w:val="center"/>
        </w:trPr>
        <w:tc>
          <w:tcPr>
            <w:tcW w:w="854" w:type="dxa"/>
            <w:vMerge/>
            <w:tcBorders>
              <w:left w:val="single" w:sz="4" w:space="0" w:color="auto"/>
            </w:tcBorders>
            <w:vAlign w:val="center"/>
          </w:tcPr>
          <w:p w14:paraId="459917BC"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nil"/>
            </w:tcBorders>
            <w:vAlign w:val="center"/>
          </w:tcPr>
          <w:p w14:paraId="1D305BA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nil"/>
              <w:bottom w:val="nil"/>
            </w:tcBorders>
            <w:vAlign w:val="center"/>
          </w:tcPr>
          <w:p w14:paraId="633976D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.64</w:t>
            </w:r>
          </w:p>
        </w:tc>
        <w:tc>
          <w:tcPr>
            <w:tcW w:w="1241" w:type="dxa"/>
            <w:tcBorders>
              <w:top w:val="nil"/>
              <w:bottom w:val="nil"/>
            </w:tcBorders>
            <w:vAlign w:val="center"/>
          </w:tcPr>
          <w:p w14:paraId="2E90765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.32</w:t>
            </w:r>
          </w:p>
        </w:tc>
        <w:tc>
          <w:tcPr>
            <w:tcW w:w="1241" w:type="dxa"/>
            <w:tcBorders>
              <w:top w:val="nil"/>
              <w:bottom w:val="nil"/>
              <w:right w:val="nil"/>
            </w:tcBorders>
            <w:vAlign w:val="center"/>
          </w:tcPr>
          <w:p w14:paraId="77189A7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.74</w:t>
            </w:r>
          </w:p>
        </w:tc>
        <w:tc>
          <w:tcPr>
            <w:tcW w:w="1241" w:type="dxa"/>
            <w:tcBorders>
              <w:top w:val="nil"/>
              <w:bottom w:val="nil"/>
              <w:right w:val="nil"/>
            </w:tcBorders>
            <w:vAlign w:val="center"/>
          </w:tcPr>
          <w:p w14:paraId="05EB475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.83</w:t>
            </w:r>
          </w:p>
        </w:tc>
        <w:tc>
          <w:tcPr>
            <w:tcW w:w="1241" w:type="dxa"/>
            <w:tcBorders>
              <w:top w:val="nil"/>
              <w:bottom w:val="nil"/>
              <w:right w:val="single" w:sz="4" w:space="0" w:color="auto"/>
            </w:tcBorders>
            <w:vAlign w:val="center"/>
          </w:tcPr>
          <w:p w14:paraId="2E1C826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.13</w:t>
            </w:r>
          </w:p>
        </w:tc>
      </w:tr>
      <w:tr w:rsidR="004651C7" w14:paraId="133F8ACD" w14:textId="77777777">
        <w:trPr>
          <w:trHeight w:val="170"/>
          <w:jc w:val="center"/>
        </w:trPr>
        <w:tc>
          <w:tcPr>
            <w:tcW w:w="854" w:type="dxa"/>
            <w:vMerge/>
            <w:tcBorders>
              <w:left w:val="single" w:sz="4" w:space="0" w:color="auto"/>
              <w:bottom w:val="single" w:sz="4" w:space="0" w:color="auto"/>
            </w:tcBorders>
            <w:vAlign w:val="center"/>
          </w:tcPr>
          <w:p w14:paraId="4E7676AC"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single" w:sz="4" w:space="0" w:color="auto"/>
            </w:tcBorders>
            <w:vAlign w:val="center"/>
          </w:tcPr>
          <w:p w14:paraId="31B37C9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nil"/>
              <w:bottom w:val="single" w:sz="4" w:space="0" w:color="auto"/>
            </w:tcBorders>
            <w:vAlign w:val="center"/>
          </w:tcPr>
          <w:p w14:paraId="4DBFEAC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6.3%</w:t>
            </w:r>
          </w:p>
        </w:tc>
        <w:tc>
          <w:tcPr>
            <w:tcW w:w="1241" w:type="dxa"/>
            <w:tcBorders>
              <w:top w:val="nil"/>
              <w:bottom w:val="single" w:sz="4" w:space="0" w:color="auto"/>
            </w:tcBorders>
            <w:vAlign w:val="center"/>
          </w:tcPr>
          <w:p w14:paraId="569F7F8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7.3%</w:t>
            </w:r>
          </w:p>
        </w:tc>
        <w:tc>
          <w:tcPr>
            <w:tcW w:w="1241" w:type="dxa"/>
            <w:tcBorders>
              <w:top w:val="nil"/>
              <w:bottom w:val="single" w:sz="4" w:space="0" w:color="auto"/>
              <w:right w:val="nil"/>
            </w:tcBorders>
            <w:vAlign w:val="center"/>
          </w:tcPr>
          <w:p w14:paraId="3FED568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5.9%</w:t>
            </w:r>
          </w:p>
        </w:tc>
        <w:tc>
          <w:tcPr>
            <w:tcW w:w="1241" w:type="dxa"/>
            <w:tcBorders>
              <w:top w:val="nil"/>
              <w:bottom w:val="single" w:sz="4" w:space="0" w:color="auto"/>
              <w:right w:val="nil"/>
            </w:tcBorders>
            <w:vAlign w:val="center"/>
          </w:tcPr>
          <w:p w14:paraId="0F1E7BF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1.4%</w:t>
            </w:r>
          </w:p>
        </w:tc>
        <w:tc>
          <w:tcPr>
            <w:tcW w:w="1241" w:type="dxa"/>
            <w:tcBorders>
              <w:top w:val="nil"/>
              <w:bottom w:val="single" w:sz="4" w:space="0" w:color="auto"/>
              <w:right w:val="single" w:sz="4" w:space="0" w:color="auto"/>
            </w:tcBorders>
            <w:vAlign w:val="center"/>
          </w:tcPr>
          <w:p w14:paraId="1F86D90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4.4%</w:t>
            </w:r>
          </w:p>
        </w:tc>
      </w:tr>
      <w:tr w:rsidR="004651C7" w14:paraId="44AF672E" w14:textId="77777777">
        <w:trPr>
          <w:trHeight w:val="170"/>
          <w:jc w:val="center"/>
        </w:trPr>
        <w:tc>
          <w:tcPr>
            <w:tcW w:w="854" w:type="dxa"/>
            <w:vMerge w:val="restart"/>
            <w:tcBorders>
              <w:left w:val="single" w:sz="4" w:space="0" w:color="auto"/>
            </w:tcBorders>
            <w:vAlign w:val="center"/>
          </w:tcPr>
          <w:p w14:paraId="07BC9DF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德国</w:t>
            </w:r>
          </w:p>
        </w:tc>
        <w:tc>
          <w:tcPr>
            <w:tcW w:w="1280" w:type="dxa"/>
            <w:tcBorders>
              <w:bottom w:val="nil"/>
            </w:tcBorders>
            <w:vAlign w:val="center"/>
          </w:tcPr>
          <w:p w14:paraId="6A05994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bottom w:val="nil"/>
            </w:tcBorders>
            <w:vAlign w:val="center"/>
          </w:tcPr>
          <w:p w14:paraId="73D5EC4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.92</w:t>
            </w:r>
          </w:p>
        </w:tc>
        <w:tc>
          <w:tcPr>
            <w:tcW w:w="1241" w:type="dxa"/>
            <w:tcBorders>
              <w:bottom w:val="nil"/>
            </w:tcBorders>
            <w:shd w:val="clear" w:color="auto" w:fill="FFF2CC"/>
            <w:vAlign w:val="center"/>
          </w:tcPr>
          <w:p w14:paraId="70D5E4B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.66</w:t>
            </w:r>
          </w:p>
        </w:tc>
        <w:tc>
          <w:tcPr>
            <w:tcW w:w="1241" w:type="dxa"/>
            <w:tcBorders>
              <w:bottom w:val="nil"/>
              <w:right w:val="nil"/>
            </w:tcBorders>
            <w:vAlign w:val="center"/>
          </w:tcPr>
          <w:p w14:paraId="58B5003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.13</w:t>
            </w:r>
          </w:p>
        </w:tc>
        <w:tc>
          <w:tcPr>
            <w:tcW w:w="1241" w:type="dxa"/>
            <w:tcBorders>
              <w:bottom w:val="nil"/>
              <w:right w:val="nil"/>
            </w:tcBorders>
            <w:vAlign w:val="center"/>
          </w:tcPr>
          <w:p w14:paraId="32D580C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.83</w:t>
            </w:r>
          </w:p>
        </w:tc>
        <w:tc>
          <w:tcPr>
            <w:tcW w:w="1241" w:type="dxa"/>
            <w:tcBorders>
              <w:bottom w:val="nil"/>
              <w:right w:val="single" w:sz="4" w:space="0" w:color="auto"/>
            </w:tcBorders>
            <w:vAlign w:val="center"/>
          </w:tcPr>
          <w:p w14:paraId="43B9A9A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.88</w:t>
            </w:r>
          </w:p>
        </w:tc>
      </w:tr>
      <w:tr w:rsidR="004651C7" w14:paraId="7D627996" w14:textId="77777777">
        <w:trPr>
          <w:trHeight w:val="170"/>
          <w:jc w:val="center"/>
        </w:trPr>
        <w:tc>
          <w:tcPr>
            <w:tcW w:w="854" w:type="dxa"/>
            <w:vMerge/>
            <w:tcBorders>
              <w:left w:val="single" w:sz="4" w:space="0" w:color="auto"/>
            </w:tcBorders>
            <w:vAlign w:val="center"/>
          </w:tcPr>
          <w:p w14:paraId="181629ED"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nil"/>
            </w:tcBorders>
            <w:vAlign w:val="center"/>
          </w:tcPr>
          <w:p w14:paraId="2553374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nil"/>
              <w:bottom w:val="nil"/>
            </w:tcBorders>
            <w:vAlign w:val="center"/>
          </w:tcPr>
          <w:p w14:paraId="047B570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.95</w:t>
            </w:r>
          </w:p>
        </w:tc>
        <w:tc>
          <w:tcPr>
            <w:tcW w:w="1241" w:type="dxa"/>
            <w:tcBorders>
              <w:top w:val="nil"/>
              <w:bottom w:val="nil"/>
            </w:tcBorders>
            <w:vAlign w:val="center"/>
          </w:tcPr>
          <w:p w14:paraId="0AC6C45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.16</w:t>
            </w:r>
          </w:p>
        </w:tc>
        <w:tc>
          <w:tcPr>
            <w:tcW w:w="1241" w:type="dxa"/>
            <w:tcBorders>
              <w:top w:val="nil"/>
              <w:bottom w:val="nil"/>
              <w:right w:val="nil"/>
            </w:tcBorders>
            <w:vAlign w:val="center"/>
          </w:tcPr>
          <w:p w14:paraId="06682AA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.73</w:t>
            </w:r>
          </w:p>
        </w:tc>
        <w:tc>
          <w:tcPr>
            <w:tcW w:w="1241" w:type="dxa"/>
            <w:tcBorders>
              <w:top w:val="nil"/>
              <w:bottom w:val="nil"/>
              <w:right w:val="nil"/>
            </w:tcBorders>
            <w:vAlign w:val="center"/>
          </w:tcPr>
          <w:p w14:paraId="6539471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.92</w:t>
            </w:r>
          </w:p>
        </w:tc>
        <w:tc>
          <w:tcPr>
            <w:tcW w:w="1241" w:type="dxa"/>
            <w:tcBorders>
              <w:top w:val="nil"/>
              <w:bottom w:val="nil"/>
              <w:right w:val="single" w:sz="4" w:space="0" w:color="auto"/>
            </w:tcBorders>
            <w:vAlign w:val="center"/>
          </w:tcPr>
          <w:p w14:paraId="616867C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.69</w:t>
            </w:r>
          </w:p>
        </w:tc>
      </w:tr>
      <w:tr w:rsidR="004651C7" w14:paraId="005C3F68" w14:textId="77777777">
        <w:trPr>
          <w:trHeight w:val="170"/>
          <w:jc w:val="center"/>
        </w:trPr>
        <w:tc>
          <w:tcPr>
            <w:tcW w:w="854" w:type="dxa"/>
            <w:vMerge/>
            <w:tcBorders>
              <w:left w:val="single" w:sz="4" w:space="0" w:color="auto"/>
              <w:bottom w:val="single" w:sz="4" w:space="0" w:color="auto"/>
            </w:tcBorders>
            <w:vAlign w:val="center"/>
          </w:tcPr>
          <w:p w14:paraId="45DF5B17"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single" w:sz="4" w:space="0" w:color="auto"/>
            </w:tcBorders>
            <w:vAlign w:val="center"/>
          </w:tcPr>
          <w:p w14:paraId="24B654E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nil"/>
              <w:bottom w:val="single" w:sz="4" w:space="0" w:color="auto"/>
            </w:tcBorders>
            <w:vAlign w:val="center"/>
          </w:tcPr>
          <w:p w14:paraId="01E3E9B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4</w:t>
            </w:r>
            <w:r>
              <w:rPr>
                <w:rFonts w:eastAsia="宋体" w:cs="Times New Roman"/>
                <w:sz w:val="21"/>
                <w:szCs w:val="21"/>
              </w:rPr>
              <w:t>7.2%</w:t>
            </w:r>
          </w:p>
        </w:tc>
        <w:tc>
          <w:tcPr>
            <w:tcW w:w="1241" w:type="dxa"/>
            <w:tcBorders>
              <w:top w:val="nil"/>
              <w:bottom w:val="single" w:sz="4" w:space="0" w:color="auto"/>
            </w:tcBorders>
            <w:vAlign w:val="center"/>
          </w:tcPr>
          <w:p w14:paraId="1F89525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7</w:t>
            </w:r>
            <w:r>
              <w:rPr>
                <w:rFonts w:eastAsia="宋体" w:cs="Times New Roman"/>
                <w:sz w:val="21"/>
                <w:szCs w:val="21"/>
              </w:rPr>
              <w:t>6.9%</w:t>
            </w:r>
          </w:p>
        </w:tc>
        <w:tc>
          <w:tcPr>
            <w:tcW w:w="1241" w:type="dxa"/>
            <w:tcBorders>
              <w:top w:val="nil"/>
              <w:bottom w:val="single" w:sz="4" w:space="0" w:color="auto"/>
              <w:right w:val="nil"/>
            </w:tcBorders>
            <w:vAlign w:val="center"/>
          </w:tcPr>
          <w:p w14:paraId="7227C28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7.9%</w:t>
            </w:r>
          </w:p>
        </w:tc>
        <w:tc>
          <w:tcPr>
            <w:tcW w:w="1241" w:type="dxa"/>
            <w:tcBorders>
              <w:top w:val="nil"/>
              <w:bottom w:val="single" w:sz="4" w:space="0" w:color="auto"/>
              <w:right w:val="nil"/>
            </w:tcBorders>
            <w:vAlign w:val="center"/>
          </w:tcPr>
          <w:p w14:paraId="7A5F4C8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4</w:t>
            </w:r>
            <w:r>
              <w:rPr>
                <w:rFonts w:eastAsia="宋体" w:cs="Times New Roman"/>
                <w:sz w:val="21"/>
                <w:szCs w:val="21"/>
              </w:rPr>
              <w:t>2.9%</w:t>
            </w:r>
          </w:p>
        </w:tc>
        <w:tc>
          <w:tcPr>
            <w:tcW w:w="1241" w:type="dxa"/>
            <w:tcBorders>
              <w:top w:val="nil"/>
              <w:bottom w:val="single" w:sz="4" w:space="0" w:color="auto"/>
              <w:right w:val="single" w:sz="4" w:space="0" w:color="auto"/>
            </w:tcBorders>
            <w:vAlign w:val="center"/>
          </w:tcPr>
          <w:p w14:paraId="35079E9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5</w:t>
            </w:r>
            <w:r>
              <w:rPr>
                <w:rFonts w:eastAsia="宋体" w:cs="Times New Roman"/>
                <w:sz w:val="21"/>
                <w:szCs w:val="21"/>
              </w:rPr>
              <w:t>2.2%</w:t>
            </w:r>
          </w:p>
        </w:tc>
      </w:tr>
      <w:tr w:rsidR="004651C7" w14:paraId="391255C5" w14:textId="77777777">
        <w:trPr>
          <w:trHeight w:val="160"/>
          <w:jc w:val="center"/>
        </w:trPr>
        <w:tc>
          <w:tcPr>
            <w:tcW w:w="854" w:type="dxa"/>
            <w:vMerge w:val="restart"/>
            <w:tcBorders>
              <w:left w:val="single" w:sz="4" w:space="0" w:color="auto"/>
            </w:tcBorders>
            <w:vAlign w:val="center"/>
          </w:tcPr>
          <w:p w14:paraId="6DF93AD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lastRenderedPageBreak/>
              <w:t>法国</w:t>
            </w:r>
          </w:p>
        </w:tc>
        <w:tc>
          <w:tcPr>
            <w:tcW w:w="1280" w:type="dxa"/>
            <w:tcBorders>
              <w:bottom w:val="nil"/>
            </w:tcBorders>
            <w:vAlign w:val="center"/>
          </w:tcPr>
          <w:p w14:paraId="0D54386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bottom w:val="nil"/>
            </w:tcBorders>
            <w:shd w:val="clear" w:color="auto" w:fill="FFF2CC"/>
            <w:vAlign w:val="center"/>
          </w:tcPr>
          <w:p w14:paraId="7305BDD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.19</w:t>
            </w:r>
          </w:p>
        </w:tc>
        <w:tc>
          <w:tcPr>
            <w:tcW w:w="1241" w:type="dxa"/>
            <w:tcBorders>
              <w:bottom w:val="nil"/>
            </w:tcBorders>
            <w:vAlign w:val="center"/>
          </w:tcPr>
          <w:p w14:paraId="3E50877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.75</w:t>
            </w:r>
          </w:p>
        </w:tc>
        <w:tc>
          <w:tcPr>
            <w:tcW w:w="1241" w:type="dxa"/>
            <w:tcBorders>
              <w:bottom w:val="nil"/>
              <w:right w:val="nil"/>
            </w:tcBorders>
            <w:vAlign w:val="center"/>
          </w:tcPr>
          <w:p w14:paraId="3269E06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.05</w:t>
            </w:r>
          </w:p>
        </w:tc>
        <w:tc>
          <w:tcPr>
            <w:tcW w:w="1241" w:type="dxa"/>
            <w:tcBorders>
              <w:bottom w:val="nil"/>
              <w:right w:val="nil"/>
            </w:tcBorders>
            <w:vAlign w:val="center"/>
          </w:tcPr>
          <w:p w14:paraId="22D3D40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.15</w:t>
            </w:r>
          </w:p>
        </w:tc>
        <w:tc>
          <w:tcPr>
            <w:tcW w:w="1241" w:type="dxa"/>
            <w:tcBorders>
              <w:bottom w:val="nil"/>
              <w:right w:val="single" w:sz="4" w:space="0" w:color="auto"/>
            </w:tcBorders>
            <w:vAlign w:val="center"/>
          </w:tcPr>
          <w:p w14:paraId="3378B70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.53</w:t>
            </w:r>
          </w:p>
        </w:tc>
      </w:tr>
      <w:tr w:rsidR="004651C7" w14:paraId="4D9D5022" w14:textId="77777777">
        <w:trPr>
          <w:trHeight w:val="160"/>
          <w:jc w:val="center"/>
        </w:trPr>
        <w:tc>
          <w:tcPr>
            <w:tcW w:w="854" w:type="dxa"/>
            <w:vMerge/>
            <w:tcBorders>
              <w:left w:val="single" w:sz="4" w:space="0" w:color="auto"/>
            </w:tcBorders>
            <w:vAlign w:val="center"/>
          </w:tcPr>
          <w:p w14:paraId="0F713252"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nil"/>
            </w:tcBorders>
            <w:vAlign w:val="center"/>
          </w:tcPr>
          <w:p w14:paraId="04A43FC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nil"/>
              <w:bottom w:val="nil"/>
            </w:tcBorders>
            <w:vAlign w:val="center"/>
          </w:tcPr>
          <w:p w14:paraId="2C2F231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.34</w:t>
            </w:r>
          </w:p>
        </w:tc>
        <w:tc>
          <w:tcPr>
            <w:tcW w:w="1241" w:type="dxa"/>
            <w:tcBorders>
              <w:top w:val="nil"/>
              <w:bottom w:val="nil"/>
            </w:tcBorders>
            <w:vAlign w:val="center"/>
          </w:tcPr>
          <w:p w14:paraId="2761D78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.01</w:t>
            </w:r>
          </w:p>
        </w:tc>
        <w:tc>
          <w:tcPr>
            <w:tcW w:w="1241" w:type="dxa"/>
            <w:tcBorders>
              <w:top w:val="nil"/>
              <w:bottom w:val="nil"/>
              <w:right w:val="nil"/>
            </w:tcBorders>
            <w:vAlign w:val="center"/>
          </w:tcPr>
          <w:p w14:paraId="6F95923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.45</w:t>
            </w:r>
          </w:p>
        </w:tc>
        <w:tc>
          <w:tcPr>
            <w:tcW w:w="1241" w:type="dxa"/>
            <w:tcBorders>
              <w:top w:val="nil"/>
              <w:bottom w:val="nil"/>
              <w:right w:val="nil"/>
            </w:tcBorders>
            <w:vAlign w:val="center"/>
          </w:tcPr>
          <w:p w14:paraId="5817D2E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.38</w:t>
            </w:r>
          </w:p>
        </w:tc>
        <w:tc>
          <w:tcPr>
            <w:tcW w:w="1241" w:type="dxa"/>
            <w:tcBorders>
              <w:top w:val="nil"/>
              <w:bottom w:val="nil"/>
              <w:right w:val="single" w:sz="4" w:space="0" w:color="auto"/>
            </w:tcBorders>
            <w:vAlign w:val="center"/>
          </w:tcPr>
          <w:p w14:paraId="2501B58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.79</w:t>
            </w:r>
          </w:p>
        </w:tc>
      </w:tr>
      <w:tr w:rsidR="004651C7" w14:paraId="4498AA6F" w14:textId="77777777">
        <w:trPr>
          <w:trHeight w:val="160"/>
          <w:jc w:val="center"/>
        </w:trPr>
        <w:tc>
          <w:tcPr>
            <w:tcW w:w="854" w:type="dxa"/>
            <w:vMerge/>
            <w:tcBorders>
              <w:left w:val="single" w:sz="4" w:space="0" w:color="auto"/>
              <w:bottom w:val="single" w:sz="4" w:space="0" w:color="auto"/>
            </w:tcBorders>
            <w:vAlign w:val="center"/>
          </w:tcPr>
          <w:p w14:paraId="2718179F"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single" w:sz="4" w:space="0" w:color="auto"/>
            </w:tcBorders>
            <w:vAlign w:val="center"/>
          </w:tcPr>
          <w:p w14:paraId="624EFE7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nil"/>
              <w:bottom w:val="single" w:sz="4" w:space="0" w:color="auto"/>
            </w:tcBorders>
            <w:vAlign w:val="center"/>
          </w:tcPr>
          <w:p w14:paraId="0B85BF1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5</w:t>
            </w:r>
            <w:r>
              <w:rPr>
                <w:rFonts w:eastAsia="宋体" w:cs="Times New Roman"/>
                <w:sz w:val="21"/>
                <w:szCs w:val="21"/>
              </w:rPr>
              <w:t>0.8%</w:t>
            </w:r>
          </w:p>
        </w:tc>
        <w:tc>
          <w:tcPr>
            <w:tcW w:w="1241" w:type="dxa"/>
            <w:tcBorders>
              <w:top w:val="nil"/>
              <w:bottom w:val="single" w:sz="4" w:space="0" w:color="auto"/>
            </w:tcBorders>
            <w:vAlign w:val="center"/>
          </w:tcPr>
          <w:p w14:paraId="2500288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7.4%</w:t>
            </w:r>
          </w:p>
        </w:tc>
        <w:tc>
          <w:tcPr>
            <w:tcW w:w="1241" w:type="dxa"/>
            <w:tcBorders>
              <w:top w:val="nil"/>
              <w:bottom w:val="single" w:sz="4" w:space="0" w:color="auto"/>
              <w:right w:val="nil"/>
            </w:tcBorders>
            <w:vAlign w:val="center"/>
          </w:tcPr>
          <w:p w14:paraId="12206B3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.2%</w:t>
            </w:r>
          </w:p>
        </w:tc>
        <w:tc>
          <w:tcPr>
            <w:tcW w:w="1241" w:type="dxa"/>
            <w:tcBorders>
              <w:top w:val="nil"/>
              <w:bottom w:val="single" w:sz="4" w:space="0" w:color="auto"/>
              <w:right w:val="nil"/>
            </w:tcBorders>
            <w:vAlign w:val="center"/>
          </w:tcPr>
          <w:p w14:paraId="00BEB79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1.2%</w:t>
            </w:r>
          </w:p>
        </w:tc>
        <w:tc>
          <w:tcPr>
            <w:tcW w:w="1241" w:type="dxa"/>
            <w:tcBorders>
              <w:top w:val="nil"/>
              <w:bottom w:val="single" w:sz="4" w:space="0" w:color="auto"/>
              <w:right w:val="single" w:sz="4" w:space="0" w:color="auto"/>
            </w:tcBorders>
            <w:vAlign w:val="center"/>
          </w:tcPr>
          <w:p w14:paraId="2F96BB3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9.8%</w:t>
            </w:r>
          </w:p>
        </w:tc>
      </w:tr>
      <w:tr w:rsidR="004651C7" w14:paraId="2BA5A1F4" w14:textId="77777777">
        <w:trPr>
          <w:trHeight w:val="170"/>
          <w:jc w:val="center"/>
        </w:trPr>
        <w:tc>
          <w:tcPr>
            <w:tcW w:w="854" w:type="dxa"/>
            <w:vMerge w:val="restart"/>
            <w:tcBorders>
              <w:left w:val="single" w:sz="4" w:space="0" w:color="auto"/>
            </w:tcBorders>
            <w:vAlign w:val="center"/>
          </w:tcPr>
          <w:p w14:paraId="2FCF42E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意大利</w:t>
            </w:r>
          </w:p>
        </w:tc>
        <w:tc>
          <w:tcPr>
            <w:tcW w:w="1280" w:type="dxa"/>
            <w:tcBorders>
              <w:top w:val="single" w:sz="4" w:space="0" w:color="auto"/>
              <w:bottom w:val="dotted" w:sz="4" w:space="0" w:color="auto"/>
            </w:tcBorders>
            <w:vAlign w:val="center"/>
          </w:tcPr>
          <w:p w14:paraId="3D472AC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top w:val="single" w:sz="4" w:space="0" w:color="auto"/>
              <w:bottom w:val="dotted" w:sz="4" w:space="0" w:color="auto"/>
            </w:tcBorders>
            <w:vAlign w:val="center"/>
          </w:tcPr>
          <w:p w14:paraId="6E4011D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0.06</w:t>
            </w:r>
          </w:p>
        </w:tc>
        <w:tc>
          <w:tcPr>
            <w:tcW w:w="1241" w:type="dxa"/>
            <w:tcBorders>
              <w:top w:val="single" w:sz="4" w:space="0" w:color="auto"/>
              <w:bottom w:val="dotted" w:sz="4" w:space="0" w:color="auto"/>
            </w:tcBorders>
            <w:vAlign w:val="center"/>
          </w:tcPr>
          <w:p w14:paraId="2AF95C3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0.02</w:t>
            </w:r>
          </w:p>
        </w:tc>
        <w:tc>
          <w:tcPr>
            <w:tcW w:w="1241" w:type="dxa"/>
            <w:tcBorders>
              <w:top w:val="single" w:sz="4" w:space="0" w:color="auto"/>
              <w:bottom w:val="dotted" w:sz="4" w:space="0" w:color="auto"/>
              <w:right w:val="nil"/>
            </w:tcBorders>
            <w:vAlign w:val="center"/>
          </w:tcPr>
          <w:p w14:paraId="3B54892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1.11</w:t>
            </w:r>
          </w:p>
        </w:tc>
        <w:tc>
          <w:tcPr>
            <w:tcW w:w="1241" w:type="dxa"/>
            <w:tcBorders>
              <w:top w:val="single" w:sz="4" w:space="0" w:color="auto"/>
              <w:bottom w:val="dotted" w:sz="4" w:space="0" w:color="auto"/>
              <w:right w:val="nil"/>
            </w:tcBorders>
            <w:vAlign w:val="center"/>
          </w:tcPr>
          <w:p w14:paraId="351F1DE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0.20</w:t>
            </w:r>
          </w:p>
        </w:tc>
        <w:tc>
          <w:tcPr>
            <w:tcW w:w="1241" w:type="dxa"/>
            <w:tcBorders>
              <w:top w:val="single" w:sz="4" w:space="0" w:color="auto"/>
              <w:bottom w:val="dotted" w:sz="4" w:space="0" w:color="auto"/>
              <w:right w:val="single" w:sz="4" w:space="0" w:color="auto"/>
            </w:tcBorders>
            <w:vAlign w:val="center"/>
          </w:tcPr>
          <w:p w14:paraId="05C9D96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0.35</w:t>
            </w:r>
          </w:p>
        </w:tc>
      </w:tr>
      <w:tr w:rsidR="004651C7" w14:paraId="329920B4" w14:textId="77777777">
        <w:trPr>
          <w:trHeight w:val="170"/>
          <w:jc w:val="center"/>
        </w:trPr>
        <w:tc>
          <w:tcPr>
            <w:tcW w:w="854" w:type="dxa"/>
            <w:vMerge/>
            <w:tcBorders>
              <w:left w:val="single" w:sz="4" w:space="0" w:color="auto"/>
            </w:tcBorders>
            <w:vAlign w:val="center"/>
          </w:tcPr>
          <w:p w14:paraId="0C42D234"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dotted" w:sz="4" w:space="0" w:color="auto"/>
              <w:bottom w:val="dotted" w:sz="4" w:space="0" w:color="auto"/>
            </w:tcBorders>
            <w:vAlign w:val="center"/>
          </w:tcPr>
          <w:p w14:paraId="7A86D01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dotted" w:sz="4" w:space="0" w:color="auto"/>
              <w:bottom w:val="dotted" w:sz="4" w:space="0" w:color="auto"/>
            </w:tcBorders>
            <w:vAlign w:val="center"/>
          </w:tcPr>
          <w:p w14:paraId="20E9A28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.54</w:t>
            </w:r>
          </w:p>
        </w:tc>
        <w:tc>
          <w:tcPr>
            <w:tcW w:w="1241" w:type="dxa"/>
            <w:tcBorders>
              <w:top w:val="dotted" w:sz="4" w:space="0" w:color="auto"/>
              <w:bottom w:val="dotted" w:sz="4" w:space="0" w:color="auto"/>
            </w:tcBorders>
            <w:vAlign w:val="center"/>
          </w:tcPr>
          <w:p w14:paraId="3E0BDF7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.50</w:t>
            </w:r>
          </w:p>
        </w:tc>
        <w:tc>
          <w:tcPr>
            <w:tcW w:w="1241" w:type="dxa"/>
            <w:tcBorders>
              <w:top w:val="dotted" w:sz="4" w:space="0" w:color="auto"/>
              <w:bottom w:val="dotted" w:sz="4" w:space="0" w:color="auto"/>
              <w:right w:val="nil"/>
            </w:tcBorders>
            <w:vAlign w:val="center"/>
          </w:tcPr>
          <w:p w14:paraId="6889BA3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.51</w:t>
            </w:r>
          </w:p>
        </w:tc>
        <w:tc>
          <w:tcPr>
            <w:tcW w:w="1241" w:type="dxa"/>
            <w:tcBorders>
              <w:top w:val="dotted" w:sz="4" w:space="0" w:color="auto"/>
              <w:bottom w:val="dotted" w:sz="4" w:space="0" w:color="auto"/>
              <w:right w:val="nil"/>
            </w:tcBorders>
            <w:vAlign w:val="center"/>
          </w:tcPr>
          <w:p w14:paraId="06B8C65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.25</w:t>
            </w:r>
          </w:p>
        </w:tc>
        <w:tc>
          <w:tcPr>
            <w:tcW w:w="1241" w:type="dxa"/>
            <w:tcBorders>
              <w:top w:val="dotted" w:sz="4" w:space="0" w:color="auto"/>
              <w:bottom w:val="dotted" w:sz="4" w:space="0" w:color="auto"/>
              <w:right w:val="single" w:sz="4" w:space="0" w:color="auto"/>
            </w:tcBorders>
            <w:vAlign w:val="center"/>
          </w:tcPr>
          <w:p w14:paraId="799DB79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.20</w:t>
            </w:r>
          </w:p>
        </w:tc>
      </w:tr>
      <w:tr w:rsidR="004651C7" w14:paraId="4D0636CD" w14:textId="77777777">
        <w:trPr>
          <w:trHeight w:val="170"/>
          <w:jc w:val="center"/>
        </w:trPr>
        <w:tc>
          <w:tcPr>
            <w:tcW w:w="854" w:type="dxa"/>
            <w:vMerge/>
            <w:tcBorders>
              <w:left w:val="single" w:sz="4" w:space="0" w:color="auto"/>
              <w:bottom w:val="single" w:sz="4" w:space="0" w:color="auto"/>
            </w:tcBorders>
            <w:vAlign w:val="center"/>
          </w:tcPr>
          <w:p w14:paraId="3788752E"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dotted" w:sz="4" w:space="0" w:color="auto"/>
              <w:bottom w:val="single" w:sz="4" w:space="0" w:color="auto"/>
            </w:tcBorders>
            <w:vAlign w:val="center"/>
          </w:tcPr>
          <w:p w14:paraId="09042CB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dotted" w:sz="4" w:space="0" w:color="auto"/>
              <w:bottom w:val="single" w:sz="4" w:space="0" w:color="auto"/>
            </w:tcBorders>
            <w:vAlign w:val="center"/>
          </w:tcPr>
          <w:p w14:paraId="0035565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dotted" w:sz="4" w:space="0" w:color="auto"/>
              <w:bottom w:val="single" w:sz="4" w:space="0" w:color="auto"/>
            </w:tcBorders>
            <w:vAlign w:val="center"/>
          </w:tcPr>
          <w:p w14:paraId="193EB90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dotted" w:sz="4" w:space="0" w:color="auto"/>
              <w:bottom w:val="single" w:sz="4" w:space="0" w:color="auto"/>
              <w:right w:val="nil"/>
            </w:tcBorders>
            <w:vAlign w:val="center"/>
          </w:tcPr>
          <w:p w14:paraId="164CFE7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dotted" w:sz="4" w:space="0" w:color="auto"/>
              <w:bottom w:val="single" w:sz="4" w:space="0" w:color="auto"/>
              <w:right w:val="nil"/>
            </w:tcBorders>
            <w:vAlign w:val="center"/>
          </w:tcPr>
          <w:p w14:paraId="22CAD09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dotted" w:sz="4" w:space="0" w:color="auto"/>
              <w:bottom w:val="single" w:sz="4" w:space="0" w:color="auto"/>
              <w:right w:val="single" w:sz="4" w:space="0" w:color="auto"/>
            </w:tcBorders>
            <w:vAlign w:val="center"/>
          </w:tcPr>
          <w:p w14:paraId="59AFEC3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r>
      <w:tr w:rsidR="004651C7" w14:paraId="05B03CB6" w14:textId="77777777">
        <w:trPr>
          <w:trHeight w:val="170"/>
          <w:jc w:val="center"/>
        </w:trPr>
        <w:tc>
          <w:tcPr>
            <w:tcW w:w="854" w:type="dxa"/>
            <w:vMerge w:val="restart"/>
            <w:tcBorders>
              <w:left w:val="single" w:sz="4" w:space="0" w:color="auto"/>
            </w:tcBorders>
            <w:vAlign w:val="center"/>
          </w:tcPr>
          <w:p w14:paraId="0271262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加拿大</w:t>
            </w:r>
          </w:p>
        </w:tc>
        <w:tc>
          <w:tcPr>
            <w:tcW w:w="1280" w:type="dxa"/>
            <w:tcBorders>
              <w:top w:val="single" w:sz="4" w:space="0" w:color="auto"/>
              <w:bottom w:val="dotted" w:sz="4" w:space="0" w:color="auto"/>
            </w:tcBorders>
            <w:vAlign w:val="center"/>
          </w:tcPr>
          <w:p w14:paraId="49D0505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top w:val="single" w:sz="4" w:space="0" w:color="auto"/>
              <w:bottom w:val="dotted" w:sz="4" w:space="0" w:color="auto"/>
            </w:tcBorders>
            <w:vAlign w:val="center"/>
          </w:tcPr>
          <w:p w14:paraId="57A64A8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0.17</w:t>
            </w:r>
          </w:p>
        </w:tc>
        <w:tc>
          <w:tcPr>
            <w:tcW w:w="1241" w:type="dxa"/>
            <w:tcBorders>
              <w:top w:val="single" w:sz="4" w:space="0" w:color="auto"/>
              <w:bottom w:val="dotted" w:sz="4" w:space="0" w:color="auto"/>
            </w:tcBorders>
            <w:vAlign w:val="center"/>
          </w:tcPr>
          <w:p w14:paraId="2187289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.25</w:t>
            </w:r>
          </w:p>
        </w:tc>
        <w:tc>
          <w:tcPr>
            <w:tcW w:w="1241" w:type="dxa"/>
            <w:tcBorders>
              <w:top w:val="single" w:sz="4" w:space="0" w:color="auto"/>
              <w:bottom w:val="dotted" w:sz="4" w:space="0" w:color="auto"/>
              <w:right w:val="nil"/>
            </w:tcBorders>
            <w:vAlign w:val="center"/>
          </w:tcPr>
          <w:p w14:paraId="592CFE1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0.12</w:t>
            </w:r>
          </w:p>
        </w:tc>
        <w:tc>
          <w:tcPr>
            <w:tcW w:w="1241" w:type="dxa"/>
            <w:tcBorders>
              <w:top w:val="single" w:sz="4" w:space="0" w:color="auto"/>
              <w:bottom w:val="dotted" w:sz="4" w:space="0" w:color="auto"/>
              <w:right w:val="nil"/>
            </w:tcBorders>
            <w:shd w:val="clear" w:color="auto" w:fill="FFF2CC"/>
            <w:vAlign w:val="center"/>
          </w:tcPr>
          <w:p w14:paraId="2E1DE03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.48</w:t>
            </w:r>
          </w:p>
        </w:tc>
        <w:tc>
          <w:tcPr>
            <w:tcW w:w="1241" w:type="dxa"/>
            <w:tcBorders>
              <w:top w:val="single" w:sz="4" w:space="0" w:color="auto"/>
              <w:bottom w:val="dotted" w:sz="4" w:space="0" w:color="auto"/>
              <w:right w:val="single" w:sz="4" w:space="0" w:color="auto"/>
            </w:tcBorders>
            <w:vAlign w:val="center"/>
          </w:tcPr>
          <w:p w14:paraId="4B2FD94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.11</w:t>
            </w:r>
          </w:p>
        </w:tc>
      </w:tr>
      <w:tr w:rsidR="004651C7" w14:paraId="14FCACBA" w14:textId="77777777">
        <w:trPr>
          <w:trHeight w:val="170"/>
          <w:jc w:val="center"/>
        </w:trPr>
        <w:tc>
          <w:tcPr>
            <w:tcW w:w="854" w:type="dxa"/>
            <w:vMerge/>
            <w:tcBorders>
              <w:left w:val="single" w:sz="4" w:space="0" w:color="auto"/>
            </w:tcBorders>
            <w:vAlign w:val="center"/>
          </w:tcPr>
          <w:p w14:paraId="5515CE82"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dotted" w:sz="4" w:space="0" w:color="auto"/>
              <w:bottom w:val="dotted" w:sz="4" w:space="0" w:color="auto"/>
            </w:tcBorders>
            <w:vAlign w:val="center"/>
          </w:tcPr>
          <w:p w14:paraId="40A03A8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dotted" w:sz="4" w:space="0" w:color="auto"/>
              <w:bottom w:val="dotted" w:sz="4" w:space="0" w:color="auto"/>
            </w:tcBorders>
            <w:vAlign w:val="center"/>
          </w:tcPr>
          <w:p w14:paraId="5DF1223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.84</w:t>
            </w:r>
          </w:p>
        </w:tc>
        <w:tc>
          <w:tcPr>
            <w:tcW w:w="1241" w:type="dxa"/>
            <w:tcBorders>
              <w:top w:val="dotted" w:sz="4" w:space="0" w:color="auto"/>
              <w:bottom w:val="dotted" w:sz="4" w:space="0" w:color="auto"/>
            </w:tcBorders>
            <w:vAlign w:val="center"/>
          </w:tcPr>
          <w:p w14:paraId="06BA1FB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.36</w:t>
            </w:r>
          </w:p>
        </w:tc>
        <w:tc>
          <w:tcPr>
            <w:tcW w:w="1241" w:type="dxa"/>
            <w:tcBorders>
              <w:top w:val="dotted" w:sz="4" w:space="0" w:color="auto"/>
              <w:bottom w:val="dotted" w:sz="4" w:space="0" w:color="auto"/>
              <w:right w:val="nil"/>
            </w:tcBorders>
            <w:vAlign w:val="center"/>
          </w:tcPr>
          <w:p w14:paraId="2D5EE4B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.07</w:t>
            </w:r>
          </w:p>
        </w:tc>
        <w:tc>
          <w:tcPr>
            <w:tcW w:w="1241" w:type="dxa"/>
            <w:tcBorders>
              <w:top w:val="dotted" w:sz="4" w:space="0" w:color="auto"/>
              <w:bottom w:val="dotted" w:sz="4" w:space="0" w:color="auto"/>
              <w:right w:val="nil"/>
            </w:tcBorders>
            <w:vAlign w:val="center"/>
          </w:tcPr>
          <w:p w14:paraId="2C789C9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.22</w:t>
            </w:r>
          </w:p>
        </w:tc>
        <w:tc>
          <w:tcPr>
            <w:tcW w:w="1241" w:type="dxa"/>
            <w:tcBorders>
              <w:top w:val="dotted" w:sz="4" w:space="0" w:color="auto"/>
              <w:bottom w:val="dotted" w:sz="4" w:space="0" w:color="auto"/>
              <w:right w:val="single" w:sz="4" w:space="0" w:color="auto"/>
            </w:tcBorders>
            <w:vAlign w:val="center"/>
          </w:tcPr>
          <w:p w14:paraId="2A1C267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.37</w:t>
            </w:r>
          </w:p>
        </w:tc>
      </w:tr>
      <w:tr w:rsidR="004651C7" w14:paraId="5A69842A" w14:textId="77777777">
        <w:trPr>
          <w:trHeight w:val="170"/>
          <w:jc w:val="center"/>
        </w:trPr>
        <w:tc>
          <w:tcPr>
            <w:tcW w:w="854" w:type="dxa"/>
            <w:vMerge/>
            <w:tcBorders>
              <w:left w:val="single" w:sz="4" w:space="0" w:color="auto"/>
              <w:bottom w:val="single" w:sz="4" w:space="0" w:color="auto"/>
            </w:tcBorders>
            <w:vAlign w:val="center"/>
          </w:tcPr>
          <w:p w14:paraId="3C7B1AF6"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dotted" w:sz="4" w:space="0" w:color="auto"/>
              <w:bottom w:val="single" w:sz="4" w:space="0" w:color="auto"/>
            </w:tcBorders>
            <w:vAlign w:val="center"/>
          </w:tcPr>
          <w:p w14:paraId="59C61C7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dotted" w:sz="4" w:space="0" w:color="auto"/>
              <w:bottom w:val="single" w:sz="4" w:space="0" w:color="auto"/>
            </w:tcBorders>
            <w:vAlign w:val="center"/>
          </w:tcPr>
          <w:p w14:paraId="203EFDE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dotted" w:sz="4" w:space="0" w:color="auto"/>
              <w:bottom w:val="single" w:sz="4" w:space="0" w:color="auto"/>
            </w:tcBorders>
            <w:vAlign w:val="center"/>
          </w:tcPr>
          <w:p w14:paraId="2B9FB71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0.8%</w:t>
            </w:r>
          </w:p>
        </w:tc>
        <w:tc>
          <w:tcPr>
            <w:tcW w:w="1241" w:type="dxa"/>
            <w:tcBorders>
              <w:top w:val="dotted" w:sz="4" w:space="0" w:color="auto"/>
              <w:bottom w:val="single" w:sz="4" w:space="0" w:color="auto"/>
              <w:right w:val="nil"/>
            </w:tcBorders>
            <w:vAlign w:val="center"/>
          </w:tcPr>
          <w:p w14:paraId="293F2F2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dotted" w:sz="4" w:space="0" w:color="auto"/>
              <w:bottom w:val="single" w:sz="4" w:space="0" w:color="auto"/>
              <w:right w:val="nil"/>
            </w:tcBorders>
            <w:vAlign w:val="center"/>
          </w:tcPr>
          <w:p w14:paraId="7801413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1.8%</w:t>
            </w:r>
          </w:p>
        </w:tc>
        <w:tc>
          <w:tcPr>
            <w:tcW w:w="1241" w:type="dxa"/>
            <w:tcBorders>
              <w:top w:val="dotted" w:sz="4" w:space="0" w:color="auto"/>
              <w:bottom w:val="single" w:sz="4" w:space="0" w:color="auto"/>
              <w:right w:val="single" w:sz="4" w:space="0" w:color="auto"/>
            </w:tcBorders>
            <w:vAlign w:val="center"/>
          </w:tcPr>
          <w:p w14:paraId="633098F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4</w:t>
            </w:r>
            <w:r>
              <w:rPr>
                <w:rFonts w:eastAsia="宋体" w:cs="Times New Roman"/>
                <w:sz w:val="21"/>
                <w:szCs w:val="21"/>
              </w:rPr>
              <w:t>.7%</w:t>
            </w:r>
          </w:p>
        </w:tc>
      </w:tr>
      <w:tr w:rsidR="004651C7" w14:paraId="19B372D8" w14:textId="77777777">
        <w:trPr>
          <w:trHeight w:val="170"/>
          <w:jc w:val="center"/>
        </w:trPr>
        <w:tc>
          <w:tcPr>
            <w:tcW w:w="854" w:type="dxa"/>
            <w:vMerge w:val="restart"/>
            <w:tcBorders>
              <w:left w:val="single" w:sz="4" w:space="0" w:color="auto"/>
            </w:tcBorders>
            <w:vAlign w:val="center"/>
          </w:tcPr>
          <w:p w14:paraId="1D0014D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日本</w:t>
            </w:r>
          </w:p>
        </w:tc>
        <w:tc>
          <w:tcPr>
            <w:tcW w:w="1280" w:type="dxa"/>
            <w:tcBorders>
              <w:bottom w:val="nil"/>
            </w:tcBorders>
            <w:vAlign w:val="center"/>
          </w:tcPr>
          <w:p w14:paraId="272BCD2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bottom w:val="nil"/>
            </w:tcBorders>
            <w:shd w:val="clear" w:color="auto" w:fill="FFF2CC"/>
            <w:vAlign w:val="center"/>
          </w:tcPr>
          <w:p w14:paraId="566922B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.15</w:t>
            </w:r>
          </w:p>
        </w:tc>
        <w:tc>
          <w:tcPr>
            <w:tcW w:w="1241" w:type="dxa"/>
            <w:tcBorders>
              <w:bottom w:val="nil"/>
            </w:tcBorders>
            <w:vAlign w:val="center"/>
          </w:tcPr>
          <w:p w14:paraId="1A66658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.004</w:t>
            </w:r>
          </w:p>
        </w:tc>
        <w:tc>
          <w:tcPr>
            <w:tcW w:w="1241" w:type="dxa"/>
            <w:tcBorders>
              <w:bottom w:val="nil"/>
              <w:right w:val="nil"/>
            </w:tcBorders>
            <w:vAlign w:val="center"/>
          </w:tcPr>
          <w:p w14:paraId="6551E71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.06</w:t>
            </w:r>
          </w:p>
        </w:tc>
        <w:tc>
          <w:tcPr>
            <w:tcW w:w="1241" w:type="dxa"/>
            <w:tcBorders>
              <w:bottom w:val="nil"/>
              <w:right w:val="nil"/>
            </w:tcBorders>
            <w:vAlign w:val="center"/>
          </w:tcPr>
          <w:p w14:paraId="121AA77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.86</w:t>
            </w:r>
          </w:p>
        </w:tc>
        <w:tc>
          <w:tcPr>
            <w:tcW w:w="1241" w:type="dxa"/>
            <w:tcBorders>
              <w:bottom w:val="nil"/>
              <w:right w:val="single" w:sz="4" w:space="0" w:color="auto"/>
            </w:tcBorders>
            <w:vAlign w:val="center"/>
          </w:tcPr>
          <w:p w14:paraId="239802E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.51</w:t>
            </w:r>
          </w:p>
        </w:tc>
      </w:tr>
      <w:tr w:rsidR="004651C7" w14:paraId="4CBC3E4B" w14:textId="77777777">
        <w:trPr>
          <w:trHeight w:val="170"/>
          <w:jc w:val="center"/>
        </w:trPr>
        <w:tc>
          <w:tcPr>
            <w:tcW w:w="854" w:type="dxa"/>
            <w:vMerge/>
            <w:tcBorders>
              <w:left w:val="single" w:sz="4" w:space="0" w:color="auto"/>
            </w:tcBorders>
            <w:vAlign w:val="center"/>
          </w:tcPr>
          <w:p w14:paraId="14497AAC"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nil"/>
            </w:tcBorders>
            <w:vAlign w:val="center"/>
          </w:tcPr>
          <w:p w14:paraId="61F3E6C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nil"/>
              <w:bottom w:val="nil"/>
            </w:tcBorders>
            <w:vAlign w:val="center"/>
          </w:tcPr>
          <w:p w14:paraId="64E97FB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4</w:t>
            </w:r>
            <w:r>
              <w:rPr>
                <w:rFonts w:eastAsia="宋体" w:cs="Times New Roman"/>
                <w:sz w:val="21"/>
                <w:szCs w:val="21"/>
              </w:rPr>
              <w:t>.32</w:t>
            </w:r>
          </w:p>
        </w:tc>
        <w:tc>
          <w:tcPr>
            <w:tcW w:w="1241" w:type="dxa"/>
            <w:tcBorders>
              <w:top w:val="nil"/>
              <w:bottom w:val="nil"/>
            </w:tcBorders>
            <w:vAlign w:val="center"/>
          </w:tcPr>
          <w:p w14:paraId="6CD663E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.50</w:t>
            </w:r>
          </w:p>
        </w:tc>
        <w:tc>
          <w:tcPr>
            <w:tcW w:w="1241" w:type="dxa"/>
            <w:tcBorders>
              <w:top w:val="nil"/>
              <w:bottom w:val="nil"/>
              <w:right w:val="nil"/>
            </w:tcBorders>
            <w:vAlign w:val="center"/>
          </w:tcPr>
          <w:p w14:paraId="77C28FF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.50</w:t>
            </w:r>
          </w:p>
        </w:tc>
        <w:tc>
          <w:tcPr>
            <w:tcW w:w="1241" w:type="dxa"/>
            <w:tcBorders>
              <w:top w:val="nil"/>
              <w:bottom w:val="nil"/>
              <w:right w:val="nil"/>
            </w:tcBorders>
            <w:vAlign w:val="center"/>
          </w:tcPr>
          <w:p w14:paraId="7E1AFAC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.24</w:t>
            </w:r>
          </w:p>
        </w:tc>
        <w:tc>
          <w:tcPr>
            <w:tcW w:w="1241" w:type="dxa"/>
            <w:tcBorders>
              <w:top w:val="nil"/>
              <w:bottom w:val="nil"/>
              <w:right w:val="single" w:sz="4" w:space="0" w:color="auto"/>
            </w:tcBorders>
            <w:vAlign w:val="center"/>
          </w:tcPr>
          <w:p w14:paraId="6C13C01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.88</w:t>
            </w:r>
          </w:p>
        </w:tc>
      </w:tr>
      <w:tr w:rsidR="004651C7" w14:paraId="62A795FC" w14:textId="77777777">
        <w:trPr>
          <w:trHeight w:val="170"/>
          <w:jc w:val="center"/>
        </w:trPr>
        <w:tc>
          <w:tcPr>
            <w:tcW w:w="854" w:type="dxa"/>
            <w:vMerge/>
            <w:tcBorders>
              <w:left w:val="single" w:sz="4" w:space="0" w:color="auto"/>
              <w:bottom w:val="single" w:sz="4" w:space="0" w:color="auto"/>
            </w:tcBorders>
            <w:vAlign w:val="center"/>
          </w:tcPr>
          <w:p w14:paraId="6CAE8F4C"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single" w:sz="4" w:space="0" w:color="auto"/>
            </w:tcBorders>
            <w:vAlign w:val="center"/>
          </w:tcPr>
          <w:p w14:paraId="7FBC3E7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nil"/>
              <w:bottom w:val="single" w:sz="4" w:space="0" w:color="auto"/>
            </w:tcBorders>
            <w:vAlign w:val="center"/>
          </w:tcPr>
          <w:p w14:paraId="73B5056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6.5%</w:t>
            </w:r>
          </w:p>
        </w:tc>
        <w:tc>
          <w:tcPr>
            <w:tcW w:w="1241" w:type="dxa"/>
            <w:tcBorders>
              <w:top w:val="nil"/>
              <w:bottom w:val="single" w:sz="4" w:space="0" w:color="auto"/>
            </w:tcBorders>
            <w:vAlign w:val="center"/>
          </w:tcPr>
          <w:p w14:paraId="029D978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.2%</w:t>
            </w:r>
          </w:p>
        </w:tc>
        <w:tc>
          <w:tcPr>
            <w:tcW w:w="1241" w:type="dxa"/>
            <w:tcBorders>
              <w:top w:val="nil"/>
              <w:bottom w:val="single" w:sz="4" w:space="0" w:color="auto"/>
              <w:right w:val="nil"/>
            </w:tcBorders>
            <w:vAlign w:val="center"/>
          </w:tcPr>
          <w:p w14:paraId="72CB4F7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1.2%</w:t>
            </w:r>
          </w:p>
        </w:tc>
        <w:tc>
          <w:tcPr>
            <w:tcW w:w="1241" w:type="dxa"/>
            <w:tcBorders>
              <w:top w:val="nil"/>
              <w:bottom w:val="single" w:sz="4" w:space="0" w:color="auto"/>
              <w:right w:val="nil"/>
            </w:tcBorders>
            <w:vAlign w:val="center"/>
          </w:tcPr>
          <w:p w14:paraId="7CB55DC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6</w:t>
            </w:r>
            <w:r>
              <w:rPr>
                <w:rFonts w:eastAsia="宋体" w:cs="Times New Roman"/>
                <w:sz w:val="21"/>
                <w:szCs w:val="21"/>
              </w:rPr>
              <w:t>9.1%</w:t>
            </w:r>
          </w:p>
        </w:tc>
        <w:tc>
          <w:tcPr>
            <w:tcW w:w="1241" w:type="dxa"/>
            <w:tcBorders>
              <w:top w:val="nil"/>
              <w:bottom w:val="single" w:sz="4" w:space="0" w:color="auto"/>
              <w:right w:val="single" w:sz="4" w:space="0" w:color="auto"/>
            </w:tcBorders>
            <w:vAlign w:val="center"/>
          </w:tcPr>
          <w:p w14:paraId="54DAA2E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7.3%</w:t>
            </w:r>
          </w:p>
        </w:tc>
      </w:tr>
      <w:tr w:rsidR="004651C7" w14:paraId="6F3EAE46" w14:textId="77777777">
        <w:trPr>
          <w:trHeight w:val="170"/>
          <w:jc w:val="center"/>
        </w:trPr>
        <w:tc>
          <w:tcPr>
            <w:tcW w:w="854" w:type="dxa"/>
            <w:vMerge w:val="restart"/>
            <w:tcBorders>
              <w:left w:val="single" w:sz="4" w:space="0" w:color="auto"/>
            </w:tcBorders>
            <w:vAlign w:val="center"/>
          </w:tcPr>
          <w:p w14:paraId="5231D53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韩国</w:t>
            </w:r>
          </w:p>
        </w:tc>
        <w:tc>
          <w:tcPr>
            <w:tcW w:w="1280" w:type="dxa"/>
            <w:tcBorders>
              <w:bottom w:val="nil"/>
            </w:tcBorders>
            <w:vAlign w:val="center"/>
          </w:tcPr>
          <w:p w14:paraId="5CCE663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bottom w:val="nil"/>
            </w:tcBorders>
            <w:shd w:val="clear" w:color="auto" w:fill="FFF2CC"/>
            <w:vAlign w:val="center"/>
          </w:tcPr>
          <w:p w14:paraId="7533484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.01</w:t>
            </w:r>
          </w:p>
        </w:tc>
        <w:tc>
          <w:tcPr>
            <w:tcW w:w="1241" w:type="dxa"/>
            <w:tcBorders>
              <w:bottom w:val="nil"/>
            </w:tcBorders>
            <w:vAlign w:val="center"/>
          </w:tcPr>
          <w:p w14:paraId="4B67D96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.45</w:t>
            </w:r>
          </w:p>
        </w:tc>
        <w:tc>
          <w:tcPr>
            <w:tcW w:w="1241" w:type="dxa"/>
            <w:tcBorders>
              <w:bottom w:val="nil"/>
              <w:right w:val="nil"/>
            </w:tcBorders>
            <w:vAlign w:val="center"/>
          </w:tcPr>
          <w:p w14:paraId="6A0B2A2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.73</w:t>
            </w:r>
          </w:p>
        </w:tc>
        <w:tc>
          <w:tcPr>
            <w:tcW w:w="1241" w:type="dxa"/>
            <w:tcBorders>
              <w:bottom w:val="nil"/>
              <w:right w:val="nil"/>
            </w:tcBorders>
            <w:vAlign w:val="center"/>
          </w:tcPr>
          <w:p w14:paraId="495C80F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.84</w:t>
            </w:r>
          </w:p>
        </w:tc>
        <w:tc>
          <w:tcPr>
            <w:tcW w:w="1241" w:type="dxa"/>
            <w:tcBorders>
              <w:bottom w:val="nil"/>
              <w:right w:val="single" w:sz="4" w:space="0" w:color="auto"/>
            </w:tcBorders>
            <w:vAlign w:val="center"/>
          </w:tcPr>
          <w:p w14:paraId="7CCD68E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.51</w:t>
            </w:r>
          </w:p>
        </w:tc>
      </w:tr>
      <w:tr w:rsidR="004651C7" w14:paraId="02E2AF3C" w14:textId="77777777">
        <w:trPr>
          <w:trHeight w:val="170"/>
          <w:jc w:val="center"/>
        </w:trPr>
        <w:tc>
          <w:tcPr>
            <w:tcW w:w="854" w:type="dxa"/>
            <w:vMerge/>
            <w:tcBorders>
              <w:left w:val="single" w:sz="4" w:space="0" w:color="auto"/>
            </w:tcBorders>
            <w:vAlign w:val="center"/>
          </w:tcPr>
          <w:p w14:paraId="52B0A88B"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nil"/>
            </w:tcBorders>
            <w:vAlign w:val="center"/>
          </w:tcPr>
          <w:p w14:paraId="5E3EB2B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nil"/>
              <w:bottom w:val="nil"/>
            </w:tcBorders>
            <w:vAlign w:val="center"/>
          </w:tcPr>
          <w:p w14:paraId="265BD92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8</w:t>
            </w:r>
            <w:r>
              <w:rPr>
                <w:rFonts w:eastAsia="宋体" w:cs="Times New Roman"/>
                <w:sz w:val="21"/>
                <w:szCs w:val="21"/>
              </w:rPr>
              <w:t>.80</w:t>
            </w:r>
          </w:p>
        </w:tc>
        <w:tc>
          <w:tcPr>
            <w:tcW w:w="1241" w:type="dxa"/>
            <w:tcBorders>
              <w:top w:val="nil"/>
              <w:bottom w:val="nil"/>
            </w:tcBorders>
            <w:vAlign w:val="center"/>
          </w:tcPr>
          <w:p w14:paraId="2CA559A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7</w:t>
            </w:r>
            <w:r>
              <w:rPr>
                <w:rFonts w:eastAsia="宋体" w:cs="Times New Roman"/>
                <w:sz w:val="21"/>
                <w:szCs w:val="21"/>
              </w:rPr>
              <w:t>.20</w:t>
            </w:r>
          </w:p>
        </w:tc>
        <w:tc>
          <w:tcPr>
            <w:tcW w:w="1241" w:type="dxa"/>
            <w:tcBorders>
              <w:top w:val="nil"/>
              <w:bottom w:val="nil"/>
              <w:right w:val="nil"/>
            </w:tcBorders>
            <w:vAlign w:val="center"/>
          </w:tcPr>
          <w:p w14:paraId="5E6CF18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4</w:t>
            </w:r>
            <w:r>
              <w:rPr>
                <w:rFonts w:eastAsia="宋体" w:cs="Times New Roman"/>
                <w:sz w:val="21"/>
                <w:szCs w:val="21"/>
              </w:rPr>
              <w:t>.89</w:t>
            </w:r>
          </w:p>
        </w:tc>
        <w:tc>
          <w:tcPr>
            <w:tcW w:w="1241" w:type="dxa"/>
            <w:tcBorders>
              <w:top w:val="nil"/>
              <w:bottom w:val="nil"/>
              <w:right w:val="nil"/>
            </w:tcBorders>
            <w:vAlign w:val="center"/>
          </w:tcPr>
          <w:p w14:paraId="147B633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.30</w:t>
            </w:r>
          </w:p>
        </w:tc>
        <w:tc>
          <w:tcPr>
            <w:tcW w:w="1241" w:type="dxa"/>
            <w:tcBorders>
              <w:top w:val="nil"/>
              <w:bottom w:val="nil"/>
              <w:right w:val="single" w:sz="4" w:space="0" w:color="auto"/>
            </w:tcBorders>
            <w:vAlign w:val="center"/>
          </w:tcPr>
          <w:p w14:paraId="5C995F1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6</w:t>
            </w:r>
            <w:r>
              <w:rPr>
                <w:rFonts w:eastAsia="宋体" w:cs="Times New Roman"/>
                <w:sz w:val="21"/>
                <w:szCs w:val="21"/>
              </w:rPr>
              <w:t>.03</w:t>
            </w:r>
          </w:p>
        </w:tc>
      </w:tr>
      <w:tr w:rsidR="004651C7" w14:paraId="292EE08C" w14:textId="77777777">
        <w:trPr>
          <w:trHeight w:val="170"/>
          <w:jc w:val="center"/>
        </w:trPr>
        <w:tc>
          <w:tcPr>
            <w:tcW w:w="854" w:type="dxa"/>
            <w:vMerge/>
            <w:tcBorders>
              <w:left w:val="single" w:sz="4" w:space="0" w:color="auto"/>
              <w:bottom w:val="single" w:sz="4" w:space="0" w:color="auto"/>
            </w:tcBorders>
            <w:vAlign w:val="center"/>
          </w:tcPr>
          <w:p w14:paraId="4D694027"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single" w:sz="4" w:space="0" w:color="auto"/>
            </w:tcBorders>
            <w:vAlign w:val="center"/>
          </w:tcPr>
          <w:p w14:paraId="59CEEA3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nil"/>
              <w:bottom w:val="single" w:sz="4" w:space="0" w:color="auto"/>
            </w:tcBorders>
            <w:vAlign w:val="center"/>
          </w:tcPr>
          <w:p w14:paraId="71FC2CD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2.9%</w:t>
            </w:r>
          </w:p>
        </w:tc>
        <w:tc>
          <w:tcPr>
            <w:tcW w:w="1241" w:type="dxa"/>
            <w:tcBorders>
              <w:top w:val="nil"/>
              <w:bottom w:val="single" w:sz="4" w:space="0" w:color="auto"/>
            </w:tcBorders>
            <w:vAlign w:val="center"/>
          </w:tcPr>
          <w:p w14:paraId="72517E1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0.1%</w:t>
            </w:r>
          </w:p>
        </w:tc>
        <w:tc>
          <w:tcPr>
            <w:tcW w:w="1241" w:type="dxa"/>
            <w:tcBorders>
              <w:top w:val="nil"/>
              <w:bottom w:val="single" w:sz="4" w:space="0" w:color="auto"/>
              <w:right w:val="nil"/>
            </w:tcBorders>
            <w:vAlign w:val="center"/>
          </w:tcPr>
          <w:p w14:paraId="3B5FECF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5.4%</w:t>
            </w:r>
          </w:p>
        </w:tc>
        <w:tc>
          <w:tcPr>
            <w:tcW w:w="1241" w:type="dxa"/>
            <w:tcBorders>
              <w:top w:val="nil"/>
              <w:bottom w:val="single" w:sz="4" w:space="0" w:color="auto"/>
              <w:right w:val="nil"/>
            </w:tcBorders>
            <w:vAlign w:val="center"/>
          </w:tcPr>
          <w:p w14:paraId="6A13604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5.4%</w:t>
            </w:r>
          </w:p>
        </w:tc>
        <w:tc>
          <w:tcPr>
            <w:tcW w:w="1241" w:type="dxa"/>
            <w:tcBorders>
              <w:top w:val="nil"/>
              <w:bottom w:val="single" w:sz="4" w:space="0" w:color="auto"/>
              <w:right w:val="single" w:sz="4" w:space="0" w:color="auto"/>
            </w:tcBorders>
            <w:vAlign w:val="center"/>
          </w:tcPr>
          <w:p w14:paraId="046170B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5.0%</w:t>
            </w:r>
          </w:p>
        </w:tc>
      </w:tr>
      <w:tr w:rsidR="004651C7" w14:paraId="2AA7EA02" w14:textId="77777777">
        <w:trPr>
          <w:trHeight w:val="170"/>
          <w:jc w:val="center"/>
        </w:trPr>
        <w:tc>
          <w:tcPr>
            <w:tcW w:w="854" w:type="dxa"/>
            <w:vMerge w:val="restart"/>
            <w:tcBorders>
              <w:left w:val="single" w:sz="4" w:space="0" w:color="auto"/>
            </w:tcBorders>
            <w:vAlign w:val="center"/>
          </w:tcPr>
          <w:p w14:paraId="0669253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俄罗斯</w:t>
            </w:r>
          </w:p>
        </w:tc>
        <w:tc>
          <w:tcPr>
            <w:tcW w:w="1280" w:type="dxa"/>
            <w:tcBorders>
              <w:bottom w:val="nil"/>
            </w:tcBorders>
            <w:vAlign w:val="center"/>
          </w:tcPr>
          <w:p w14:paraId="0AC4837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bottom w:val="nil"/>
            </w:tcBorders>
            <w:vAlign w:val="center"/>
          </w:tcPr>
          <w:p w14:paraId="2FF4750D"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41" w:type="dxa"/>
            <w:tcBorders>
              <w:bottom w:val="nil"/>
            </w:tcBorders>
            <w:vAlign w:val="center"/>
          </w:tcPr>
          <w:p w14:paraId="503B411F"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41" w:type="dxa"/>
            <w:tcBorders>
              <w:bottom w:val="nil"/>
              <w:right w:val="nil"/>
            </w:tcBorders>
            <w:shd w:val="clear" w:color="auto" w:fill="FFF2CC"/>
            <w:vAlign w:val="center"/>
          </w:tcPr>
          <w:p w14:paraId="0C3E347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4</w:t>
            </w:r>
            <w:r>
              <w:rPr>
                <w:rFonts w:eastAsia="宋体" w:cs="Times New Roman"/>
                <w:sz w:val="21"/>
                <w:szCs w:val="21"/>
              </w:rPr>
              <w:t>.22</w:t>
            </w:r>
          </w:p>
        </w:tc>
        <w:tc>
          <w:tcPr>
            <w:tcW w:w="1241" w:type="dxa"/>
            <w:tcBorders>
              <w:bottom w:val="nil"/>
              <w:right w:val="nil"/>
            </w:tcBorders>
            <w:vAlign w:val="center"/>
          </w:tcPr>
          <w:p w14:paraId="496F191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.98</w:t>
            </w:r>
          </w:p>
        </w:tc>
        <w:tc>
          <w:tcPr>
            <w:tcW w:w="1241" w:type="dxa"/>
            <w:tcBorders>
              <w:bottom w:val="nil"/>
              <w:right w:val="single" w:sz="4" w:space="0" w:color="auto"/>
            </w:tcBorders>
            <w:vAlign w:val="center"/>
          </w:tcPr>
          <w:p w14:paraId="46223DC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.29</w:t>
            </w:r>
          </w:p>
        </w:tc>
      </w:tr>
      <w:tr w:rsidR="004651C7" w14:paraId="57685BF5" w14:textId="77777777">
        <w:trPr>
          <w:trHeight w:val="170"/>
          <w:jc w:val="center"/>
        </w:trPr>
        <w:tc>
          <w:tcPr>
            <w:tcW w:w="854" w:type="dxa"/>
            <w:vMerge/>
            <w:tcBorders>
              <w:left w:val="single" w:sz="4" w:space="0" w:color="auto"/>
            </w:tcBorders>
            <w:vAlign w:val="center"/>
          </w:tcPr>
          <w:p w14:paraId="06C920DA"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nil"/>
            </w:tcBorders>
            <w:vAlign w:val="center"/>
          </w:tcPr>
          <w:p w14:paraId="6CFE01A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nil"/>
              <w:bottom w:val="nil"/>
            </w:tcBorders>
            <w:vAlign w:val="center"/>
          </w:tcPr>
          <w:p w14:paraId="6792D8FB"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41" w:type="dxa"/>
            <w:tcBorders>
              <w:top w:val="nil"/>
              <w:bottom w:val="nil"/>
            </w:tcBorders>
            <w:vAlign w:val="center"/>
          </w:tcPr>
          <w:p w14:paraId="079B09B3"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41" w:type="dxa"/>
            <w:tcBorders>
              <w:top w:val="nil"/>
              <w:bottom w:val="nil"/>
              <w:right w:val="nil"/>
            </w:tcBorders>
            <w:vAlign w:val="center"/>
          </w:tcPr>
          <w:p w14:paraId="61CFDCC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5</w:t>
            </w:r>
            <w:r>
              <w:rPr>
                <w:rFonts w:eastAsia="宋体" w:cs="Times New Roman"/>
                <w:sz w:val="21"/>
                <w:szCs w:val="21"/>
              </w:rPr>
              <w:t>.37</w:t>
            </w:r>
          </w:p>
        </w:tc>
        <w:tc>
          <w:tcPr>
            <w:tcW w:w="1241" w:type="dxa"/>
            <w:tcBorders>
              <w:top w:val="nil"/>
              <w:bottom w:val="nil"/>
              <w:right w:val="nil"/>
            </w:tcBorders>
            <w:vAlign w:val="center"/>
          </w:tcPr>
          <w:p w14:paraId="7E56E7A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.00</w:t>
            </w:r>
          </w:p>
        </w:tc>
        <w:tc>
          <w:tcPr>
            <w:tcW w:w="1241" w:type="dxa"/>
            <w:tcBorders>
              <w:top w:val="nil"/>
              <w:bottom w:val="nil"/>
              <w:right w:val="single" w:sz="4" w:space="0" w:color="auto"/>
            </w:tcBorders>
            <w:vAlign w:val="center"/>
          </w:tcPr>
          <w:p w14:paraId="67021EE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.82</w:t>
            </w:r>
          </w:p>
        </w:tc>
      </w:tr>
      <w:tr w:rsidR="004651C7" w14:paraId="4385E049" w14:textId="77777777">
        <w:trPr>
          <w:trHeight w:val="170"/>
          <w:jc w:val="center"/>
        </w:trPr>
        <w:tc>
          <w:tcPr>
            <w:tcW w:w="854" w:type="dxa"/>
            <w:vMerge/>
            <w:tcBorders>
              <w:left w:val="single" w:sz="4" w:space="0" w:color="auto"/>
              <w:bottom w:val="single" w:sz="4" w:space="0" w:color="auto"/>
            </w:tcBorders>
            <w:vAlign w:val="center"/>
          </w:tcPr>
          <w:p w14:paraId="599CB040"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single" w:sz="4" w:space="0" w:color="auto"/>
            </w:tcBorders>
            <w:vAlign w:val="center"/>
          </w:tcPr>
          <w:p w14:paraId="6B2276D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nil"/>
              <w:bottom w:val="single" w:sz="4" w:space="0" w:color="auto"/>
            </w:tcBorders>
            <w:vAlign w:val="center"/>
          </w:tcPr>
          <w:p w14:paraId="24351B86"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41" w:type="dxa"/>
            <w:tcBorders>
              <w:top w:val="nil"/>
              <w:bottom w:val="single" w:sz="4" w:space="0" w:color="auto"/>
            </w:tcBorders>
            <w:vAlign w:val="center"/>
          </w:tcPr>
          <w:p w14:paraId="246DB73A"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41" w:type="dxa"/>
            <w:tcBorders>
              <w:top w:val="nil"/>
              <w:bottom w:val="single" w:sz="4" w:space="0" w:color="auto"/>
              <w:right w:val="nil"/>
            </w:tcBorders>
            <w:vAlign w:val="center"/>
          </w:tcPr>
          <w:p w14:paraId="201AF3D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7</w:t>
            </w:r>
            <w:r>
              <w:rPr>
                <w:rFonts w:eastAsia="宋体" w:cs="Times New Roman"/>
                <w:sz w:val="21"/>
                <w:szCs w:val="21"/>
              </w:rPr>
              <w:t>8.6%</w:t>
            </w:r>
          </w:p>
        </w:tc>
        <w:tc>
          <w:tcPr>
            <w:tcW w:w="1241" w:type="dxa"/>
            <w:tcBorders>
              <w:top w:val="nil"/>
              <w:bottom w:val="single" w:sz="4" w:space="0" w:color="auto"/>
              <w:right w:val="nil"/>
            </w:tcBorders>
            <w:vAlign w:val="center"/>
          </w:tcPr>
          <w:p w14:paraId="4509CC7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4</w:t>
            </w:r>
            <w:r>
              <w:rPr>
                <w:rFonts w:eastAsia="宋体" w:cs="Times New Roman"/>
                <w:sz w:val="21"/>
                <w:szCs w:val="21"/>
              </w:rPr>
              <w:t>9.0%</w:t>
            </w:r>
          </w:p>
        </w:tc>
        <w:tc>
          <w:tcPr>
            <w:tcW w:w="1241" w:type="dxa"/>
            <w:tcBorders>
              <w:top w:val="nil"/>
              <w:bottom w:val="single" w:sz="4" w:space="0" w:color="auto"/>
              <w:right w:val="single" w:sz="4" w:space="0" w:color="auto"/>
            </w:tcBorders>
            <w:vAlign w:val="center"/>
          </w:tcPr>
          <w:p w14:paraId="23F6862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7</w:t>
            </w:r>
            <w:r>
              <w:rPr>
                <w:rFonts w:eastAsia="宋体" w:cs="Times New Roman"/>
                <w:sz w:val="21"/>
                <w:szCs w:val="21"/>
              </w:rPr>
              <w:t>0.7%</w:t>
            </w:r>
          </w:p>
        </w:tc>
      </w:tr>
      <w:tr w:rsidR="004651C7" w14:paraId="4FF08CFF" w14:textId="77777777">
        <w:trPr>
          <w:trHeight w:val="170"/>
          <w:jc w:val="center"/>
        </w:trPr>
        <w:tc>
          <w:tcPr>
            <w:tcW w:w="854" w:type="dxa"/>
            <w:vMerge w:val="restart"/>
            <w:tcBorders>
              <w:left w:val="single" w:sz="4" w:space="0" w:color="auto"/>
            </w:tcBorders>
            <w:vAlign w:val="center"/>
          </w:tcPr>
          <w:p w14:paraId="01FA20F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印度</w:t>
            </w:r>
          </w:p>
        </w:tc>
        <w:tc>
          <w:tcPr>
            <w:tcW w:w="1280" w:type="dxa"/>
            <w:tcBorders>
              <w:bottom w:val="nil"/>
            </w:tcBorders>
            <w:vAlign w:val="center"/>
          </w:tcPr>
          <w:p w14:paraId="73D08D4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bottom w:val="nil"/>
            </w:tcBorders>
            <w:vAlign w:val="center"/>
          </w:tcPr>
          <w:p w14:paraId="22C806C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.09</w:t>
            </w:r>
          </w:p>
        </w:tc>
        <w:tc>
          <w:tcPr>
            <w:tcW w:w="1241" w:type="dxa"/>
            <w:tcBorders>
              <w:bottom w:val="nil"/>
            </w:tcBorders>
            <w:vAlign w:val="center"/>
          </w:tcPr>
          <w:p w14:paraId="6EB8DD2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.18</w:t>
            </w:r>
          </w:p>
        </w:tc>
        <w:tc>
          <w:tcPr>
            <w:tcW w:w="1241" w:type="dxa"/>
            <w:tcBorders>
              <w:bottom w:val="nil"/>
              <w:right w:val="nil"/>
            </w:tcBorders>
            <w:vAlign w:val="center"/>
          </w:tcPr>
          <w:p w14:paraId="450816D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.95</w:t>
            </w:r>
          </w:p>
        </w:tc>
        <w:tc>
          <w:tcPr>
            <w:tcW w:w="1241" w:type="dxa"/>
            <w:tcBorders>
              <w:bottom w:val="nil"/>
              <w:right w:val="nil"/>
            </w:tcBorders>
            <w:shd w:val="clear" w:color="auto" w:fill="FFF2CC"/>
            <w:vAlign w:val="center"/>
          </w:tcPr>
          <w:p w14:paraId="6261775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.03</w:t>
            </w:r>
          </w:p>
        </w:tc>
        <w:tc>
          <w:tcPr>
            <w:tcW w:w="1241" w:type="dxa"/>
            <w:tcBorders>
              <w:bottom w:val="nil"/>
              <w:right w:val="single" w:sz="4" w:space="0" w:color="auto"/>
            </w:tcBorders>
            <w:vAlign w:val="center"/>
          </w:tcPr>
          <w:p w14:paraId="502C561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.31</w:t>
            </w:r>
          </w:p>
        </w:tc>
      </w:tr>
      <w:tr w:rsidR="004651C7" w14:paraId="1F115792" w14:textId="77777777">
        <w:trPr>
          <w:trHeight w:val="170"/>
          <w:jc w:val="center"/>
        </w:trPr>
        <w:tc>
          <w:tcPr>
            <w:tcW w:w="854" w:type="dxa"/>
            <w:vMerge/>
            <w:tcBorders>
              <w:left w:val="single" w:sz="4" w:space="0" w:color="auto"/>
            </w:tcBorders>
            <w:vAlign w:val="center"/>
          </w:tcPr>
          <w:p w14:paraId="5A5DF325"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nil"/>
            </w:tcBorders>
            <w:vAlign w:val="center"/>
          </w:tcPr>
          <w:p w14:paraId="6145AA7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nil"/>
              <w:bottom w:val="nil"/>
            </w:tcBorders>
            <w:vAlign w:val="center"/>
          </w:tcPr>
          <w:p w14:paraId="48AA1AE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5</w:t>
            </w:r>
            <w:r>
              <w:rPr>
                <w:rFonts w:eastAsia="宋体" w:cs="Times New Roman"/>
                <w:sz w:val="21"/>
                <w:szCs w:val="21"/>
              </w:rPr>
              <w:t>.67</w:t>
            </w:r>
          </w:p>
        </w:tc>
        <w:tc>
          <w:tcPr>
            <w:tcW w:w="1241" w:type="dxa"/>
            <w:tcBorders>
              <w:top w:val="nil"/>
              <w:bottom w:val="nil"/>
            </w:tcBorders>
            <w:vAlign w:val="center"/>
          </w:tcPr>
          <w:p w14:paraId="40D80C0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5</w:t>
            </w:r>
            <w:r>
              <w:rPr>
                <w:rFonts w:eastAsia="宋体" w:cs="Times New Roman"/>
                <w:sz w:val="21"/>
                <w:szCs w:val="21"/>
              </w:rPr>
              <w:t>.75</w:t>
            </w:r>
          </w:p>
        </w:tc>
        <w:tc>
          <w:tcPr>
            <w:tcW w:w="1241" w:type="dxa"/>
            <w:tcBorders>
              <w:top w:val="nil"/>
              <w:bottom w:val="nil"/>
              <w:right w:val="nil"/>
            </w:tcBorders>
            <w:vAlign w:val="center"/>
          </w:tcPr>
          <w:p w14:paraId="3B52542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6</w:t>
            </w:r>
            <w:r>
              <w:rPr>
                <w:rFonts w:eastAsia="宋体" w:cs="Times New Roman"/>
                <w:sz w:val="21"/>
                <w:szCs w:val="21"/>
              </w:rPr>
              <w:t>.27</w:t>
            </w:r>
          </w:p>
        </w:tc>
        <w:tc>
          <w:tcPr>
            <w:tcW w:w="1241" w:type="dxa"/>
            <w:tcBorders>
              <w:top w:val="nil"/>
              <w:bottom w:val="nil"/>
              <w:right w:val="nil"/>
            </w:tcBorders>
            <w:vAlign w:val="center"/>
          </w:tcPr>
          <w:p w14:paraId="6072BC9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6</w:t>
            </w:r>
            <w:r>
              <w:rPr>
                <w:rFonts w:eastAsia="宋体" w:cs="Times New Roman"/>
                <w:sz w:val="21"/>
                <w:szCs w:val="21"/>
              </w:rPr>
              <w:t>.65</w:t>
            </w:r>
          </w:p>
        </w:tc>
        <w:tc>
          <w:tcPr>
            <w:tcW w:w="1241" w:type="dxa"/>
            <w:tcBorders>
              <w:top w:val="nil"/>
              <w:bottom w:val="nil"/>
              <w:right w:val="single" w:sz="4" w:space="0" w:color="auto"/>
            </w:tcBorders>
            <w:vAlign w:val="center"/>
          </w:tcPr>
          <w:p w14:paraId="2CBB0DE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6</w:t>
            </w:r>
            <w:r>
              <w:rPr>
                <w:rFonts w:eastAsia="宋体" w:cs="Times New Roman"/>
                <w:sz w:val="21"/>
                <w:szCs w:val="21"/>
              </w:rPr>
              <w:t>.08</w:t>
            </w:r>
          </w:p>
        </w:tc>
      </w:tr>
      <w:tr w:rsidR="004651C7" w14:paraId="6D15C681" w14:textId="77777777">
        <w:trPr>
          <w:trHeight w:val="170"/>
          <w:jc w:val="center"/>
        </w:trPr>
        <w:tc>
          <w:tcPr>
            <w:tcW w:w="854" w:type="dxa"/>
            <w:vMerge/>
            <w:tcBorders>
              <w:left w:val="single" w:sz="4" w:space="0" w:color="auto"/>
              <w:bottom w:val="single" w:sz="4" w:space="0" w:color="auto"/>
            </w:tcBorders>
            <w:vAlign w:val="center"/>
          </w:tcPr>
          <w:p w14:paraId="77595128"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single" w:sz="4" w:space="0" w:color="auto"/>
            </w:tcBorders>
            <w:vAlign w:val="center"/>
          </w:tcPr>
          <w:p w14:paraId="388B528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nil"/>
              <w:bottom w:val="single" w:sz="4" w:space="0" w:color="auto"/>
            </w:tcBorders>
            <w:vAlign w:val="center"/>
          </w:tcPr>
          <w:p w14:paraId="53EB087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9.2%</w:t>
            </w:r>
          </w:p>
        </w:tc>
        <w:tc>
          <w:tcPr>
            <w:tcW w:w="1241" w:type="dxa"/>
            <w:tcBorders>
              <w:top w:val="nil"/>
              <w:bottom w:val="single" w:sz="4" w:space="0" w:color="auto"/>
            </w:tcBorders>
            <w:vAlign w:val="center"/>
          </w:tcPr>
          <w:p w14:paraId="7AB1D41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0.4%</w:t>
            </w:r>
          </w:p>
        </w:tc>
        <w:tc>
          <w:tcPr>
            <w:tcW w:w="1241" w:type="dxa"/>
            <w:tcBorders>
              <w:top w:val="nil"/>
              <w:bottom w:val="single" w:sz="4" w:space="0" w:color="auto"/>
              <w:right w:val="nil"/>
            </w:tcBorders>
            <w:vAlign w:val="center"/>
          </w:tcPr>
          <w:p w14:paraId="13225C0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5.2%</w:t>
            </w:r>
          </w:p>
        </w:tc>
        <w:tc>
          <w:tcPr>
            <w:tcW w:w="1241" w:type="dxa"/>
            <w:tcBorders>
              <w:top w:val="nil"/>
              <w:bottom w:val="single" w:sz="4" w:space="0" w:color="auto"/>
              <w:right w:val="nil"/>
            </w:tcBorders>
            <w:vAlign w:val="center"/>
          </w:tcPr>
          <w:p w14:paraId="28318B7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0.5%</w:t>
            </w:r>
          </w:p>
        </w:tc>
        <w:tc>
          <w:tcPr>
            <w:tcW w:w="1241" w:type="dxa"/>
            <w:tcBorders>
              <w:top w:val="nil"/>
              <w:bottom w:val="single" w:sz="4" w:space="0" w:color="auto"/>
              <w:right w:val="single" w:sz="4" w:space="0" w:color="auto"/>
            </w:tcBorders>
            <w:vAlign w:val="center"/>
          </w:tcPr>
          <w:p w14:paraId="0FC0A8B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1.5%</w:t>
            </w:r>
          </w:p>
        </w:tc>
      </w:tr>
      <w:tr w:rsidR="004651C7" w14:paraId="0FA7CCEE" w14:textId="77777777">
        <w:trPr>
          <w:trHeight w:val="160"/>
          <w:jc w:val="center"/>
        </w:trPr>
        <w:tc>
          <w:tcPr>
            <w:tcW w:w="854" w:type="dxa"/>
            <w:vMerge w:val="restart"/>
            <w:tcBorders>
              <w:left w:val="single" w:sz="4" w:space="0" w:color="auto"/>
            </w:tcBorders>
            <w:vAlign w:val="center"/>
          </w:tcPr>
          <w:p w14:paraId="776D220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巴西</w:t>
            </w:r>
          </w:p>
        </w:tc>
        <w:tc>
          <w:tcPr>
            <w:tcW w:w="1280" w:type="dxa"/>
            <w:tcBorders>
              <w:bottom w:val="nil"/>
            </w:tcBorders>
            <w:vAlign w:val="center"/>
          </w:tcPr>
          <w:p w14:paraId="30BF0E0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bottom w:val="nil"/>
            </w:tcBorders>
            <w:vAlign w:val="center"/>
          </w:tcPr>
          <w:p w14:paraId="2C8A184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0.97</w:t>
            </w:r>
          </w:p>
        </w:tc>
        <w:tc>
          <w:tcPr>
            <w:tcW w:w="1241" w:type="dxa"/>
            <w:tcBorders>
              <w:bottom w:val="nil"/>
            </w:tcBorders>
            <w:vAlign w:val="center"/>
          </w:tcPr>
          <w:p w14:paraId="48D15D2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1.04</w:t>
            </w:r>
          </w:p>
        </w:tc>
        <w:tc>
          <w:tcPr>
            <w:tcW w:w="1241" w:type="dxa"/>
            <w:tcBorders>
              <w:bottom w:val="nil"/>
              <w:right w:val="nil"/>
            </w:tcBorders>
            <w:vAlign w:val="center"/>
          </w:tcPr>
          <w:p w14:paraId="22EFEF2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.05</w:t>
            </w:r>
          </w:p>
        </w:tc>
        <w:tc>
          <w:tcPr>
            <w:tcW w:w="1241" w:type="dxa"/>
            <w:tcBorders>
              <w:bottom w:val="nil"/>
              <w:right w:val="nil"/>
            </w:tcBorders>
            <w:vAlign w:val="center"/>
          </w:tcPr>
          <w:p w14:paraId="69B644F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1.46</w:t>
            </w:r>
          </w:p>
        </w:tc>
        <w:tc>
          <w:tcPr>
            <w:tcW w:w="1241" w:type="dxa"/>
            <w:tcBorders>
              <w:bottom w:val="nil"/>
              <w:right w:val="single" w:sz="4" w:space="0" w:color="auto"/>
            </w:tcBorders>
            <w:vAlign w:val="center"/>
          </w:tcPr>
          <w:p w14:paraId="107FBDF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0.86</w:t>
            </w:r>
          </w:p>
        </w:tc>
      </w:tr>
      <w:tr w:rsidR="004651C7" w14:paraId="73727A67" w14:textId="77777777">
        <w:trPr>
          <w:trHeight w:val="160"/>
          <w:jc w:val="center"/>
        </w:trPr>
        <w:tc>
          <w:tcPr>
            <w:tcW w:w="854" w:type="dxa"/>
            <w:vMerge/>
            <w:tcBorders>
              <w:left w:val="single" w:sz="4" w:space="0" w:color="auto"/>
            </w:tcBorders>
            <w:vAlign w:val="center"/>
          </w:tcPr>
          <w:p w14:paraId="336D8746"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nil"/>
            </w:tcBorders>
            <w:vAlign w:val="center"/>
          </w:tcPr>
          <w:p w14:paraId="0BEB66D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nil"/>
              <w:bottom w:val="nil"/>
            </w:tcBorders>
            <w:vAlign w:val="center"/>
          </w:tcPr>
          <w:p w14:paraId="60D51AD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.89</w:t>
            </w:r>
          </w:p>
        </w:tc>
        <w:tc>
          <w:tcPr>
            <w:tcW w:w="1241" w:type="dxa"/>
            <w:tcBorders>
              <w:top w:val="nil"/>
              <w:bottom w:val="nil"/>
            </w:tcBorders>
            <w:vAlign w:val="center"/>
          </w:tcPr>
          <w:p w14:paraId="6A73E16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.85</w:t>
            </w:r>
          </w:p>
        </w:tc>
        <w:tc>
          <w:tcPr>
            <w:tcW w:w="1241" w:type="dxa"/>
            <w:tcBorders>
              <w:top w:val="nil"/>
              <w:bottom w:val="nil"/>
              <w:right w:val="nil"/>
            </w:tcBorders>
            <w:vAlign w:val="center"/>
          </w:tcPr>
          <w:p w14:paraId="7A9A2B5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.37</w:t>
            </w:r>
          </w:p>
        </w:tc>
        <w:tc>
          <w:tcPr>
            <w:tcW w:w="1241" w:type="dxa"/>
            <w:tcBorders>
              <w:top w:val="nil"/>
              <w:bottom w:val="nil"/>
              <w:right w:val="nil"/>
            </w:tcBorders>
            <w:vAlign w:val="center"/>
          </w:tcPr>
          <w:p w14:paraId="077C9D8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.42</w:t>
            </w:r>
          </w:p>
        </w:tc>
        <w:tc>
          <w:tcPr>
            <w:tcW w:w="1241" w:type="dxa"/>
            <w:tcBorders>
              <w:top w:val="nil"/>
              <w:bottom w:val="nil"/>
              <w:right w:val="single" w:sz="4" w:space="0" w:color="auto"/>
            </w:tcBorders>
            <w:vAlign w:val="center"/>
          </w:tcPr>
          <w:p w14:paraId="52B48C2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.38</w:t>
            </w:r>
          </w:p>
        </w:tc>
      </w:tr>
      <w:tr w:rsidR="004651C7" w14:paraId="30F477EF" w14:textId="77777777">
        <w:trPr>
          <w:trHeight w:val="160"/>
          <w:jc w:val="center"/>
        </w:trPr>
        <w:tc>
          <w:tcPr>
            <w:tcW w:w="854" w:type="dxa"/>
            <w:vMerge/>
            <w:tcBorders>
              <w:left w:val="single" w:sz="4" w:space="0" w:color="auto"/>
              <w:bottom w:val="single" w:sz="4" w:space="0" w:color="auto"/>
            </w:tcBorders>
            <w:vAlign w:val="center"/>
          </w:tcPr>
          <w:p w14:paraId="09CEBC61"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single" w:sz="4" w:space="0" w:color="auto"/>
            </w:tcBorders>
            <w:vAlign w:val="center"/>
          </w:tcPr>
          <w:p w14:paraId="5B1D8B8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nil"/>
              <w:bottom w:val="single" w:sz="4" w:space="0" w:color="auto"/>
            </w:tcBorders>
            <w:vAlign w:val="center"/>
          </w:tcPr>
          <w:p w14:paraId="177FE13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nil"/>
              <w:bottom w:val="single" w:sz="4" w:space="0" w:color="auto"/>
            </w:tcBorders>
            <w:vAlign w:val="center"/>
          </w:tcPr>
          <w:p w14:paraId="1FF0B76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nil"/>
              <w:bottom w:val="single" w:sz="4" w:space="0" w:color="auto"/>
              <w:right w:val="nil"/>
            </w:tcBorders>
            <w:vAlign w:val="center"/>
          </w:tcPr>
          <w:p w14:paraId="70B8C6E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.5%</w:t>
            </w:r>
          </w:p>
        </w:tc>
        <w:tc>
          <w:tcPr>
            <w:tcW w:w="1241" w:type="dxa"/>
            <w:tcBorders>
              <w:top w:val="nil"/>
              <w:bottom w:val="single" w:sz="4" w:space="0" w:color="auto"/>
              <w:right w:val="nil"/>
            </w:tcBorders>
            <w:vAlign w:val="center"/>
          </w:tcPr>
          <w:p w14:paraId="7BB2851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nil"/>
              <w:bottom w:val="single" w:sz="4" w:space="0" w:color="auto"/>
              <w:right w:val="single" w:sz="4" w:space="0" w:color="auto"/>
            </w:tcBorders>
            <w:vAlign w:val="center"/>
          </w:tcPr>
          <w:p w14:paraId="0AA9D8F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r>
      <w:tr w:rsidR="004651C7" w14:paraId="24E3876B" w14:textId="77777777">
        <w:trPr>
          <w:trHeight w:val="170"/>
          <w:jc w:val="center"/>
        </w:trPr>
        <w:tc>
          <w:tcPr>
            <w:tcW w:w="854" w:type="dxa"/>
            <w:vMerge w:val="restart"/>
            <w:tcBorders>
              <w:left w:val="single" w:sz="4" w:space="0" w:color="auto"/>
            </w:tcBorders>
            <w:vAlign w:val="center"/>
          </w:tcPr>
          <w:p w14:paraId="2DA9D24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南非</w:t>
            </w:r>
          </w:p>
        </w:tc>
        <w:tc>
          <w:tcPr>
            <w:tcW w:w="1280" w:type="dxa"/>
            <w:tcBorders>
              <w:bottom w:val="nil"/>
            </w:tcBorders>
            <w:vAlign w:val="center"/>
          </w:tcPr>
          <w:p w14:paraId="66F3FDE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p>
        </w:tc>
        <w:tc>
          <w:tcPr>
            <w:tcW w:w="1241" w:type="dxa"/>
            <w:tcBorders>
              <w:bottom w:val="nil"/>
            </w:tcBorders>
            <w:vAlign w:val="center"/>
          </w:tcPr>
          <w:p w14:paraId="39613FA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0.79</w:t>
            </w:r>
          </w:p>
        </w:tc>
        <w:tc>
          <w:tcPr>
            <w:tcW w:w="1241" w:type="dxa"/>
            <w:tcBorders>
              <w:bottom w:val="nil"/>
            </w:tcBorders>
            <w:vAlign w:val="center"/>
          </w:tcPr>
          <w:p w14:paraId="62D4636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1.06</w:t>
            </w:r>
          </w:p>
        </w:tc>
        <w:tc>
          <w:tcPr>
            <w:tcW w:w="1241" w:type="dxa"/>
            <w:tcBorders>
              <w:bottom w:val="nil"/>
              <w:right w:val="nil"/>
            </w:tcBorders>
            <w:vAlign w:val="center"/>
          </w:tcPr>
          <w:p w14:paraId="08F64FE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.62</w:t>
            </w:r>
          </w:p>
        </w:tc>
        <w:tc>
          <w:tcPr>
            <w:tcW w:w="1241" w:type="dxa"/>
            <w:tcBorders>
              <w:bottom w:val="nil"/>
              <w:right w:val="nil"/>
            </w:tcBorders>
            <w:vAlign w:val="center"/>
          </w:tcPr>
          <w:p w14:paraId="6C64BA9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1.16</w:t>
            </w:r>
          </w:p>
        </w:tc>
        <w:tc>
          <w:tcPr>
            <w:tcW w:w="1241" w:type="dxa"/>
            <w:tcBorders>
              <w:bottom w:val="nil"/>
              <w:right w:val="single" w:sz="4" w:space="0" w:color="auto"/>
            </w:tcBorders>
            <w:vAlign w:val="center"/>
          </w:tcPr>
          <w:p w14:paraId="6F582DD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0.60</w:t>
            </w:r>
          </w:p>
        </w:tc>
      </w:tr>
      <w:tr w:rsidR="004651C7" w14:paraId="7463FECA" w14:textId="77777777">
        <w:trPr>
          <w:trHeight w:val="170"/>
          <w:jc w:val="center"/>
        </w:trPr>
        <w:tc>
          <w:tcPr>
            <w:tcW w:w="854" w:type="dxa"/>
            <w:vMerge/>
            <w:tcBorders>
              <w:left w:val="single" w:sz="4" w:space="0" w:color="auto"/>
            </w:tcBorders>
            <w:vAlign w:val="center"/>
          </w:tcPr>
          <w:p w14:paraId="47CEE684"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nil"/>
            </w:tcBorders>
            <w:vAlign w:val="center"/>
          </w:tcPr>
          <w:p w14:paraId="676E3D3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nil"/>
              <w:bottom w:val="nil"/>
            </w:tcBorders>
            <w:vAlign w:val="center"/>
          </w:tcPr>
          <w:p w14:paraId="0B2ED94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.20</w:t>
            </w:r>
          </w:p>
        </w:tc>
        <w:tc>
          <w:tcPr>
            <w:tcW w:w="1241" w:type="dxa"/>
            <w:tcBorders>
              <w:top w:val="nil"/>
              <w:bottom w:val="nil"/>
            </w:tcBorders>
            <w:vAlign w:val="center"/>
          </w:tcPr>
          <w:p w14:paraId="1F51FCB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.37</w:t>
            </w:r>
          </w:p>
        </w:tc>
        <w:tc>
          <w:tcPr>
            <w:tcW w:w="1241" w:type="dxa"/>
            <w:tcBorders>
              <w:top w:val="nil"/>
              <w:bottom w:val="nil"/>
              <w:right w:val="nil"/>
            </w:tcBorders>
            <w:vAlign w:val="center"/>
          </w:tcPr>
          <w:p w14:paraId="2757D6D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.58</w:t>
            </w:r>
          </w:p>
        </w:tc>
        <w:tc>
          <w:tcPr>
            <w:tcW w:w="1241" w:type="dxa"/>
            <w:tcBorders>
              <w:top w:val="nil"/>
              <w:bottom w:val="nil"/>
              <w:right w:val="nil"/>
            </w:tcBorders>
            <w:vAlign w:val="center"/>
          </w:tcPr>
          <w:p w14:paraId="6FDA977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.68</w:t>
            </w:r>
          </w:p>
        </w:tc>
        <w:tc>
          <w:tcPr>
            <w:tcW w:w="1241" w:type="dxa"/>
            <w:tcBorders>
              <w:top w:val="nil"/>
              <w:bottom w:val="nil"/>
              <w:right w:val="single" w:sz="4" w:space="0" w:color="auto"/>
            </w:tcBorders>
            <w:vAlign w:val="center"/>
          </w:tcPr>
          <w:p w14:paraId="2FF2103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.20</w:t>
            </w:r>
          </w:p>
        </w:tc>
      </w:tr>
      <w:tr w:rsidR="004651C7" w14:paraId="528C103F" w14:textId="77777777">
        <w:trPr>
          <w:trHeight w:val="170"/>
          <w:jc w:val="center"/>
        </w:trPr>
        <w:tc>
          <w:tcPr>
            <w:tcW w:w="854" w:type="dxa"/>
            <w:vMerge/>
            <w:tcBorders>
              <w:left w:val="single" w:sz="4" w:space="0" w:color="auto"/>
              <w:bottom w:val="single" w:sz="4" w:space="0" w:color="auto"/>
            </w:tcBorders>
            <w:vAlign w:val="center"/>
          </w:tcPr>
          <w:p w14:paraId="3B32872A"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single" w:sz="4" w:space="0" w:color="auto"/>
            </w:tcBorders>
            <w:vAlign w:val="center"/>
          </w:tcPr>
          <w:p w14:paraId="1C7832C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nil"/>
              <w:bottom w:val="single" w:sz="4" w:space="0" w:color="auto"/>
            </w:tcBorders>
            <w:vAlign w:val="center"/>
          </w:tcPr>
          <w:p w14:paraId="4A417C1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nil"/>
              <w:bottom w:val="single" w:sz="4" w:space="0" w:color="auto"/>
            </w:tcBorders>
            <w:vAlign w:val="center"/>
          </w:tcPr>
          <w:p w14:paraId="4D42A99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nil"/>
              <w:bottom w:val="single" w:sz="4" w:space="0" w:color="auto"/>
              <w:right w:val="nil"/>
            </w:tcBorders>
            <w:vAlign w:val="center"/>
          </w:tcPr>
          <w:p w14:paraId="116FFB6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7.4%</w:t>
            </w:r>
          </w:p>
        </w:tc>
        <w:tc>
          <w:tcPr>
            <w:tcW w:w="1241" w:type="dxa"/>
            <w:tcBorders>
              <w:top w:val="nil"/>
              <w:bottom w:val="single" w:sz="4" w:space="0" w:color="auto"/>
              <w:right w:val="nil"/>
            </w:tcBorders>
            <w:vAlign w:val="center"/>
          </w:tcPr>
          <w:p w14:paraId="100BEB6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nil"/>
              <w:bottom w:val="single" w:sz="4" w:space="0" w:color="auto"/>
              <w:right w:val="single" w:sz="4" w:space="0" w:color="auto"/>
            </w:tcBorders>
            <w:vAlign w:val="center"/>
          </w:tcPr>
          <w:p w14:paraId="345240C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r>
      <w:tr w:rsidR="004651C7" w14:paraId="09462EF9" w14:textId="77777777">
        <w:trPr>
          <w:trHeight w:val="160"/>
          <w:jc w:val="center"/>
        </w:trPr>
        <w:tc>
          <w:tcPr>
            <w:tcW w:w="854" w:type="dxa"/>
            <w:vMerge w:val="restart"/>
            <w:tcBorders>
              <w:left w:val="single" w:sz="4" w:space="0" w:color="auto"/>
            </w:tcBorders>
            <w:vAlign w:val="center"/>
          </w:tcPr>
          <w:p w14:paraId="625827B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中国</w:t>
            </w:r>
          </w:p>
        </w:tc>
        <w:tc>
          <w:tcPr>
            <w:tcW w:w="1280" w:type="dxa"/>
            <w:tcBorders>
              <w:bottom w:val="nil"/>
            </w:tcBorders>
            <w:vAlign w:val="center"/>
          </w:tcPr>
          <w:p w14:paraId="6AF76CD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TFP</w:t>
            </w:r>
            <w:r>
              <w:rPr>
                <w:rFonts w:eastAsia="宋体" w:cs="Times New Roman"/>
                <w:sz w:val="21"/>
                <w:szCs w:val="21"/>
              </w:rPr>
              <w:t>增速</w:t>
            </w:r>
            <w:r>
              <w:rPr>
                <w:rFonts w:eastAsia="宋体" w:cs="Times New Roman"/>
                <w:sz w:val="21"/>
                <w:szCs w:val="21"/>
                <w:vertAlign w:val="superscript"/>
              </w:rPr>
              <w:t>2</w:t>
            </w:r>
          </w:p>
        </w:tc>
        <w:tc>
          <w:tcPr>
            <w:tcW w:w="1241" w:type="dxa"/>
            <w:tcBorders>
              <w:bottom w:val="nil"/>
            </w:tcBorders>
            <w:vAlign w:val="center"/>
          </w:tcPr>
          <w:p w14:paraId="31186A0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.10</w:t>
            </w:r>
          </w:p>
        </w:tc>
        <w:tc>
          <w:tcPr>
            <w:tcW w:w="1241" w:type="dxa"/>
            <w:tcBorders>
              <w:bottom w:val="nil"/>
            </w:tcBorders>
            <w:vAlign w:val="center"/>
          </w:tcPr>
          <w:p w14:paraId="10A7447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0.27</w:t>
            </w:r>
          </w:p>
        </w:tc>
        <w:tc>
          <w:tcPr>
            <w:tcW w:w="1241" w:type="dxa"/>
            <w:tcBorders>
              <w:bottom w:val="nil"/>
              <w:right w:val="nil"/>
            </w:tcBorders>
            <w:shd w:val="clear" w:color="auto" w:fill="FFF2CC"/>
            <w:vAlign w:val="center"/>
          </w:tcPr>
          <w:p w14:paraId="7BFA412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.57</w:t>
            </w:r>
          </w:p>
        </w:tc>
        <w:tc>
          <w:tcPr>
            <w:tcW w:w="1241" w:type="dxa"/>
            <w:tcBorders>
              <w:bottom w:val="nil"/>
              <w:right w:val="nil"/>
            </w:tcBorders>
            <w:vAlign w:val="center"/>
          </w:tcPr>
          <w:p w14:paraId="4AA155C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0.21</w:t>
            </w:r>
          </w:p>
        </w:tc>
        <w:tc>
          <w:tcPr>
            <w:tcW w:w="1241" w:type="dxa"/>
            <w:tcBorders>
              <w:bottom w:val="nil"/>
              <w:right w:val="single" w:sz="4" w:space="0" w:color="auto"/>
            </w:tcBorders>
            <w:vAlign w:val="center"/>
          </w:tcPr>
          <w:p w14:paraId="2A653F9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.54</w:t>
            </w:r>
          </w:p>
        </w:tc>
      </w:tr>
      <w:tr w:rsidR="004651C7" w14:paraId="382202B5" w14:textId="77777777">
        <w:trPr>
          <w:trHeight w:val="160"/>
          <w:jc w:val="center"/>
        </w:trPr>
        <w:tc>
          <w:tcPr>
            <w:tcW w:w="854" w:type="dxa"/>
            <w:vMerge/>
            <w:tcBorders>
              <w:left w:val="single" w:sz="4" w:space="0" w:color="auto"/>
            </w:tcBorders>
            <w:vAlign w:val="center"/>
          </w:tcPr>
          <w:p w14:paraId="6484BE20"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nil"/>
            </w:tcBorders>
            <w:vAlign w:val="center"/>
          </w:tcPr>
          <w:p w14:paraId="537ED04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GDP</w:t>
            </w:r>
            <w:r>
              <w:rPr>
                <w:rFonts w:eastAsia="宋体" w:cs="Times New Roman"/>
                <w:sz w:val="21"/>
                <w:szCs w:val="21"/>
              </w:rPr>
              <w:t>增速</w:t>
            </w:r>
          </w:p>
        </w:tc>
        <w:tc>
          <w:tcPr>
            <w:tcW w:w="1241" w:type="dxa"/>
            <w:tcBorders>
              <w:top w:val="nil"/>
              <w:bottom w:val="nil"/>
            </w:tcBorders>
            <w:vAlign w:val="center"/>
          </w:tcPr>
          <w:p w14:paraId="4308266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9</w:t>
            </w:r>
            <w:r>
              <w:rPr>
                <w:rFonts w:eastAsia="宋体" w:cs="Times New Roman"/>
                <w:sz w:val="21"/>
                <w:szCs w:val="21"/>
              </w:rPr>
              <w:t>.69</w:t>
            </w:r>
          </w:p>
        </w:tc>
        <w:tc>
          <w:tcPr>
            <w:tcW w:w="1241" w:type="dxa"/>
            <w:tcBorders>
              <w:top w:val="nil"/>
              <w:bottom w:val="nil"/>
            </w:tcBorders>
            <w:vAlign w:val="center"/>
          </w:tcPr>
          <w:p w14:paraId="2AB620A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9</w:t>
            </w:r>
            <w:r>
              <w:rPr>
                <w:rFonts w:eastAsia="宋体" w:cs="Times New Roman"/>
                <w:sz w:val="21"/>
                <w:szCs w:val="21"/>
              </w:rPr>
              <w:t>.95</w:t>
            </w:r>
          </w:p>
        </w:tc>
        <w:tc>
          <w:tcPr>
            <w:tcW w:w="1241" w:type="dxa"/>
            <w:tcBorders>
              <w:top w:val="nil"/>
              <w:bottom w:val="nil"/>
              <w:right w:val="nil"/>
            </w:tcBorders>
            <w:vAlign w:val="center"/>
          </w:tcPr>
          <w:p w14:paraId="280E607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0.34</w:t>
            </w:r>
          </w:p>
        </w:tc>
        <w:tc>
          <w:tcPr>
            <w:tcW w:w="1241" w:type="dxa"/>
            <w:tcBorders>
              <w:top w:val="nil"/>
              <w:bottom w:val="nil"/>
              <w:right w:val="nil"/>
            </w:tcBorders>
            <w:vAlign w:val="center"/>
          </w:tcPr>
          <w:p w14:paraId="4A983E0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7</w:t>
            </w:r>
            <w:r>
              <w:rPr>
                <w:rFonts w:eastAsia="宋体" w:cs="Times New Roman"/>
                <w:sz w:val="21"/>
                <w:szCs w:val="21"/>
              </w:rPr>
              <w:t>.67</w:t>
            </w:r>
          </w:p>
        </w:tc>
        <w:tc>
          <w:tcPr>
            <w:tcW w:w="1241" w:type="dxa"/>
            <w:tcBorders>
              <w:top w:val="nil"/>
              <w:bottom w:val="nil"/>
              <w:right w:val="single" w:sz="4" w:space="0" w:color="auto"/>
            </w:tcBorders>
            <w:vAlign w:val="center"/>
          </w:tcPr>
          <w:p w14:paraId="4D90693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9</w:t>
            </w:r>
            <w:r>
              <w:rPr>
                <w:rFonts w:eastAsia="宋体" w:cs="Times New Roman"/>
                <w:sz w:val="21"/>
                <w:szCs w:val="21"/>
              </w:rPr>
              <w:t>.41</w:t>
            </w:r>
          </w:p>
        </w:tc>
      </w:tr>
      <w:tr w:rsidR="004651C7" w14:paraId="2FA3E490" w14:textId="77777777">
        <w:trPr>
          <w:trHeight w:val="29"/>
          <w:jc w:val="center"/>
        </w:trPr>
        <w:tc>
          <w:tcPr>
            <w:tcW w:w="854" w:type="dxa"/>
            <w:vMerge/>
            <w:tcBorders>
              <w:left w:val="single" w:sz="4" w:space="0" w:color="auto"/>
              <w:bottom w:val="single" w:sz="4" w:space="0" w:color="auto"/>
            </w:tcBorders>
            <w:vAlign w:val="center"/>
          </w:tcPr>
          <w:p w14:paraId="0BCEA06A"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0" w:type="dxa"/>
            <w:tcBorders>
              <w:top w:val="nil"/>
              <w:bottom w:val="single" w:sz="4" w:space="0" w:color="auto"/>
            </w:tcBorders>
            <w:vAlign w:val="center"/>
          </w:tcPr>
          <w:p w14:paraId="10ECC10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贡献率</w:t>
            </w:r>
          </w:p>
        </w:tc>
        <w:tc>
          <w:tcPr>
            <w:tcW w:w="1241" w:type="dxa"/>
            <w:tcBorders>
              <w:top w:val="nil"/>
              <w:bottom w:val="single" w:sz="4" w:space="0" w:color="auto"/>
            </w:tcBorders>
            <w:vAlign w:val="center"/>
          </w:tcPr>
          <w:p w14:paraId="65B4E33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.0%</w:t>
            </w:r>
          </w:p>
        </w:tc>
        <w:tc>
          <w:tcPr>
            <w:tcW w:w="1241" w:type="dxa"/>
            <w:tcBorders>
              <w:top w:val="nil"/>
              <w:bottom w:val="single" w:sz="4" w:space="0" w:color="auto"/>
            </w:tcBorders>
            <w:vAlign w:val="center"/>
          </w:tcPr>
          <w:p w14:paraId="677D49A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nil"/>
              <w:bottom w:val="single" w:sz="4" w:space="0" w:color="auto"/>
              <w:right w:val="nil"/>
            </w:tcBorders>
            <w:vAlign w:val="center"/>
          </w:tcPr>
          <w:p w14:paraId="4C7FB75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4.8%</w:t>
            </w:r>
          </w:p>
        </w:tc>
        <w:tc>
          <w:tcPr>
            <w:tcW w:w="1241" w:type="dxa"/>
            <w:tcBorders>
              <w:top w:val="nil"/>
              <w:bottom w:val="single" w:sz="4" w:space="0" w:color="auto"/>
              <w:right w:val="nil"/>
            </w:tcBorders>
            <w:vAlign w:val="center"/>
          </w:tcPr>
          <w:p w14:paraId="5AA8F0A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1241" w:type="dxa"/>
            <w:tcBorders>
              <w:top w:val="nil"/>
              <w:bottom w:val="single" w:sz="4" w:space="0" w:color="auto"/>
              <w:right w:val="single" w:sz="4" w:space="0" w:color="auto"/>
            </w:tcBorders>
            <w:vAlign w:val="center"/>
          </w:tcPr>
          <w:p w14:paraId="1E25EA8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5</w:t>
            </w:r>
            <w:r>
              <w:rPr>
                <w:rFonts w:eastAsia="宋体" w:cs="Times New Roman"/>
                <w:sz w:val="21"/>
                <w:szCs w:val="21"/>
              </w:rPr>
              <w:t>.7%</w:t>
            </w:r>
          </w:p>
        </w:tc>
      </w:tr>
    </w:tbl>
    <w:p w14:paraId="3D842AC6" w14:textId="77777777" w:rsidR="004651C7" w:rsidRDefault="00BF798C">
      <w:pPr>
        <w:pStyle w:val="afffe"/>
      </w:pPr>
      <w:r>
        <w:t>注：</w:t>
      </w:r>
      <w:r>
        <w:rPr>
          <w:rFonts w:hint="eastAsia"/>
        </w:rPr>
        <w:t>1</w:t>
      </w:r>
      <w:r>
        <w:t>.</w:t>
      </w:r>
      <w:r>
        <w:rPr>
          <w:rFonts w:hint="eastAsia"/>
        </w:rPr>
        <w:t>贡献率</w:t>
      </w:r>
      <w:r>
        <w:rPr>
          <w:rFonts w:hint="eastAsia"/>
        </w:rPr>
        <w:t>=</w:t>
      </w:r>
      <w:r>
        <w:t>100*</w:t>
      </w:r>
      <w:r>
        <w:rPr>
          <w:rFonts w:hint="eastAsia"/>
        </w:rPr>
        <w:t>（</w:t>
      </w:r>
      <w:r>
        <w:t>TFP</w:t>
      </w:r>
      <w:r>
        <w:rPr>
          <w:rFonts w:hint="eastAsia"/>
        </w:rPr>
        <w:t>增速</w:t>
      </w:r>
      <w:r>
        <w:rPr>
          <w:rFonts w:hint="eastAsia"/>
        </w:rPr>
        <w:t>/GDP</w:t>
      </w:r>
      <w:r>
        <w:rPr>
          <w:rFonts w:hint="eastAsia"/>
        </w:rPr>
        <w:t>增速）。</w:t>
      </w:r>
      <w:r>
        <w:rPr>
          <w:rFonts w:hint="eastAsia"/>
        </w:rPr>
        <w:t>2</w:t>
      </w:r>
      <w:r>
        <w:t>.</w:t>
      </w:r>
      <w:r>
        <w:rPr>
          <w:rFonts w:hint="eastAsia"/>
        </w:rPr>
        <w:t>中国</w:t>
      </w:r>
      <w:r>
        <w:rPr>
          <w:rFonts w:hint="eastAsia"/>
        </w:rPr>
        <w:t>TFP</w:t>
      </w:r>
      <w:r>
        <w:rPr>
          <w:rFonts w:hint="eastAsia"/>
        </w:rPr>
        <w:t>增速可能存在严重低估，因此不参与国际比较。</w:t>
      </w:r>
    </w:p>
    <w:p w14:paraId="1269CC31" w14:textId="77777777" w:rsidR="004651C7" w:rsidRDefault="004651C7">
      <w:pPr>
        <w:pStyle w:val="afffc"/>
      </w:pPr>
    </w:p>
    <w:p w14:paraId="7FCB3A9B"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同时，</w:t>
      </w:r>
      <w:r>
        <w:rPr>
          <w:rFonts w:eastAsia="宋体" w:cs="Times New Roman" w:hint="eastAsia"/>
          <w:sz w:val="24"/>
          <w:szCs w:val="22"/>
        </w:rPr>
        <w:t>1</w:t>
      </w:r>
      <w:r>
        <w:rPr>
          <w:rFonts w:eastAsia="宋体" w:cs="Times New Roman"/>
          <w:sz w:val="24"/>
          <w:szCs w:val="22"/>
        </w:rPr>
        <w:t>956</w:t>
      </w:r>
      <w:r>
        <w:rPr>
          <w:rFonts w:eastAsia="宋体" w:cs="Times New Roman" w:hint="eastAsia"/>
          <w:sz w:val="24"/>
          <w:szCs w:val="22"/>
        </w:rPr>
        <w:t>—</w:t>
      </w:r>
      <w:r>
        <w:rPr>
          <w:rFonts w:eastAsia="宋体" w:cs="Times New Roman" w:hint="eastAsia"/>
          <w:sz w:val="24"/>
          <w:szCs w:val="22"/>
        </w:rPr>
        <w:t>2</w:t>
      </w:r>
      <w:r>
        <w:rPr>
          <w:rFonts w:eastAsia="宋体" w:cs="Times New Roman"/>
          <w:sz w:val="24"/>
          <w:szCs w:val="22"/>
        </w:rPr>
        <w:t>019</w:t>
      </w:r>
      <w:r>
        <w:rPr>
          <w:rFonts w:eastAsia="宋体" w:cs="Times New Roman" w:hint="eastAsia"/>
          <w:sz w:val="24"/>
          <w:szCs w:val="22"/>
        </w:rPr>
        <w:t>年我国不变价</w:t>
      </w:r>
      <w:r>
        <w:rPr>
          <w:rFonts w:eastAsia="宋体" w:cs="Times New Roman" w:hint="eastAsia"/>
          <w:sz w:val="24"/>
          <w:szCs w:val="22"/>
        </w:rPr>
        <w:t>TFP</w:t>
      </w:r>
      <w:r>
        <w:rPr>
          <w:rFonts w:eastAsia="宋体" w:cs="Times New Roman" w:hint="eastAsia"/>
          <w:sz w:val="24"/>
          <w:szCs w:val="22"/>
        </w:rPr>
        <w:t>数据及其对经济增长的贡献率呈现出以下特点：</w:t>
      </w:r>
    </w:p>
    <w:p w14:paraId="32943F1A" w14:textId="77777777" w:rsidR="004651C7" w:rsidRDefault="00BF798C">
      <w:pPr>
        <w:overflowPunct w:val="0"/>
        <w:spacing w:line="360" w:lineRule="auto"/>
        <w:ind w:firstLine="480"/>
        <w:rPr>
          <w:rFonts w:eastAsia="宋体" w:cs="Times New Roman"/>
          <w:sz w:val="24"/>
          <w:szCs w:val="22"/>
        </w:rPr>
      </w:pPr>
      <w:bookmarkStart w:id="87" w:name="_Hlk87396083"/>
      <w:r>
        <w:rPr>
          <w:rFonts w:eastAsia="宋体" w:cs="Times New Roman" w:hint="eastAsia"/>
          <w:sz w:val="24"/>
          <w:szCs w:val="22"/>
        </w:rPr>
        <w:t>一是在</w:t>
      </w:r>
      <w:r>
        <w:rPr>
          <w:rFonts w:eastAsia="宋体" w:cs="Times New Roman" w:hint="eastAsia"/>
          <w:sz w:val="24"/>
          <w:szCs w:val="22"/>
        </w:rPr>
        <w:t>6</w:t>
      </w:r>
      <w:r>
        <w:rPr>
          <w:rFonts w:eastAsia="宋体" w:cs="Times New Roman"/>
          <w:sz w:val="24"/>
          <w:szCs w:val="22"/>
        </w:rPr>
        <w:t>3</w:t>
      </w:r>
      <w:r>
        <w:rPr>
          <w:rFonts w:eastAsia="宋体" w:cs="Times New Roman" w:hint="eastAsia"/>
          <w:sz w:val="24"/>
          <w:szCs w:val="22"/>
        </w:rPr>
        <w:t>个观测期内，</w:t>
      </w:r>
      <w:r>
        <w:rPr>
          <w:rFonts w:eastAsia="宋体" w:cs="Times New Roman" w:hint="eastAsia"/>
          <w:sz w:val="24"/>
          <w:szCs w:val="22"/>
        </w:rPr>
        <w:t>TFP</w:t>
      </w:r>
      <w:r>
        <w:rPr>
          <w:rFonts w:eastAsia="宋体" w:cs="Times New Roman" w:hint="eastAsia"/>
          <w:sz w:val="24"/>
          <w:szCs w:val="22"/>
        </w:rPr>
        <w:t>正增长年份有</w:t>
      </w:r>
      <w:r>
        <w:rPr>
          <w:rFonts w:eastAsia="宋体" w:cs="Times New Roman" w:hint="eastAsia"/>
          <w:sz w:val="24"/>
          <w:szCs w:val="22"/>
        </w:rPr>
        <w:t>3</w:t>
      </w:r>
      <w:r>
        <w:rPr>
          <w:rFonts w:eastAsia="宋体" w:cs="Times New Roman"/>
          <w:sz w:val="24"/>
          <w:szCs w:val="22"/>
        </w:rPr>
        <w:t>7</w:t>
      </w:r>
      <w:r>
        <w:rPr>
          <w:rFonts w:eastAsia="宋体" w:cs="Times New Roman" w:hint="eastAsia"/>
          <w:sz w:val="24"/>
          <w:szCs w:val="22"/>
        </w:rPr>
        <w:t>个，占</w:t>
      </w:r>
      <w:r>
        <w:rPr>
          <w:rFonts w:eastAsia="宋体" w:cs="Times New Roman" w:hint="eastAsia"/>
          <w:sz w:val="24"/>
          <w:szCs w:val="22"/>
        </w:rPr>
        <w:t>5</w:t>
      </w:r>
      <w:r>
        <w:rPr>
          <w:rFonts w:eastAsia="宋体" w:cs="Times New Roman"/>
          <w:sz w:val="24"/>
          <w:szCs w:val="22"/>
        </w:rPr>
        <w:t>9%</w:t>
      </w:r>
      <w:r>
        <w:rPr>
          <w:rFonts w:eastAsia="宋体" w:cs="Times New Roman" w:hint="eastAsia"/>
          <w:sz w:val="24"/>
          <w:szCs w:val="22"/>
        </w:rPr>
        <w:t>。负贡献年份有</w:t>
      </w:r>
      <w:r>
        <w:rPr>
          <w:rFonts w:eastAsia="宋体" w:cs="Times New Roman" w:hint="eastAsia"/>
          <w:sz w:val="24"/>
          <w:szCs w:val="22"/>
        </w:rPr>
        <w:t>2</w:t>
      </w:r>
      <w:r>
        <w:rPr>
          <w:rFonts w:eastAsia="宋体" w:cs="Times New Roman"/>
          <w:sz w:val="24"/>
          <w:szCs w:val="22"/>
        </w:rPr>
        <w:t>6</w:t>
      </w:r>
      <w:r>
        <w:rPr>
          <w:rFonts w:eastAsia="宋体" w:cs="Times New Roman" w:hint="eastAsia"/>
          <w:sz w:val="24"/>
          <w:szCs w:val="22"/>
        </w:rPr>
        <w:t>个，占</w:t>
      </w:r>
      <w:r>
        <w:rPr>
          <w:rFonts w:eastAsia="宋体" w:cs="Times New Roman" w:hint="eastAsia"/>
          <w:sz w:val="24"/>
          <w:szCs w:val="22"/>
        </w:rPr>
        <w:t>4</w:t>
      </w:r>
      <w:r>
        <w:rPr>
          <w:rFonts w:eastAsia="宋体" w:cs="Times New Roman"/>
          <w:sz w:val="24"/>
          <w:szCs w:val="22"/>
        </w:rPr>
        <w:t>1%</w:t>
      </w:r>
      <w:r>
        <w:rPr>
          <w:rFonts w:eastAsia="宋体" w:cs="Times New Roman" w:hint="eastAsia"/>
          <w:sz w:val="24"/>
          <w:szCs w:val="22"/>
        </w:rPr>
        <w:t>。</w:t>
      </w:r>
      <w:bookmarkEnd w:id="87"/>
      <w:r>
        <w:rPr>
          <w:rFonts w:eastAsia="宋体" w:cs="Times New Roman" w:hint="eastAsia"/>
          <w:sz w:val="24"/>
          <w:szCs w:val="22"/>
        </w:rPr>
        <w:t>其中，</w:t>
      </w:r>
      <w:r>
        <w:rPr>
          <w:rFonts w:eastAsia="宋体" w:cs="Times New Roman" w:hint="eastAsia"/>
          <w:sz w:val="24"/>
          <w:szCs w:val="22"/>
        </w:rPr>
        <w:t>TFP</w:t>
      </w:r>
      <w:r>
        <w:rPr>
          <w:rFonts w:eastAsia="宋体" w:cs="Times New Roman" w:hint="eastAsia"/>
          <w:sz w:val="24"/>
          <w:szCs w:val="22"/>
        </w:rPr>
        <w:t>下降、</w:t>
      </w:r>
      <w:r>
        <w:rPr>
          <w:rFonts w:eastAsia="宋体" w:cs="Times New Roman" w:hint="eastAsia"/>
          <w:sz w:val="24"/>
          <w:szCs w:val="22"/>
        </w:rPr>
        <w:t>GDP</w:t>
      </w:r>
      <w:r>
        <w:rPr>
          <w:rFonts w:eastAsia="宋体" w:cs="Times New Roman" w:hint="eastAsia"/>
          <w:sz w:val="24"/>
          <w:szCs w:val="22"/>
        </w:rPr>
        <w:t>下降的组合共</w:t>
      </w:r>
      <w:r>
        <w:rPr>
          <w:rFonts w:eastAsia="宋体" w:cs="Times New Roman" w:hint="eastAsia"/>
          <w:sz w:val="24"/>
          <w:szCs w:val="22"/>
        </w:rPr>
        <w:t>4</w:t>
      </w:r>
      <w:r>
        <w:rPr>
          <w:rFonts w:eastAsia="宋体" w:cs="Times New Roman" w:hint="eastAsia"/>
          <w:sz w:val="24"/>
          <w:szCs w:val="22"/>
        </w:rPr>
        <w:t>个；</w:t>
      </w:r>
      <w:r>
        <w:rPr>
          <w:rFonts w:eastAsia="宋体" w:cs="Times New Roman" w:hint="eastAsia"/>
          <w:sz w:val="24"/>
          <w:szCs w:val="22"/>
        </w:rPr>
        <w:t>TFP</w:t>
      </w:r>
      <w:r>
        <w:rPr>
          <w:rFonts w:eastAsia="宋体" w:cs="Times New Roman" w:hint="eastAsia"/>
          <w:sz w:val="24"/>
          <w:szCs w:val="22"/>
        </w:rPr>
        <w:t>下降、</w:t>
      </w:r>
      <w:r>
        <w:rPr>
          <w:rFonts w:eastAsia="宋体" w:cs="Times New Roman" w:hint="eastAsia"/>
          <w:sz w:val="24"/>
          <w:szCs w:val="22"/>
        </w:rPr>
        <w:t>GDP</w:t>
      </w:r>
      <w:r>
        <w:rPr>
          <w:rFonts w:eastAsia="宋体" w:cs="Times New Roman" w:hint="eastAsia"/>
          <w:sz w:val="24"/>
          <w:szCs w:val="22"/>
        </w:rPr>
        <w:t>增长的组合共</w:t>
      </w:r>
      <w:r>
        <w:rPr>
          <w:rFonts w:eastAsia="宋体" w:cs="Times New Roman"/>
          <w:sz w:val="24"/>
          <w:szCs w:val="22"/>
        </w:rPr>
        <w:t>22</w:t>
      </w:r>
      <w:r>
        <w:rPr>
          <w:rFonts w:eastAsia="宋体" w:cs="Times New Roman" w:hint="eastAsia"/>
          <w:sz w:val="24"/>
          <w:szCs w:val="22"/>
        </w:rPr>
        <w:t>个。</w:t>
      </w:r>
      <w:bookmarkStart w:id="88" w:name="_Hlk87396118"/>
    </w:p>
    <w:p w14:paraId="7C458668"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二是仅统计贡献率正常的年份（</w:t>
      </w:r>
      <w:r>
        <w:rPr>
          <w:rFonts w:eastAsia="宋体" w:cs="Times New Roman" w:hint="eastAsia"/>
          <w:sz w:val="24"/>
          <w:szCs w:val="22"/>
        </w:rPr>
        <w:t>TFP</w:t>
      </w:r>
      <w:r>
        <w:rPr>
          <w:rFonts w:eastAsia="宋体" w:cs="Times New Roman" w:hint="eastAsia"/>
          <w:sz w:val="24"/>
          <w:szCs w:val="22"/>
        </w:rPr>
        <w:t>、</w:t>
      </w:r>
      <w:r>
        <w:rPr>
          <w:rFonts w:eastAsia="宋体" w:cs="Times New Roman" w:hint="eastAsia"/>
          <w:sz w:val="24"/>
          <w:szCs w:val="22"/>
        </w:rPr>
        <w:t>GDP</w:t>
      </w:r>
      <w:r>
        <w:rPr>
          <w:rFonts w:eastAsia="宋体" w:cs="Times New Roman" w:hint="eastAsia"/>
          <w:sz w:val="24"/>
          <w:szCs w:val="22"/>
        </w:rPr>
        <w:t>同增长或同下降），</w:t>
      </w:r>
      <w:r>
        <w:rPr>
          <w:rFonts w:eastAsia="宋体" w:cs="Times New Roman" w:hint="eastAsia"/>
          <w:sz w:val="24"/>
          <w:szCs w:val="22"/>
        </w:rPr>
        <w:t>TFP</w:t>
      </w:r>
      <w:r>
        <w:rPr>
          <w:rFonts w:eastAsia="宋体" w:cs="Times New Roman" w:hint="eastAsia"/>
          <w:sz w:val="24"/>
          <w:szCs w:val="22"/>
        </w:rPr>
        <w:t>平均增长率为</w:t>
      </w:r>
      <w:r>
        <w:rPr>
          <w:rFonts w:eastAsia="宋体" w:cs="Times New Roman"/>
          <w:sz w:val="24"/>
          <w:szCs w:val="22"/>
        </w:rPr>
        <w:t>1.59%</w:t>
      </w:r>
      <w:r>
        <w:rPr>
          <w:rFonts w:eastAsia="宋体" w:cs="Times New Roman" w:hint="eastAsia"/>
          <w:sz w:val="24"/>
          <w:szCs w:val="22"/>
        </w:rPr>
        <w:t>，对经济增长的贡献率均值为</w:t>
      </w:r>
      <w:r>
        <w:rPr>
          <w:rFonts w:eastAsia="宋体" w:cs="Times New Roman"/>
          <w:sz w:val="24"/>
          <w:szCs w:val="22"/>
        </w:rPr>
        <w:t>18.2%</w:t>
      </w:r>
      <w:r>
        <w:rPr>
          <w:rFonts w:eastAsia="宋体" w:cs="Times New Roman" w:hint="eastAsia"/>
          <w:sz w:val="24"/>
          <w:szCs w:val="22"/>
        </w:rPr>
        <w:t>。</w:t>
      </w:r>
    </w:p>
    <w:p w14:paraId="12424C4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三是</w:t>
      </w:r>
      <w:bookmarkStart w:id="89" w:name="_Hlk87396132"/>
      <w:bookmarkEnd w:id="88"/>
      <w:r>
        <w:rPr>
          <w:rFonts w:eastAsia="宋体" w:cs="Times New Roman" w:hint="eastAsia"/>
          <w:sz w:val="24"/>
          <w:szCs w:val="22"/>
        </w:rPr>
        <w:t>TFP</w:t>
      </w:r>
      <w:r>
        <w:rPr>
          <w:rFonts w:eastAsia="宋体" w:cs="Times New Roman" w:hint="eastAsia"/>
          <w:sz w:val="24"/>
          <w:szCs w:val="22"/>
        </w:rPr>
        <w:t>增长与经济增长之间存在显著的正相关关系，</w:t>
      </w:r>
      <w:r>
        <w:rPr>
          <w:rFonts w:eastAsia="宋体" w:cs="Times New Roman" w:hint="eastAsia"/>
          <w:sz w:val="24"/>
          <w:szCs w:val="22"/>
        </w:rPr>
        <w:t>1</w:t>
      </w:r>
      <w:r>
        <w:rPr>
          <w:rFonts w:eastAsia="宋体" w:cs="Times New Roman"/>
          <w:sz w:val="24"/>
          <w:szCs w:val="22"/>
        </w:rPr>
        <w:t>960</w:t>
      </w:r>
      <w:r>
        <w:rPr>
          <w:rFonts w:eastAsia="宋体" w:cs="Times New Roman" w:hint="eastAsia"/>
          <w:sz w:val="24"/>
          <w:szCs w:val="22"/>
        </w:rPr>
        <w:t>—</w:t>
      </w:r>
      <w:r>
        <w:rPr>
          <w:rFonts w:eastAsia="宋体" w:cs="Times New Roman" w:hint="eastAsia"/>
          <w:sz w:val="24"/>
          <w:szCs w:val="22"/>
        </w:rPr>
        <w:t>2</w:t>
      </w:r>
      <w:r>
        <w:rPr>
          <w:rFonts w:eastAsia="宋体" w:cs="Times New Roman"/>
          <w:sz w:val="24"/>
          <w:szCs w:val="22"/>
        </w:rPr>
        <w:t>019</w:t>
      </w:r>
      <w:r>
        <w:rPr>
          <w:rFonts w:eastAsia="宋体" w:cs="Times New Roman" w:hint="eastAsia"/>
          <w:sz w:val="24"/>
          <w:szCs w:val="22"/>
        </w:rPr>
        <w:t>年的相关系数为</w:t>
      </w:r>
      <w:r>
        <w:rPr>
          <w:rFonts w:eastAsia="宋体" w:cs="Times New Roman" w:hint="eastAsia"/>
          <w:sz w:val="24"/>
          <w:szCs w:val="22"/>
        </w:rPr>
        <w:t>0</w:t>
      </w:r>
      <w:r>
        <w:rPr>
          <w:rFonts w:eastAsia="宋体" w:cs="Times New Roman"/>
          <w:sz w:val="24"/>
          <w:szCs w:val="22"/>
        </w:rPr>
        <w:t>.7568</w:t>
      </w:r>
      <w:r>
        <w:rPr>
          <w:rFonts w:eastAsia="宋体" w:cs="Times New Roman" w:hint="eastAsia"/>
          <w:sz w:val="24"/>
          <w:szCs w:val="22"/>
        </w:rPr>
        <w:t>。</w:t>
      </w:r>
    </w:p>
    <w:p w14:paraId="1475FE04"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四是</w:t>
      </w:r>
      <w:bookmarkStart w:id="90" w:name="_Hlk87396146"/>
      <w:bookmarkEnd w:id="89"/>
      <w:r>
        <w:rPr>
          <w:rFonts w:eastAsia="宋体" w:cs="Times New Roman" w:hint="eastAsia"/>
          <w:sz w:val="24"/>
          <w:szCs w:val="22"/>
        </w:rPr>
        <w:t>TFP</w:t>
      </w:r>
      <w:r>
        <w:rPr>
          <w:rFonts w:eastAsia="宋体" w:cs="Times New Roman" w:hint="eastAsia"/>
          <w:sz w:val="24"/>
          <w:szCs w:val="22"/>
        </w:rPr>
        <w:t>增长既稳健又较快的时期发生在</w:t>
      </w:r>
      <w:r>
        <w:rPr>
          <w:rFonts w:eastAsia="宋体" w:cs="Times New Roman" w:hint="eastAsia"/>
          <w:sz w:val="24"/>
          <w:szCs w:val="22"/>
        </w:rPr>
        <w:t>2</w:t>
      </w:r>
      <w:r>
        <w:rPr>
          <w:rFonts w:eastAsia="宋体" w:cs="Times New Roman"/>
          <w:sz w:val="24"/>
          <w:szCs w:val="22"/>
        </w:rPr>
        <w:t>000</w:t>
      </w:r>
      <w:r>
        <w:rPr>
          <w:rFonts w:eastAsia="宋体" w:cs="Times New Roman" w:hint="eastAsia"/>
          <w:sz w:val="24"/>
          <w:szCs w:val="22"/>
        </w:rPr>
        <w:t>—</w:t>
      </w:r>
      <w:r>
        <w:rPr>
          <w:rFonts w:eastAsia="宋体" w:cs="Times New Roman" w:hint="eastAsia"/>
          <w:sz w:val="24"/>
          <w:szCs w:val="22"/>
        </w:rPr>
        <w:t>2</w:t>
      </w:r>
      <w:r>
        <w:rPr>
          <w:rFonts w:eastAsia="宋体" w:cs="Times New Roman"/>
          <w:sz w:val="24"/>
          <w:szCs w:val="22"/>
        </w:rPr>
        <w:t>009</w:t>
      </w:r>
      <w:r>
        <w:rPr>
          <w:rFonts w:eastAsia="宋体" w:cs="Times New Roman" w:hint="eastAsia"/>
          <w:sz w:val="24"/>
          <w:szCs w:val="22"/>
        </w:rPr>
        <w:t>年，主要得益于我国加入</w:t>
      </w:r>
      <w:r>
        <w:rPr>
          <w:rFonts w:eastAsia="宋体" w:cs="Times New Roman" w:hint="eastAsia"/>
          <w:sz w:val="24"/>
          <w:szCs w:val="22"/>
        </w:rPr>
        <w:t>WTO</w:t>
      </w:r>
      <w:r>
        <w:rPr>
          <w:rFonts w:eastAsia="宋体" w:cs="Times New Roman" w:hint="eastAsia"/>
          <w:sz w:val="24"/>
          <w:szCs w:val="22"/>
        </w:rPr>
        <w:t>，积极融入全球生产供应体系和国际贸易体系，外部市场规模大幅拓展；同时国内经济体制改革提速，国企改革红利效应稳步释放，经济活力大幅增强。</w:t>
      </w:r>
      <w:bookmarkStart w:id="91" w:name="_Hlk87396160"/>
      <w:bookmarkEnd w:id="90"/>
    </w:p>
    <w:p w14:paraId="0D9EA35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五是经济下行期间</w:t>
      </w:r>
      <w:r>
        <w:rPr>
          <w:rFonts w:eastAsia="宋体" w:cs="Times New Roman" w:hint="eastAsia"/>
          <w:sz w:val="24"/>
          <w:szCs w:val="22"/>
        </w:rPr>
        <w:t>T</w:t>
      </w:r>
      <w:r>
        <w:rPr>
          <w:rFonts w:eastAsia="宋体" w:cs="Times New Roman"/>
          <w:sz w:val="24"/>
          <w:szCs w:val="22"/>
        </w:rPr>
        <w:t>FP</w:t>
      </w:r>
      <w:r>
        <w:rPr>
          <w:rFonts w:eastAsia="宋体" w:cs="Times New Roman" w:hint="eastAsia"/>
          <w:sz w:val="24"/>
          <w:szCs w:val="22"/>
        </w:rPr>
        <w:t>增长通常为负。</w:t>
      </w:r>
      <w:r>
        <w:rPr>
          <w:rFonts w:eastAsia="宋体" w:cs="Times New Roman" w:hint="eastAsia"/>
          <w:sz w:val="24"/>
          <w:szCs w:val="22"/>
        </w:rPr>
        <w:t>1</w:t>
      </w:r>
      <w:r>
        <w:rPr>
          <w:rFonts w:eastAsia="宋体" w:cs="Times New Roman"/>
          <w:sz w:val="24"/>
          <w:szCs w:val="22"/>
        </w:rPr>
        <w:t>988</w:t>
      </w:r>
      <w:r>
        <w:rPr>
          <w:rFonts w:eastAsia="宋体" w:cs="Times New Roman" w:hint="eastAsia"/>
          <w:sz w:val="24"/>
          <w:szCs w:val="22"/>
        </w:rPr>
        <w:t>—</w:t>
      </w:r>
      <w:r>
        <w:rPr>
          <w:rFonts w:eastAsia="宋体" w:cs="Times New Roman" w:hint="eastAsia"/>
          <w:sz w:val="24"/>
          <w:szCs w:val="22"/>
        </w:rPr>
        <w:t>1</w:t>
      </w:r>
      <w:r>
        <w:rPr>
          <w:rFonts w:eastAsia="宋体" w:cs="Times New Roman"/>
          <w:sz w:val="24"/>
          <w:szCs w:val="22"/>
        </w:rPr>
        <w:t>991</w:t>
      </w:r>
      <w:r>
        <w:rPr>
          <w:rFonts w:eastAsia="宋体" w:cs="Times New Roman" w:hint="eastAsia"/>
          <w:sz w:val="24"/>
          <w:szCs w:val="22"/>
        </w:rPr>
        <w:t>年，受社会动荡影响，</w:t>
      </w:r>
      <w:r>
        <w:rPr>
          <w:rFonts w:eastAsia="宋体" w:cs="Times New Roman" w:hint="eastAsia"/>
          <w:sz w:val="24"/>
          <w:szCs w:val="22"/>
        </w:rPr>
        <w:t>TFP</w:t>
      </w:r>
      <w:r>
        <w:rPr>
          <w:rFonts w:eastAsia="宋体" w:cs="Times New Roman" w:hint="eastAsia"/>
          <w:sz w:val="24"/>
          <w:szCs w:val="22"/>
        </w:rPr>
        <w:t>年均下降</w:t>
      </w:r>
      <w:r>
        <w:rPr>
          <w:rFonts w:eastAsia="宋体" w:cs="Times New Roman" w:hint="eastAsia"/>
          <w:sz w:val="24"/>
          <w:szCs w:val="22"/>
        </w:rPr>
        <w:t>2</w:t>
      </w:r>
      <w:r>
        <w:rPr>
          <w:rFonts w:eastAsia="宋体" w:cs="Times New Roman"/>
          <w:sz w:val="24"/>
          <w:szCs w:val="22"/>
        </w:rPr>
        <w:t>.83%</w:t>
      </w:r>
      <w:r>
        <w:rPr>
          <w:rFonts w:eastAsia="宋体" w:cs="Times New Roman" w:hint="eastAsia"/>
          <w:sz w:val="24"/>
          <w:szCs w:val="22"/>
        </w:rPr>
        <w:t>。</w:t>
      </w:r>
      <w:r>
        <w:rPr>
          <w:rFonts w:eastAsia="宋体" w:cs="Times New Roman" w:hint="eastAsia"/>
          <w:sz w:val="24"/>
          <w:szCs w:val="22"/>
        </w:rPr>
        <w:t>1</w:t>
      </w:r>
      <w:r>
        <w:rPr>
          <w:rFonts w:eastAsia="宋体" w:cs="Times New Roman"/>
          <w:sz w:val="24"/>
          <w:szCs w:val="22"/>
        </w:rPr>
        <w:t>997</w:t>
      </w:r>
      <w:r>
        <w:rPr>
          <w:rFonts w:eastAsia="宋体" w:cs="Times New Roman" w:hint="eastAsia"/>
          <w:sz w:val="24"/>
          <w:szCs w:val="22"/>
        </w:rPr>
        <w:t>—</w:t>
      </w:r>
      <w:r>
        <w:rPr>
          <w:rFonts w:eastAsia="宋体" w:cs="Times New Roman" w:hint="eastAsia"/>
          <w:sz w:val="24"/>
          <w:szCs w:val="22"/>
        </w:rPr>
        <w:t>1</w:t>
      </w:r>
      <w:r>
        <w:rPr>
          <w:rFonts w:eastAsia="宋体" w:cs="Times New Roman"/>
          <w:sz w:val="24"/>
          <w:szCs w:val="22"/>
        </w:rPr>
        <w:t>999</w:t>
      </w:r>
      <w:r>
        <w:rPr>
          <w:rFonts w:eastAsia="宋体" w:cs="Times New Roman" w:hint="eastAsia"/>
          <w:sz w:val="24"/>
          <w:szCs w:val="22"/>
        </w:rPr>
        <w:t>年，受亚洲经济危机的冲击，</w:t>
      </w:r>
      <w:r>
        <w:rPr>
          <w:rFonts w:eastAsia="宋体" w:cs="Times New Roman" w:hint="eastAsia"/>
          <w:sz w:val="24"/>
          <w:szCs w:val="22"/>
        </w:rPr>
        <w:t>TFP</w:t>
      </w:r>
      <w:r>
        <w:rPr>
          <w:rFonts w:eastAsia="宋体" w:cs="Times New Roman" w:hint="eastAsia"/>
          <w:sz w:val="24"/>
          <w:szCs w:val="22"/>
        </w:rPr>
        <w:t>年均下降</w:t>
      </w:r>
      <w:r>
        <w:rPr>
          <w:rFonts w:eastAsia="宋体" w:cs="Times New Roman" w:hint="eastAsia"/>
          <w:sz w:val="24"/>
          <w:szCs w:val="22"/>
        </w:rPr>
        <w:t>2</w:t>
      </w:r>
      <w:r>
        <w:rPr>
          <w:rFonts w:eastAsia="宋体" w:cs="Times New Roman"/>
          <w:sz w:val="24"/>
          <w:szCs w:val="22"/>
        </w:rPr>
        <w:t>.64%</w:t>
      </w:r>
      <w:r>
        <w:rPr>
          <w:rFonts w:eastAsia="宋体" w:cs="Times New Roman" w:hint="eastAsia"/>
          <w:sz w:val="24"/>
          <w:szCs w:val="22"/>
        </w:rPr>
        <w:t>。</w:t>
      </w:r>
      <w:r>
        <w:rPr>
          <w:rFonts w:eastAsia="宋体" w:cs="Times New Roman" w:hint="eastAsia"/>
          <w:sz w:val="24"/>
          <w:szCs w:val="22"/>
        </w:rPr>
        <w:t>2</w:t>
      </w:r>
      <w:r>
        <w:rPr>
          <w:rFonts w:eastAsia="宋体" w:cs="Times New Roman"/>
          <w:sz w:val="24"/>
          <w:szCs w:val="22"/>
        </w:rPr>
        <w:t>015</w:t>
      </w:r>
      <w:r>
        <w:rPr>
          <w:rFonts w:eastAsia="宋体" w:cs="Times New Roman" w:hint="eastAsia"/>
          <w:sz w:val="24"/>
          <w:szCs w:val="22"/>
        </w:rPr>
        <w:t>—</w:t>
      </w:r>
      <w:r>
        <w:rPr>
          <w:rFonts w:eastAsia="宋体" w:cs="Times New Roman" w:hint="eastAsia"/>
          <w:sz w:val="24"/>
          <w:szCs w:val="22"/>
        </w:rPr>
        <w:t>2</w:t>
      </w:r>
      <w:r>
        <w:rPr>
          <w:rFonts w:eastAsia="宋体" w:cs="Times New Roman"/>
          <w:sz w:val="24"/>
          <w:szCs w:val="22"/>
        </w:rPr>
        <w:t>019</w:t>
      </w:r>
      <w:r>
        <w:rPr>
          <w:rFonts w:eastAsia="宋体" w:cs="Times New Roman" w:hint="eastAsia"/>
          <w:sz w:val="24"/>
          <w:szCs w:val="22"/>
        </w:rPr>
        <w:t>年，受国际金融危机和“四万亿”刺激政策的叠加影响，</w:t>
      </w:r>
      <w:r>
        <w:rPr>
          <w:rFonts w:eastAsia="宋体" w:cs="Times New Roman" w:hint="eastAsia"/>
          <w:sz w:val="24"/>
          <w:szCs w:val="22"/>
        </w:rPr>
        <w:t>TFP</w:t>
      </w:r>
      <w:r>
        <w:rPr>
          <w:rFonts w:eastAsia="宋体" w:cs="Times New Roman" w:hint="eastAsia"/>
          <w:sz w:val="24"/>
          <w:szCs w:val="22"/>
        </w:rPr>
        <w:t>年均下降</w:t>
      </w:r>
      <w:r>
        <w:rPr>
          <w:rFonts w:eastAsia="宋体" w:cs="Times New Roman"/>
          <w:sz w:val="24"/>
          <w:szCs w:val="22"/>
        </w:rPr>
        <w:t>1.16%</w:t>
      </w:r>
      <w:r>
        <w:rPr>
          <w:rFonts w:eastAsia="宋体" w:cs="Times New Roman" w:hint="eastAsia"/>
          <w:sz w:val="24"/>
          <w:szCs w:val="22"/>
        </w:rPr>
        <w:t>。</w:t>
      </w:r>
    </w:p>
    <w:bookmarkEnd w:id="91"/>
    <w:p w14:paraId="19ED09D0" w14:textId="77777777" w:rsidR="004651C7" w:rsidRDefault="00BF798C">
      <w:pPr>
        <w:pStyle w:val="affe"/>
      </w:pPr>
      <w:r>
        <w:rPr>
          <w:rFonts w:hint="eastAsia"/>
        </w:rPr>
        <w:t>表</w:t>
      </w:r>
      <w:r>
        <w:t>3—2  1960</w:t>
      </w:r>
      <w:r>
        <w:t>年以来我国</w:t>
      </w:r>
      <w:r>
        <w:rPr>
          <w:rFonts w:hint="eastAsia"/>
        </w:rPr>
        <w:t>全要素生产率增长情况</w:t>
      </w:r>
    </w:p>
    <w:tbl>
      <w:tblPr>
        <w:tblStyle w:val="51"/>
        <w:tblW w:w="0" w:type="auto"/>
        <w:jc w:val="center"/>
        <w:tblLook w:val="04A0" w:firstRow="1" w:lastRow="0" w:firstColumn="1" w:lastColumn="0" w:noHBand="0" w:noVBand="1"/>
      </w:tblPr>
      <w:tblGrid>
        <w:gridCol w:w="1547"/>
        <w:gridCol w:w="1283"/>
        <w:gridCol w:w="1279"/>
        <w:gridCol w:w="989"/>
        <w:gridCol w:w="709"/>
        <w:gridCol w:w="1418"/>
        <w:gridCol w:w="1077"/>
      </w:tblGrid>
      <w:tr w:rsidR="004651C7" w14:paraId="284FFFDA" w14:textId="77777777">
        <w:trPr>
          <w:jc w:val="center"/>
        </w:trPr>
        <w:tc>
          <w:tcPr>
            <w:tcW w:w="1547" w:type="dxa"/>
            <w:vMerge w:val="restart"/>
            <w:vAlign w:val="center"/>
          </w:tcPr>
          <w:p w14:paraId="359E35CC"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3551" w:type="dxa"/>
            <w:gridSpan w:val="3"/>
            <w:vAlign w:val="center"/>
          </w:tcPr>
          <w:p w14:paraId="1182A6A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所有年份</w:t>
            </w:r>
          </w:p>
        </w:tc>
        <w:tc>
          <w:tcPr>
            <w:tcW w:w="3204" w:type="dxa"/>
            <w:gridSpan w:val="3"/>
            <w:vAlign w:val="center"/>
          </w:tcPr>
          <w:p w14:paraId="5C4042D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贡献率正常年份</w:t>
            </w:r>
          </w:p>
        </w:tc>
      </w:tr>
      <w:tr w:rsidR="004651C7" w14:paraId="1DD5AEFE" w14:textId="77777777">
        <w:trPr>
          <w:jc w:val="center"/>
        </w:trPr>
        <w:tc>
          <w:tcPr>
            <w:tcW w:w="1547" w:type="dxa"/>
            <w:vMerge/>
            <w:vAlign w:val="center"/>
          </w:tcPr>
          <w:p w14:paraId="20172351"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1283" w:type="dxa"/>
            <w:vAlign w:val="center"/>
          </w:tcPr>
          <w:p w14:paraId="32B29B1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TFP</w:t>
            </w:r>
            <w:r>
              <w:rPr>
                <w:rFonts w:eastAsia="宋体" w:cs="Times New Roman"/>
                <w:sz w:val="21"/>
                <w:szCs w:val="21"/>
              </w:rPr>
              <w:br/>
            </w:r>
            <w:r>
              <w:rPr>
                <w:rFonts w:eastAsia="宋体" w:cs="Times New Roman" w:hint="eastAsia"/>
                <w:sz w:val="21"/>
                <w:szCs w:val="21"/>
              </w:rPr>
              <w:t>平均增长率</w:t>
            </w:r>
          </w:p>
        </w:tc>
        <w:tc>
          <w:tcPr>
            <w:tcW w:w="1279" w:type="dxa"/>
            <w:vAlign w:val="center"/>
          </w:tcPr>
          <w:p w14:paraId="08F491D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GDP</w:t>
            </w:r>
            <w:r>
              <w:rPr>
                <w:rFonts w:eastAsia="宋体" w:cs="Times New Roman"/>
                <w:sz w:val="21"/>
                <w:szCs w:val="21"/>
              </w:rPr>
              <w:br/>
            </w:r>
            <w:r>
              <w:rPr>
                <w:rFonts w:eastAsia="宋体" w:cs="Times New Roman" w:hint="eastAsia"/>
                <w:sz w:val="21"/>
                <w:szCs w:val="21"/>
              </w:rPr>
              <w:t>平均增长率</w:t>
            </w:r>
          </w:p>
        </w:tc>
        <w:tc>
          <w:tcPr>
            <w:tcW w:w="989" w:type="dxa"/>
            <w:vAlign w:val="center"/>
          </w:tcPr>
          <w:p w14:paraId="298B4F0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贡献率平均值</w:t>
            </w:r>
          </w:p>
        </w:tc>
        <w:tc>
          <w:tcPr>
            <w:tcW w:w="709" w:type="dxa"/>
            <w:vAlign w:val="center"/>
          </w:tcPr>
          <w:p w14:paraId="60629CC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个数</w:t>
            </w:r>
          </w:p>
        </w:tc>
        <w:tc>
          <w:tcPr>
            <w:tcW w:w="1418" w:type="dxa"/>
            <w:vAlign w:val="center"/>
          </w:tcPr>
          <w:p w14:paraId="42262A3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TFP</w:t>
            </w:r>
            <w:r>
              <w:rPr>
                <w:rFonts w:eastAsia="宋体" w:cs="Times New Roman"/>
                <w:sz w:val="21"/>
                <w:szCs w:val="21"/>
              </w:rPr>
              <w:br/>
            </w:r>
            <w:r>
              <w:rPr>
                <w:rFonts w:eastAsia="宋体" w:cs="Times New Roman" w:hint="eastAsia"/>
                <w:sz w:val="21"/>
                <w:szCs w:val="21"/>
              </w:rPr>
              <w:t>平均增长率</w:t>
            </w:r>
          </w:p>
        </w:tc>
        <w:tc>
          <w:tcPr>
            <w:tcW w:w="1077" w:type="dxa"/>
            <w:vAlign w:val="center"/>
          </w:tcPr>
          <w:p w14:paraId="4D2EF76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贡献率</w:t>
            </w:r>
            <w:r>
              <w:rPr>
                <w:rFonts w:eastAsia="宋体" w:cs="Times New Roman"/>
                <w:sz w:val="21"/>
                <w:szCs w:val="21"/>
              </w:rPr>
              <w:br/>
            </w:r>
            <w:r>
              <w:rPr>
                <w:rFonts w:eastAsia="宋体" w:cs="Times New Roman" w:hint="eastAsia"/>
                <w:sz w:val="21"/>
                <w:szCs w:val="21"/>
              </w:rPr>
              <w:t>平均值</w:t>
            </w:r>
          </w:p>
        </w:tc>
      </w:tr>
      <w:tr w:rsidR="004651C7" w14:paraId="713A7BDF" w14:textId="77777777">
        <w:trPr>
          <w:jc w:val="center"/>
        </w:trPr>
        <w:tc>
          <w:tcPr>
            <w:tcW w:w="1547" w:type="dxa"/>
            <w:vAlign w:val="center"/>
          </w:tcPr>
          <w:p w14:paraId="29A6FCD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960</w:t>
            </w:r>
            <w:r>
              <w:rPr>
                <w:rFonts w:eastAsia="宋体" w:cs="Times New Roman" w:hint="eastAsia"/>
                <w:sz w:val="21"/>
                <w:szCs w:val="21"/>
              </w:rPr>
              <w:t>—</w:t>
            </w:r>
            <w:r>
              <w:rPr>
                <w:rFonts w:eastAsia="宋体" w:cs="Times New Roman" w:hint="eastAsia"/>
                <w:sz w:val="21"/>
                <w:szCs w:val="21"/>
              </w:rPr>
              <w:t>1</w:t>
            </w:r>
            <w:r>
              <w:rPr>
                <w:rFonts w:eastAsia="宋体" w:cs="Times New Roman"/>
                <w:sz w:val="21"/>
                <w:szCs w:val="21"/>
              </w:rPr>
              <w:t>969</w:t>
            </w:r>
            <w:r>
              <w:rPr>
                <w:rFonts w:eastAsia="宋体" w:cs="Times New Roman" w:hint="eastAsia"/>
                <w:sz w:val="21"/>
                <w:szCs w:val="21"/>
              </w:rPr>
              <w:t>年</w:t>
            </w:r>
          </w:p>
        </w:tc>
        <w:tc>
          <w:tcPr>
            <w:tcW w:w="1283" w:type="dxa"/>
            <w:vAlign w:val="center"/>
          </w:tcPr>
          <w:p w14:paraId="063DE72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0.43</w:t>
            </w:r>
          </w:p>
        </w:tc>
        <w:tc>
          <w:tcPr>
            <w:tcW w:w="1279" w:type="dxa"/>
            <w:vAlign w:val="center"/>
          </w:tcPr>
          <w:p w14:paraId="0FD85A2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.04</w:t>
            </w:r>
          </w:p>
        </w:tc>
        <w:tc>
          <w:tcPr>
            <w:tcW w:w="989" w:type="dxa"/>
            <w:vAlign w:val="center"/>
          </w:tcPr>
          <w:p w14:paraId="7A06F4A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709" w:type="dxa"/>
            <w:vAlign w:val="center"/>
          </w:tcPr>
          <w:p w14:paraId="77E4F29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7</w:t>
            </w:r>
          </w:p>
        </w:tc>
        <w:tc>
          <w:tcPr>
            <w:tcW w:w="1418" w:type="dxa"/>
            <w:vAlign w:val="center"/>
          </w:tcPr>
          <w:p w14:paraId="253AE2E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0.04</w:t>
            </w:r>
          </w:p>
        </w:tc>
        <w:tc>
          <w:tcPr>
            <w:tcW w:w="1077" w:type="dxa"/>
            <w:vAlign w:val="center"/>
          </w:tcPr>
          <w:p w14:paraId="5F20326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1.7%</w:t>
            </w:r>
          </w:p>
        </w:tc>
      </w:tr>
      <w:tr w:rsidR="004651C7" w14:paraId="3A352EBE" w14:textId="77777777">
        <w:trPr>
          <w:jc w:val="center"/>
        </w:trPr>
        <w:tc>
          <w:tcPr>
            <w:tcW w:w="1547" w:type="dxa"/>
            <w:vAlign w:val="center"/>
          </w:tcPr>
          <w:p w14:paraId="6BAF0DC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970</w:t>
            </w:r>
            <w:r>
              <w:rPr>
                <w:rFonts w:eastAsia="宋体" w:cs="Times New Roman" w:hint="eastAsia"/>
                <w:sz w:val="21"/>
                <w:szCs w:val="21"/>
              </w:rPr>
              <w:t>—</w:t>
            </w:r>
            <w:r>
              <w:rPr>
                <w:rFonts w:eastAsia="宋体" w:cs="Times New Roman" w:hint="eastAsia"/>
                <w:sz w:val="21"/>
                <w:szCs w:val="21"/>
              </w:rPr>
              <w:t>1</w:t>
            </w:r>
            <w:r>
              <w:rPr>
                <w:rFonts w:eastAsia="宋体" w:cs="Times New Roman"/>
                <w:sz w:val="21"/>
                <w:szCs w:val="21"/>
              </w:rPr>
              <w:t>979</w:t>
            </w:r>
            <w:r>
              <w:rPr>
                <w:rFonts w:eastAsia="宋体" w:cs="Times New Roman" w:hint="eastAsia"/>
                <w:sz w:val="21"/>
                <w:szCs w:val="21"/>
              </w:rPr>
              <w:t>年</w:t>
            </w:r>
          </w:p>
        </w:tc>
        <w:tc>
          <w:tcPr>
            <w:tcW w:w="1283" w:type="dxa"/>
            <w:vAlign w:val="center"/>
          </w:tcPr>
          <w:p w14:paraId="35B0573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0.09</w:t>
            </w:r>
          </w:p>
        </w:tc>
        <w:tc>
          <w:tcPr>
            <w:tcW w:w="1279" w:type="dxa"/>
            <w:vAlign w:val="center"/>
          </w:tcPr>
          <w:p w14:paraId="490DF32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7</w:t>
            </w:r>
            <w:r>
              <w:rPr>
                <w:rFonts w:eastAsia="宋体" w:cs="Times New Roman"/>
                <w:sz w:val="21"/>
                <w:szCs w:val="21"/>
              </w:rPr>
              <w:t>.26</w:t>
            </w:r>
          </w:p>
        </w:tc>
        <w:tc>
          <w:tcPr>
            <w:tcW w:w="989" w:type="dxa"/>
            <w:vAlign w:val="center"/>
          </w:tcPr>
          <w:p w14:paraId="3735FEC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709" w:type="dxa"/>
            <w:vAlign w:val="center"/>
          </w:tcPr>
          <w:p w14:paraId="2D7BE97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8</w:t>
            </w:r>
          </w:p>
        </w:tc>
        <w:tc>
          <w:tcPr>
            <w:tcW w:w="1418" w:type="dxa"/>
            <w:vAlign w:val="center"/>
          </w:tcPr>
          <w:p w14:paraId="05B7630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1.12</w:t>
            </w:r>
          </w:p>
        </w:tc>
        <w:tc>
          <w:tcPr>
            <w:tcW w:w="1077" w:type="dxa"/>
            <w:vAlign w:val="center"/>
          </w:tcPr>
          <w:p w14:paraId="675EC84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3.4%</w:t>
            </w:r>
          </w:p>
        </w:tc>
      </w:tr>
      <w:tr w:rsidR="004651C7" w14:paraId="59795F76" w14:textId="77777777">
        <w:trPr>
          <w:jc w:val="center"/>
        </w:trPr>
        <w:tc>
          <w:tcPr>
            <w:tcW w:w="1547" w:type="dxa"/>
            <w:vAlign w:val="center"/>
          </w:tcPr>
          <w:p w14:paraId="254F13A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980</w:t>
            </w:r>
            <w:r>
              <w:rPr>
                <w:rFonts w:eastAsia="宋体" w:cs="Times New Roman" w:hint="eastAsia"/>
                <w:sz w:val="21"/>
                <w:szCs w:val="21"/>
              </w:rPr>
              <w:t>—</w:t>
            </w:r>
            <w:r>
              <w:rPr>
                <w:rFonts w:eastAsia="宋体" w:cs="Times New Roman" w:hint="eastAsia"/>
                <w:sz w:val="21"/>
                <w:szCs w:val="21"/>
              </w:rPr>
              <w:t>1</w:t>
            </w:r>
            <w:r>
              <w:rPr>
                <w:rFonts w:eastAsia="宋体" w:cs="Times New Roman"/>
                <w:sz w:val="21"/>
                <w:szCs w:val="21"/>
              </w:rPr>
              <w:t>989</w:t>
            </w:r>
            <w:r>
              <w:rPr>
                <w:rFonts w:eastAsia="宋体" w:cs="Times New Roman" w:hint="eastAsia"/>
                <w:sz w:val="21"/>
                <w:szCs w:val="21"/>
              </w:rPr>
              <w:t>年</w:t>
            </w:r>
          </w:p>
        </w:tc>
        <w:tc>
          <w:tcPr>
            <w:tcW w:w="1283" w:type="dxa"/>
            <w:vAlign w:val="center"/>
          </w:tcPr>
          <w:p w14:paraId="65B1C55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.10</w:t>
            </w:r>
          </w:p>
        </w:tc>
        <w:tc>
          <w:tcPr>
            <w:tcW w:w="1279" w:type="dxa"/>
            <w:vAlign w:val="center"/>
          </w:tcPr>
          <w:p w14:paraId="6FEC3BA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9</w:t>
            </w:r>
            <w:r>
              <w:rPr>
                <w:rFonts w:eastAsia="宋体" w:cs="Times New Roman"/>
                <w:sz w:val="21"/>
                <w:szCs w:val="21"/>
              </w:rPr>
              <w:t>.69</w:t>
            </w:r>
          </w:p>
        </w:tc>
        <w:tc>
          <w:tcPr>
            <w:tcW w:w="989" w:type="dxa"/>
            <w:vAlign w:val="center"/>
          </w:tcPr>
          <w:p w14:paraId="54B92D1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.0%</w:t>
            </w:r>
          </w:p>
        </w:tc>
        <w:tc>
          <w:tcPr>
            <w:tcW w:w="709" w:type="dxa"/>
            <w:vAlign w:val="center"/>
          </w:tcPr>
          <w:p w14:paraId="5F049B4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6</w:t>
            </w:r>
          </w:p>
        </w:tc>
        <w:tc>
          <w:tcPr>
            <w:tcW w:w="1418" w:type="dxa"/>
            <w:vAlign w:val="center"/>
          </w:tcPr>
          <w:p w14:paraId="4EC5182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.03</w:t>
            </w:r>
          </w:p>
        </w:tc>
        <w:tc>
          <w:tcPr>
            <w:tcW w:w="1077" w:type="dxa"/>
            <w:vAlign w:val="center"/>
          </w:tcPr>
          <w:p w14:paraId="7A3B8C1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7.6%</w:t>
            </w:r>
          </w:p>
        </w:tc>
      </w:tr>
      <w:tr w:rsidR="004651C7" w14:paraId="59016F7C" w14:textId="77777777">
        <w:trPr>
          <w:jc w:val="center"/>
        </w:trPr>
        <w:tc>
          <w:tcPr>
            <w:tcW w:w="1547" w:type="dxa"/>
            <w:vAlign w:val="center"/>
          </w:tcPr>
          <w:p w14:paraId="2050124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990</w:t>
            </w:r>
            <w:r>
              <w:rPr>
                <w:rFonts w:eastAsia="宋体" w:cs="Times New Roman" w:hint="eastAsia"/>
                <w:sz w:val="21"/>
                <w:szCs w:val="21"/>
              </w:rPr>
              <w:t>—</w:t>
            </w:r>
            <w:r>
              <w:rPr>
                <w:rFonts w:eastAsia="宋体" w:cs="Times New Roman" w:hint="eastAsia"/>
                <w:sz w:val="21"/>
                <w:szCs w:val="21"/>
              </w:rPr>
              <w:t>1</w:t>
            </w:r>
            <w:r>
              <w:rPr>
                <w:rFonts w:eastAsia="宋体" w:cs="Times New Roman"/>
                <w:sz w:val="21"/>
                <w:szCs w:val="21"/>
              </w:rPr>
              <w:t>999</w:t>
            </w:r>
            <w:r>
              <w:rPr>
                <w:rFonts w:eastAsia="宋体" w:cs="Times New Roman" w:hint="eastAsia"/>
                <w:sz w:val="21"/>
                <w:szCs w:val="21"/>
              </w:rPr>
              <w:t>年</w:t>
            </w:r>
          </w:p>
        </w:tc>
        <w:tc>
          <w:tcPr>
            <w:tcW w:w="1283" w:type="dxa"/>
            <w:vAlign w:val="center"/>
          </w:tcPr>
          <w:p w14:paraId="3ADAE50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0.27</w:t>
            </w:r>
          </w:p>
        </w:tc>
        <w:tc>
          <w:tcPr>
            <w:tcW w:w="1279" w:type="dxa"/>
            <w:vAlign w:val="center"/>
          </w:tcPr>
          <w:p w14:paraId="7A91C55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9</w:t>
            </w:r>
            <w:r>
              <w:rPr>
                <w:rFonts w:eastAsia="宋体" w:cs="Times New Roman"/>
                <w:sz w:val="21"/>
                <w:szCs w:val="21"/>
              </w:rPr>
              <w:t>.95</w:t>
            </w:r>
          </w:p>
        </w:tc>
        <w:tc>
          <w:tcPr>
            <w:tcW w:w="989" w:type="dxa"/>
            <w:vAlign w:val="center"/>
          </w:tcPr>
          <w:p w14:paraId="454D6FF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709" w:type="dxa"/>
            <w:vAlign w:val="center"/>
          </w:tcPr>
          <w:p w14:paraId="46CDB8F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5</w:t>
            </w:r>
          </w:p>
        </w:tc>
        <w:tc>
          <w:tcPr>
            <w:tcW w:w="1418" w:type="dxa"/>
            <w:vAlign w:val="center"/>
          </w:tcPr>
          <w:p w14:paraId="5D3CB75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.02</w:t>
            </w:r>
          </w:p>
        </w:tc>
        <w:tc>
          <w:tcPr>
            <w:tcW w:w="1077" w:type="dxa"/>
            <w:vAlign w:val="center"/>
          </w:tcPr>
          <w:p w14:paraId="7D524A8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6.3%</w:t>
            </w:r>
          </w:p>
        </w:tc>
      </w:tr>
      <w:tr w:rsidR="004651C7" w14:paraId="4B6DABE1" w14:textId="77777777">
        <w:trPr>
          <w:jc w:val="center"/>
        </w:trPr>
        <w:tc>
          <w:tcPr>
            <w:tcW w:w="1547" w:type="dxa"/>
            <w:vAlign w:val="center"/>
          </w:tcPr>
          <w:p w14:paraId="271ED77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000</w:t>
            </w:r>
            <w:r>
              <w:rPr>
                <w:rFonts w:eastAsia="宋体" w:cs="Times New Roman" w:hint="eastAsia"/>
                <w:sz w:val="21"/>
                <w:szCs w:val="21"/>
              </w:rPr>
              <w:t>—</w:t>
            </w:r>
            <w:r>
              <w:rPr>
                <w:rFonts w:eastAsia="宋体" w:cs="Times New Roman" w:hint="eastAsia"/>
                <w:sz w:val="21"/>
                <w:szCs w:val="21"/>
              </w:rPr>
              <w:t>2</w:t>
            </w:r>
            <w:r>
              <w:rPr>
                <w:rFonts w:eastAsia="宋体" w:cs="Times New Roman"/>
                <w:sz w:val="21"/>
                <w:szCs w:val="21"/>
              </w:rPr>
              <w:t>009</w:t>
            </w:r>
            <w:r>
              <w:rPr>
                <w:rFonts w:eastAsia="宋体" w:cs="Times New Roman" w:hint="eastAsia"/>
                <w:sz w:val="21"/>
                <w:szCs w:val="21"/>
              </w:rPr>
              <w:t>年</w:t>
            </w:r>
          </w:p>
        </w:tc>
        <w:tc>
          <w:tcPr>
            <w:tcW w:w="1283" w:type="dxa"/>
            <w:vAlign w:val="center"/>
          </w:tcPr>
          <w:p w14:paraId="653CCDE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.57</w:t>
            </w:r>
          </w:p>
        </w:tc>
        <w:tc>
          <w:tcPr>
            <w:tcW w:w="1279" w:type="dxa"/>
            <w:vAlign w:val="center"/>
          </w:tcPr>
          <w:p w14:paraId="68B37F9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0.34</w:t>
            </w:r>
          </w:p>
        </w:tc>
        <w:tc>
          <w:tcPr>
            <w:tcW w:w="989" w:type="dxa"/>
            <w:vAlign w:val="center"/>
          </w:tcPr>
          <w:p w14:paraId="4933976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4.8%</w:t>
            </w:r>
          </w:p>
        </w:tc>
        <w:tc>
          <w:tcPr>
            <w:tcW w:w="709" w:type="dxa"/>
            <w:vAlign w:val="center"/>
          </w:tcPr>
          <w:p w14:paraId="5B45384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0</w:t>
            </w:r>
          </w:p>
        </w:tc>
        <w:tc>
          <w:tcPr>
            <w:tcW w:w="1418" w:type="dxa"/>
            <w:vAlign w:val="center"/>
          </w:tcPr>
          <w:p w14:paraId="098D6D3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.57</w:t>
            </w:r>
          </w:p>
        </w:tc>
        <w:tc>
          <w:tcPr>
            <w:tcW w:w="1077" w:type="dxa"/>
            <w:vAlign w:val="center"/>
          </w:tcPr>
          <w:p w14:paraId="11A393E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4.8%</w:t>
            </w:r>
          </w:p>
        </w:tc>
      </w:tr>
      <w:tr w:rsidR="004651C7" w14:paraId="63240BB4" w14:textId="77777777">
        <w:trPr>
          <w:jc w:val="center"/>
        </w:trPr>
        <w:tc>
          <w:tcPr>
            <w:tcW w:w="1547" w:type="dxa"/>
            <w:vAlign w:val="center"/>
          </w:tcPr>
          <w:p w14:paraId="4967C1F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w:t>
            </w:r>
            <w:r>
              <w:rPr>
                <w:rFonts w:eastAsia="宋体" w:cs="Times New Roman"/>
                <w:sz w:val="21"/>
                <w:szCs w:val="21"/>
              </w:rPr>
              <w:t>010</w:t>
            </w:r>
            <w:r>
              <w:rPr>
                <w:rFonts w:eastAsia="宋体" w:cs="Times New Roman" w:hint="eastAsia"/>
                <w:sz w:val="21"/>
                <w:szCs w:val="21"/>
              </w:rPr>
              <w:t>—</w:t>
            </w:r>
            <w:r>
              <w:rPr>
                <w:rFonts w:eastAsia="宋体" w:cs="Times New Roman" w:hint="eastAsia"/>
                <w:sz w:val="21"/>
                <w:szCs w:val="21"/>
              </w:rPr>
              <w:t>2</w:t>
            </w:r>
            <w:r>
              <w:rPr>
                <w:rFonts w:eastAsia="宋体" w:cs="Times New Roman"/>
                <w:sz w:val="21"/>
                <w:szCs w:val="21"/>
              </w:rPr>
              <w:t>019</w:t>
            </w:r>
            <w:r>
              <w:rPr>
                <w:rFonts w:eastAsia="宋体" w:cs="Times New Roman" w:hint="eastAsia"/>
                <w:sz w:val="21"/>
                <w:szCs w:val="21"/>
              </w:rPr>
              <w:t>年</w:t>
            </w:r>
          </w:p>
        </w:tc>
        <w:tc>
          <w:tcPr>
            <w:tcW w:w="1283" w:type="dxa"/>
            <w:vAlign w:val="center"/>
          </w:tcPr>
          <w:p w14:paraId="2C88D16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r>
              <w:rPr>
                <w:rFonts w:eastAsia="宋体" w:cs="Times New Roman"/>
                <w:sz w:val="21"/>
                <w:szCs w:val="21"/>
              </w:rPr>
              <w:t>0.21</w:t>
            </w:r>
          </w:p>
        </w:tc>
        <w:tc>
          <w:tcPr>
            <w:tcW w:w="1279" w:type="dxa"/>
            <w:vAlign w:val="center"/>
          </w:tcPr>
          <w:p w14:paraId="17D76BB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7</w:t>
            </w:r>
            <w:r>
              <w:rPr>
                <w:rFonts w:eastAsia="宋体" w:cs="Times New Roman"/>
                <w:sz w:val="21"/>
                <w:szCs w:val="21"/>
              </w:rPr>
              <w:t>.67</w:t>
            </w:r>
          </w:p>
        </w:tc>
        <w:tc>
          <w:tcPr>
            <w:tcW w:w="989" w:type="dxa"/>
            <w:vAlign w:val="center"/>
          </w:tcPr>
          <w:p w14:paraId="3E4BFD8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w:t>
            </w:r>
          </w:p>
        </w:tc>
        <w:tc>
          <w:tcPr>
            <w:tcW w:w="709" w:type="dxa"/>
            <w:vAlign w:val="center"/>
          </w:tcPr>
          <w:p w14:paraId="044A312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4</w:t>
            </w:r>
          </w:p>
        </w:tc>
        <w:tc>
          <w:tcPr>
            <w:tcW w:w="1418" w:type="dxa"/>
            <w:vAlign w:val="center"/>
          </w:tcPr>
          <w:p w14:paraId="2D4BC05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.69</w:t>
            </w:r>
          </w:p>
        </w:tc>
        <w:tc>
          <w:tcPr>
            <w:tcW w:w="1077" w:type="dxa"/>
            <w:vAlign w:val="center"/>
          </w:tcPr>
          <w:p w14:paraId="4E1DAA8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9.1%</w:t>
            </w:r>
          </w:p>
        </w:tc>
      </w:tr>
      <w:tr w:rsidR="004651C7" w14:paraId="4016F5D7" w14:textId="77777777">
        <w:trPr>
          <w:jc w:val="center"/>
        </w:trPr>
        <w:tc>
          <w:tcPr>
            <w:tcW w:w="1547" w:type="dxa"/>
            <w:vAlign w:val="center"/>
          </w:tcPr>
          <w:p w14:paraId="78E1F29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lastRenderedPageBreak/>
              <w:t>1</w:t>
            </w:r>
            <w:r>
              <w:rPr>
                <w:rFonts w:eastAsia="宋体" w:cs="Times New Roman"/>
                <w:sz w:val="21"/>
                <w:szCs w:val="21"/>
              </w:rPr>
              <w:t>960</w:t>
            </w:r>
            <w:r>
              <w:rPr>
                <w:rFonts w:eastAsia="宋体" w:cs="Times New Roman" w:hint="eastAsia"/>
                <w:sz w:val="21"/>
                <w:szCs w:val="21"/>
              </w:rPr>
              <w:t>—</w:t>
            </w:r>
            <w:r>
              <w:rPr>
                <w:rFonts w:eastAsia="宋体" w:cs="Times New Roman" w:hint="eastAsia"/>
                <w:sz w:val="21"/>
                <w:szCs w:val="21"/>
              </w:rPr>
              <w:t>2</w:t>
            </w:r>
            <w:r>
              <w:rPr>
                <w:rFonts w:eastAsia="宋体" w:cs="Times New Roman"/>
                <w:sz w:val="21"/>
                <w:szCs w:val="21"/>
              </w:rPr>
              <w:t>019</w:t>
            </w:r>
            <w:r>
              <w:rPr>
                <w:rFonts w:eastAsia="宋体" w:cs="Times New Roman" w:hint="eastAsia"/>
                <w:sz w:val="21"/>
                <w:szCs w:val="21"/>
              </w:rPr>
              <w:t>年期间</w:t>
            </w:r>
          </w:p>
        </w:tc>
        <w:tc>
          <w:tcPr>
            <w:tcW w:w="1283" w:type="dxa"/>
            <w:vAlign w:val="center"/>
          </w:tcPr>
          <w:p w14:paraId="0F24BB3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0</w:t>
            </w:r>
            <w:r>
              <w:rPr>
                <w:rFonts w:eastAsia="宋体" w:cs="Times New Roman"/>
                <w:sz w:val="21"/>
                <w:szCs w:val="21"/>
              </w:rPr>
              <w:t>.27</w:t>
            </w:r>
          </w:p>
        </w:tc>
        <w:tc>
          <w:tcPr>
            <w:tcW w:w="1279" w:type="dxa"/>
            <w:vAlign w:val="center"/>
          </w:tcPr>
          <w:p w14:paraId="0F2FDD1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7</w:t>
            </w:r>
            <w:r>
              <w:rPr>
                <w:rFonts w:eastAsia="宋体" w:cs="Times New Roman"/>
                <w:sz w:val="21"/>
                <w:szCs w:val="21"/>
              </w:rPr>
              <w:t>.79</w:t>
            </w:r>
          </w:p>
        </w:tc>
        <w:tc>
          <w:tcPr>
            <w:tcW w:w="989" w:type="dxa"/>
            <w:vAlign w:val="center"/>
          </w:tcPr>
          <w:p w14:paraId="3A42861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3</w:t>
            </w:r>
            <w:r>
              <w:rPr>
                <w:rFonts w:eastAsia="宋体" w:cs="Times New Roman"/>
                <w:sz w:val="21"/>
                <w:szCs w:val="21"/>
              </w:rPr>
              <w:t>.5%</w:t>
            </w:r>
          </w:p>
        </w:tc>
        <w:tc>
          <w:tcPr>
            <w:tcW w:w="709" w:type="dxa"/>
            <w:vAlign w:val="center"/>
          </w:tcPr>
          <w:p w14:paraId="251EF10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40</w:t>
            </w:r>
          </w:p>
        </w:tc>
        <w:tc>
          <w:tcPr>
            <w:tcW w:w="1418" w:type="dxa"/>
            <w:vAlign w:val="center"/>
          </w:tcPr>
          <w:p w14:paraId="2F12719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.59</w:t>
            </w:r>
          </w:p>
        </w:tc>
        <w:tc>
          <w:tcPr>
            <w:tcW w:w="1077" w:type="dxa"/>
            <w:vAlign w:val="center"/>
          </w:tcPr>
          <w:p w14:paraId="719D717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1</w:t>
            </w:r>
            <w:r>
              <w:rPr>
                <w:rFonts w:eastAsia="宋体" w:cs="Times New Roman"/>
                <w:sz w:val="21"/>
                <w:szCs w:val="21"/>
              </w:rPr>
              <w:t>8.2%</w:t>
            </w:r>
          </w:p>
        </w:tc>
      </w:tr>
    </w:tbl>
    <w:p w14:paraId="4BE20CA6" w14:textId="77777777" w:rsidR="004651C7" w:rsidRDefault="004651C7">
      <w:pPr>
        <w:overflowPunct w:val="0"/>
        <w:spacing w:line="360" w:lineRule="auto"/>
        <w:ind w:firstLine="480"/>
        <w:rPr>
          <w:rFonts w:eastAsia="宋体" w:cs="Times New Roman"/>
          <w:sz w:val="24"/>
          <w:szCs w:val="24"/>
        </w:rPr>
      </w:pPr>
    </w:p>
    <w:p w14:paraId="3A0C2A73" w14:textId="77777777" w:rsidR="004651C7" w:rsidRDefault="00BF798C">
      <w:pPr>
        <w:overflowPunct w:val="0"/>
        <w:spacing w:line="360" w:lineRule="auto"/>
        <w:ind w:firstLineChars="0" w:firstLine="0"/>
        <w:jc w:val="center"/>
        <w:rPr>
          <w:rFonts w:eastAsia="宋体" w:cs="Times New Roman"/>
          <w:sz w:val="24"/>
          <w:szCs w:val="22"/>
        </w:rPr>
      </w:pPr>
      <w:r>
        <w:rPr>
          <w:rFonts w:eastAsia="宋体" w:cs="Times New Roman" w:hint="eastAsia"/>
          <w:noProof/>
          <w:sz w:val="24"/>
          <w:szCs w:val="22"/>
        </w:rPr>
        <w:drawing>
          <wp:inline distT="0" distB="0" distL="0" distR="0" wp14:anchorId="74DDF13F" wp14:editId="017D000B">
            <wp:extent cx="5278120" cy="1657985"/>
            <wp:effectExtent l="0" t="0" r="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8120" cy="1657985"/>
                    </a:xfrm>
                    <a:prstGeom prst="rect">
                      <a:avLst/>
                    </a:prstGeom>
                    <a:noFill/>
                    <a:ln>
                      <a:noFill/>
                    </a:ln>
                  </pic:spPr>
                </pic:pic>
              </a:graphicData>
            </a:graphic>
          </wp:inline>
        </w:drawing>
      </w:r>
    </w:p>
    <w:p w14:paraId="7FC55810" w14:textId="77777777" w:rsidR="004651C7" w:rsidRDefault="00BF798C">
      <w:pPr>
        <w:pStyle w:val="affc"/>
      </w:pPr>
      <w:r>
        <w:rPr>
          <w:rFonts w:hint="eastAsia"/>
        </w:rPr>
        <w:t>图</w:t>
      </w:r>
      <w:r>
        <w:t>3.1  1978</w:t>
      </w:r>
      <w:r>
        <w:t>年以来我国</w:t>
      </w:r>
      <w:r>
        <w:rPr>
          <w:rFonts w:hint="eastAsia"/>
        </w:rPr>
        <w:t>全要素生产率及贡献率</w:t>
      </w:r>
    </w:p>
    <w:p w14:paraId="50D0594B" w14:textId="77777777" w:rsidR="004651C7" w:rsidRDefault="004651C7">
      <w:pPr>
        <w:pStyle w:val="afffc"/>
      </w:pPr>
    </w:p>
    <w:p w14:paraId="63FE7945"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创新是引领发展的第一动力，在迈向经济高质量发展的进程中，亟须以科学技术创新为核心，增强科学技术进步对经济增长的贡献度和贡献率，然而技术要素驱动能力依然面临基础研究和原始创新能力不足、创新激励的体制机制尚不健全、以企业为主体的创新体系薄弱、区域间科学技术协同创新不足等因素制约。</w:t>
      </w:r>
    </w:p>
    <w:p w14:paraId="347F42E7" w14:textId="77777777" w:rsidR="004651C7" w:rsidRDefault="00BF798C">
      <w:pPr>
        <w:pStyle w:val="4"/>
      </w:pPr>
      <w:bookmarkStart w:id="92" w:name="_Toc93661696"/>
      <w:bookmarkStart w:id="93" w:name="_Hlk87396320"/>
      <w:r>
        <w:rPr>
          <w:rFonts w:hint="eastAsia"/>
        </w:rPr>
        <w:t>1</w:t>
      </w:r>
      <w:r>
        <w:t>.</w:t>
      </w:r>
      <w:r>
        <w:rPr>
          <w:rFonts w:hint="eastAsia"/>
        </w:rPr>
        <w:t>基础科学研究短板依然突出</w:t>
      </w:r>
      <w:bookmarkEnd w:id="92"/>
    </w:p>
    <w:bookmarkEnd w:id="93"/>
    <w:p w14:paraId="113674E8"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基础研究指不预设特定应用目的、旨在获得基本原理和基本规律的研究，是科学技术的源头，其水平决定了一个国家科技创新的底蕴和后劲。我国基础研究投入不足，基础研究占全社会研发总经费的比重多年徘徊在</w:t>
      </w:r>
      <w:r>
        <w:rPr>
          <w:rFonts w:eastAsia="宋体" w:cs="Times New Roman"/>
          <w:sz w:val="24"/>
          <w:szCs w:val="22"/>
        </w:rPr>
        <w:t>5%</w:t>
      </w:r>
      <w:r>
        <w:rPr>
          <w:rFonts w:eastAsia="宋体" w:cs="Times New Roman" w:hint="eastAsia"/>
          <w:sz w:val="24"/>
          <w:szCs w:val="22"/>
        </w:rPr>
        <w:t>左右，</w:t>
      </w:r>
      <w:r>
        <w:rPr>
          <w:rFonts w:eastAsia="宋体" w:cs="Times New Roman"/>
          <w:sz w:val="24"/>
          <w:szCs w:val="22"/>
        </w:rPr>
        <w:t>2020</w:t>
      </w:r>
      <w:r>
        <w:rPr>
          <w:rFonts w:eastAsia="宋体" w:cs="Times New Roman" w:hint="eastAsia"/>
          <w:sz w:val="24"/>
          <w:szCs w:val="22"/>
        </w:rPr>
        <w:t>年首次超过</w:t>
      </w:r>
      <w:r>
        <w:rPr>
          <w:rFonts w:eastAsia="宋体" w:cs="Times New Roman" w:hint="eastAsia"/>
          <w:sz w:val="24"/>
          <w:szCs w:val="22"/>
        </w:rPr>
        <w:t>6</w:t>
      </w:r>
      <w:r>
        <w:rPr>
          <w:rFonts w:eastAsia="宋体" w:cs="Times New Roman"/>
          <w:sz w:val="24"/>
          <w:szCs w:val="22"/>
        </w:rPr>
        <w:t>%</w:t>
      </w:r>
      <w:r>
        <w:rPr>
          <w:rFonts w:eastAsia="宋体" w:cs="Times New Roman" w:hint="eastAsia"/>
          <w:sz w:val="24"/>
          <w:szCs w:val="22"/>
        </w:rPr>
        <w:t>。“十三五”期间基础研究经费投入占研发经费投入比重从</w:t>
      </w:r>
      <w:r>
        <w:rPr>
          <w:rFonts w:eastAsia="宋体" w:cs="Times New Roman" w:hint="eastAsia"/>
          <w:sz w:val="24"/>
          <w:szCs w:val="22"/>
        </w:rPr>
        <w:t>5</w:t>
      </w:r>
      <w:r>
        <w:rPr>
          <w:rFonts w:eastAsia="宋体" w:cs="Times New Roman"/>
          <w:sz w:val="24"/>
          <w:szCs w:val="22"/>
        </w:rPr>
        <w:t>.05%</w:t>
      </w:r>
      <w:r>
        <w:rPr>
          <w:rFonts w:eastAsia="宋体" w:cs="Times New Roman" w:hint="eastAsia"/>
          <w:sz w:val="24"/>
          <w:szCs w:val="22"/>
        </w:rPr>
        <w:t>提高到</w:t>
      </w:r>
      <w:r>
        <w:rPr>
          <w:rFonts w:eastAsia="宋体" w:cs="Times New Roman" w:hint="eastAsia"/>
          <w:sz w:val="24"/>
          <w:szCs w:val="22"/>
        </w:rPr>
        <w:t>6</w:t>
      </w:r>
      <w:r>
        <w:rPr>
          <w:rFonts w:eastAsia="宋体" w:cs="Times New Roman"/>
          <w:sz w:val="24"/>
          <w:szCs w:val="22"/>
        </w:rPr>
        <w:t>.16%</w:t>
      </w:r>
      <w:r>
        <w:rPr>
          <w:rFonts w:eastAsia="宋体" w:cs="Times New Roman" w:hint="eastAsia"/>
          <w:sz w:val="24"/>
          <w:szCs w:val="22"/>
        </w:rPr>
        <w:t>，远低于主要发达国家</w:t>
      </w:r>
      <w:r>
        <w:rPr>
          <w:rFonts w:eastAsia="宋体" w:cs="Times New Roman" w:hint="eastAsia"/>
          <w:sz w:val="24"/>
          <w:szCs w:val="22"/>
        </w:rPr>
        <w:t>1</w:t>
      </w:r>
      <w:r>
        <w:rPr>
          <w:rFonts w:eastAsia="宋体" w:cs="Times New Roman"/>
          <w:sz w:val="24"/>
          <w:szCs w:val="22"/>
        </w:rPr>
        <w:t>5%~25%</w:t>
      </w:r>
      <w:r>
        <w:rPr>
          <w:rFonts w:eastAsia="宋体" w:cs="Times New Roman" w:hint="eastAsia"/>
          <w:sz w:val="24"/>
          <w:szCs w:val="22"/>
        </w:rPr>
        <w:t>的普遍水平。</w:t>
      </w:r>
      <w:r>
        <w:rPr>
          <w:rFonts w:eastAsia="宋体" w:cs="Times New Roman" w:hint="eastAsia"/>
          <w:sz w:val="24"/>
          <w:szCs w:val="22"/>
        </w:rPr>
        <w:t>2</w:t>
      </w:r>
      <w:r>
        <w:rPr>
          <w:rFonts w:eastAsia="宋体" w:cs="Times New Roman"/>
          <w:sz w:val="24"/>
          <w:szCs w:val="22"/>
        </w:rPr>
        <w:t>020</w:t>
      </w:r>
      <w:r>
        <w:rPr>
          <w:rFonts w:eastAsia="宋体" w:cs="Times New Roman" w:hint="eastAsia"/>
          <w:sz w:val="24"/>
          <w:szCs w:val="22"/>
        </w:rPr>
        <w:t>年基础研究经费投入为</w:t>
      </w:r>
      <w:r>
        <w:rPr>
          <w:rFonts w:eastAsia="宋体" w:cs="Times New Roman" w:hint="eastAsia"/>
          <w:sz w:val="24"/>
          <w:szCs w:val="22"/>
        </w:rPr>
        <w:t>1</w:t>
      </w:r>
      <w:r>
        <w:rPr>
          <w:rFonts w:eastAsia="宋体" w:cs="Times New Roman"/>
          <w:sz w:val="24"/>
          <w:szCs w:val="22"/>
        </w:rPr>
        <w:t>504</w:t>
      </w:r>
      <w:r>
        <w:rPr>
          <w:rFonts w:eastAsia="宋体" w:cs="Times New Roman" w:hint="eastAsia"/>
          <w:sz w:val="24"/>
          <w:szCs w:val="22"/>
        </w:rPr>
        <w:t>亿元，其中政府和企业投入的基础研究经费占比分别约为</w:t>
      </w:r>
      <w:r>
        <w:rPr>
          <w:rFonts w:eastAsia="宋体" w:cs="Times New Roman" w:hint="eastAsia"/>
          <w:sz w:val="24"/>
          <w:szCs w:val="22"/>
        </w:rPr>
        <w:t>9</w:t>
      </w:r>
      <w:r>
        <w:rPr>
          <w:rFonts w:eastAsia="宋体" w:cs="Times New Roman"/>
          <w:sz w:val="24"/>
          <w:szCs w:val="22"/>
        </w:rPr>
        <w:t>2%</w:t>
      </w:r>
      <w:r>
        <w:rPr>
          <w:rFonts w:eastAsia="宋体" w:cs="Times New Roman" w:hint="eastAsia"/>
          <w:sz w:val="24"/>
          <w:szCs w:val="22"/>
        </w:rPr>
        <w:t>、</w:t>
      </w:r>
      <w:r>
        <w:rPr>
          <w:rFonts w:eastAsia="宋体" w:cs="Times New Roman" w:hint="eastAsia"/>
          <w:sz w:val="24"/>
          <w:szCs w:val="22"/>
        </w:rPr>
        <w:t>4</w:t>
      </w:r>
      <w:r>
        <w:rPr>
          <w:rFonts w:eastAsia="宋体" w:cs="Times New Roman"/>
          <w:sz w:val="24"/>
          <w:szCs w:val="22"/>
        </w:rPr>
        <w:t>%</w:t>
      </w:r>
      <w:r>
        <w:rPr>
          <w:rFonts w:eastAsia="宋体" w:cs="Times New Roman" w:hint="eastAsia"/>
          <w:sz w:val="24"/>
          <w:szCs w:val="22"/>
        </w:rPr>
        <w:t>。企业对基础研究重视也远远不够。受技术成果无法转变为经济优势、企业自身研发基础较弱、高技术企业的引领效应发挥不够等因素影响，我国企业研发活动的自主创新活动、研发行为较少，更愿意将大量人力、物力、财力投入到引进国外技术的模仿创新等外延创新活动中，耗时耗力的基础研究则投入寥寥。针对基础研究薄弱的短板，国家明确提出了重视基础研究的鲜明导向，“十四五”规划要求到</w:t>
      </w:r>
      <w:r>
        <w:rPr>
          <w:rFonts w:eastAsia="宋体" w:cs="Times New Roman" w:hint="eastAsia"/>
          <w:sz w:val="24"/>
          <w:szCs w:val="22"/>
        </w:rPr>
        <w:t>2</w:t>
      </w:r>
      <w:r>
        <w:rPr>
          <w:rFonts w:eastAsia="宋体" w:cs="Times New Roman"/>
          <w:sz w:val="24"/>
          <w:szCs w:val="22"/>
        </w:rPr>
        <w:t>025</w:t>
      </w:r>
      <w:r>
        <w:rPr>
          <w:rFonts w:eastAsia="宋体" w:cs="Times New Roman" w:hint="eastAsia"/>
          <w:sz w:val="24"/>
          <w:szCs w:val="22"/>
        </w:rPr>
        <w:t>年基础研究经费投入占研发经费投入比重达到</w:t>
      </w:r>
      <w:r>
        <w:rPr>
          <w:rFonts w:eastAsia="宋体" w:cs="Times New Roman" w:hint="eastAsia"/>
          <w:sz w:val="24"/>
          <w:szCs w:val="22"/>
        </w:rPr>
        <w:t>8</w:t>
      </w:r>
      <w:r>
        <w:rPr>
          <w:rFonts w:eastAsia="宋体" w:cs="Times New Roman"/>
          <w:sz w:val="24"/>
          <w:szCs w:val="22"/>
        </w:rPr>
        <w:t>%</w:t>
      </w:r>
      <w:r>
        <w:rPr>
          <w:rFonts w:eastAsia="宋体" w:cs="Times New Roman" w:hint="eastAsia"/>
          <w:sz w:val="24"/>
          <w:szCs w:val="22"/>
        </w:rPr>
        <w:t>以上。</w:t>
      </w:r>
    </w:p>
    <w:p w14:paraId="712FABB7" w14:textId="77777777" w:rsidR="004651C7" w:rsidRDefault="00BF798C">
      <w:pPr>
        <w:pStyle w:val="affe"/>
      </w:pPr>
      <w:r>
        <w:rPr>
          <w:rFonts w:hint="eastAsia"/>
        </w:rPr>
        <w:t>表</w:t>
      </w:r>
      <w:r>
        <w:t xml:space="preserve">3.3  </w:t>
      </w:r>
      <w:r>
        <w:rPr>
          <w:rFonts w:hint="eastAsia"/>
        </w:rPr>
        <w:t>我国研发总经费中基础研究规模及占比</w:t>
      </w:r>
    </w:p>
    <w:tbl>
      <w:tblPr>
        <w:tblStyle w:val="51"/>
        <w:tblW w:w="5000" w:type="pct"/>
        <w:jc w:val="center"/>
        <w:tblLook w:val="04A0" w:firstRow="1" w:lastRow="0" w:firstColumn="1" w:lastColumn="0" w:noHBand="0" w:noVBand="1"/>
      </w:tblPr>
      <w:tblGrid>
        <w:gridCol w:w="1037"/>
        <w:gridCol w:w="1784"/>
        <w:gridCol w:w="1475"/>
        <w:gridCol w:w="1475"/>
        <w:gridCol w:w="1475"/>
        <w:gridCol w:w="1474"/>
      </w:tblGrid>
      <w:tr w:rsidR="004651C7" w14:paraId="71A05FBC" w14:textId="77777777">
        <w:trPr>
          <w:trHeight w:val="340"/>
          <w:jc w:val="center"/>
        </w:trPr>
        <w:tc>
          <w:tcPr>
            <w:tcW w:w="594" w:type="pct"/>
            <w:vAlign w:val="center"/>
          </w:tcPr>
          <w:p w14:paraId="4CDB779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年份</w:t>
            </w:r>
          </w:p>
        </w:tc>
        <w:tc>
          <w:tcPr>
            <w:tcW w:w="1023" w:type="pct"/>
            <w:vAlign w:val="center"/>
          </w:tcPr>
          <w:p w14:paraId="1A882CF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研究与试验发展</w:t>
            </w:r>
            <w:r>
              <w:rPr>
                <w:rFonts w:eastAsia="宋体" w:cs="Times New Roman"/>
                <w:sz w:val="21"/>
                <w:szCs w:val="21"/>
              </w:rPr>
              <w:lastRenderedPageBreak/>
              <w:t>经费支出</w:t>
            </w:r>
            <w:r>
              <w:rPr>
                <w:rFonts w:eastAsia="宋体" w:cs="Times New Roman" w:hint="eastAsia"/>
                <w:sz w:val="21"/>
                <w:szCs w:val="21"/>
              </w:rPr>
              <w:t>(</w:t>
            </w:r>
            <w:r>
              <w:rPr>
                <w:rFonts w:eastAsia="宋体" w:cs="Times New Roman" w:hint="eastAsia"/>
                <w:sz w:val="21"/>
                <w:szCs w:val="21"/>
              </w:rPr>
              <w:t>亿元</w:t>
            </w:r>
            <w:r>
              <w:rPr>
                <w:rFonts w:eastAsia="宋体" w:cs="Times New Roman"/>
                <w:sz w:val="21"/>
                <w:szCs w:val="21"/>
              </w:rPr>
              <w:t>)</w:t>
            </w:r>
          </w:p>
        </w:tc>
        <w:tc>
          <w:tcPr>
            <w:tcW w:w="846" w:type="pct"/>
            <w:vAlign w:val="center"/>
          </w:tcPr>
          <w:p w14:paraId="7532717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lastRenderedPageBreak/>
              <w:t>其中：基础</w:t>
            </w:r>
            <w:r>
              <w:rPr>
                <w:rFonts w:eastAsia="宋体" w:cs="Times New Roman"/>
                <w:sz w:val="21"/>
                <w:szCs w:val="21"/>
              </w:rPr>
              <w:lastRenderedPageBreak/>
              <w:t>研究</w:t>
            </w:r>
            <w:r>
              <w:rPr>
                <w:rFonts w:eastAsia="宋体" w:cs="Times New Roman" w:hint="eastAsia"/>
                <w:sz w:val="21"/>
                <w:szCs w:val="21"/>
              </w:rPr>
              <w:t>(</w:t>
            </w:r>
            <w:r>
              <w:rPr>
                <w:rFonts w:eastAsia="宋体" w:cs="Times New Roman" w:hint="eastAsia"/>
                <w:sz w:val="21"/>
                <w:szCs w:val="21"/>
              </w:rPr>
              <w:t>亿元</w:t>
            </w:r>
            <w:r>
              <w:rPr>
                <w:rFonts w:eastAsia="宋体" w:cs="Times New Roman"/>
                <w:sz w:val="21"/>
                <w:szCs w:val="21"/>
              </w:rPr>
              <w:t>)</w:t>
            </w:r>
          </w:p>
        </w:tc>
        <w:tc>
          <w:tcPr>
            <w:tcW w:w="846" w:type="pct"/>
            <w:vAlign w:val="center"/>
          </w:tcPr>
          <w:p w14:paraId="2B37219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lastRenderedPageBreak/>
              <w:t>基础研究占</w:t>
            </w:r>
            <w:r>
              <w:rPr>
                <w:rFonts w:eastAsia="宋体" w:cs="Times New Roman"/>
                <w:sz w:val="21"/>
                <w:szCs w:val="21"/>
              </w:rPr>
              <w:lastRenderedPageBreak/>
              <w:t>比</w:t>
            </w:r>
            <w:r>
              <w:rPr>
                <w:rFonts w:eastAsia="宋体" w:cs="Times New Roman" w:hint="eastAsia"/>
                <w:sz w:val="21"/>
                <w:szCs w:val="21"/>
              </w:rPr>
              <w:t>(%</w:t>
            </w:r>
            <w:r>
              <w:rPr>
                <w:rFonts w:eastAsia="宋体" w:cs="Times New Roman"/>
                <w:sz w:val="21"/>
                <w:szCs w:val="21"/>
              </w:rPr>
              <w:t>)</w:t>
            </w:r>
          </w:p>
        </w:tc>
        <w:tc>
          <w:tcPr>
            <w:tcW w:w="846" w:type="pct"/>
            <w:vAlign w:val="center"/>
          </w:tcPr>
          <w:p w14:paraId="7D0F9AF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lastRenderedPageBreak/>
              <w:t>其中：应用</w:t>
            </w:r>
            <w:r>
              <w:rPr>
                <w:rFonts w:eastAsia="宋体" w:cs="Times New Roman"/>
                <w:sz w:val="21"/>
                <w:szCs w:val="21"/>
              </w:rPr>
              <w:lastRenderedPageBreak/>
              <w:t>研究</w:t>
            </w:r>
            <w:r>
              <w:rPr>
                <w:rFonts w:eastAsia="宋体" w:cs="Times New Roman" w:hint="eastAsia"/>
                <w:sz w:val="21"/>
                <w:szCs w:val="21"/>
              </w:rPr>
              <w:t>(</w:t>
            </w:r>
            <w:r>
              <w:rPr>
                <w:rFonts w:eastAsia="宋体" w:cs="Times New Roman" w:hint="eastAsia"/>
                <w:sz w:val="21"/>
                <w:szCs w:val="21"/>
              </w:rPr>
              <w:t>亿元</w:t>
            </w:r>
            <w:r>
              <w:rPr>
                <w:rFonts w:eastAsia="宋体" w:cs="Times New Roman"/>
                <w:sz w:val="21"/>
                <w:szCs w:val="21"/>
              </w:rPr>
              <w:t>)</w:t>
            </w:r>
          </w:p>
        </w:tc>
        <w:tc>
          <w:tcPr>
            <w:tcW w:w="846" w:type="pct"/>
            <w:vAlign w:val="center"/>
          </w:tcPr>
          <w:p w14:paraId="5AB8765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lastRenderedPageBreak/>
              <w:t>其中：试验</w:t>
            </w:r>
            <w:r>
              <w:rPr>
                <w:rFonts w:eastAsia="宋体" w:cs="Times New Roman"/>
                <w:sz w:val="21"/>
                <w:szCs w:val="21"/>
              </w:rPr>
              <w:lastRenderedPageBreak/>
              <w:t>发展</w:t>
            </w:r>
            <w:r>
              <w:rPr>
                <w:rFonts w:eastAsia="宋体" w:cs="Times New Roman" w:hint="eastAsia"/>
                <w:sz w:val="21"/>
                <w:szCs w:val="21"/>
              </w:rPr>
              <w:t>(</w:t>
            </w:r>
            <w:r>
              <w:rPr>
                <w:rFonts w:eastAsia="宋体" w:cs="Times New Roman" w:hint="eastAsia"/>
                <w:sz w:val="21"/>
                <w:szCs w:val="21"/>
              </w:rPr>
              <w:t>亿元</w:t>
            </w:r>
            <w:r>
              <w:rPr>
                <w:rFonts w:eastAsia="宋体" w:cs="Times New Roman"/>
                <w:sz w:val="21"/>
                <w:szCs w:val="21"/>
              </w:rPr>
              <w:t>)</w:t>
            </w:r>
          </w:p>
        </w:tc>
      </w:tr>
      <w:tr w:rsidR="004651C7" w14:paraId="7BC5EBD7" w14:textId="77777777">
        <w:trPr>
          <w:trHeight w:val="340"/>
          <w:jc w:val="center"/>
        </w:trPr>
        <w:tc>
          <w:tcPr>
            <w:tcW w:w="594" w:type="pct"/>
            <w:vAlign w:val="center"/>
          </w:tcPr>
          <w:p w14:paraId="3085ACB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lastRenderedPageBreak/>
              <w:t>1995</w:t>
            </w:r>
          </w:p>
        </w:tc>
        <w:tc>
          <w:tcPr>
            <w:tcW w:w="1023" w:type="pct"/>
            <w:vAlign w:val="center"/>
          </w:tcPr>
          <w:p w14:paraId="1340381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349</w:t>
            </w:r>
          </w:p>
        </w:tc>
        <w:tc>
          <w:tcPr>
            <w:tcW w:w="846" w:type="pct"/>
            <w:vAlign w:val="center"/>
          </w:tcPr>
          <w:p w14:paraId="21B54A2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18</w:t>
            </w:r>
          </w:p>
        </w:tc>
        <w:tc>
          <w:tcPr>
            <w:tcW w:w="846" w:type="pct"/>
            <w:vAlign w:val="center"/>
          </w:tcPr>
          <w:p w14:paraId="42EAE56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5.19</w:t>
            </w:r>
          </w:p>
        </w:tc>
        <w:tc>
          <w:tcPr>
            <w:tcW w:w="846" w:type="pct"/>
            <w:vAlign w:val="center"/>
          </w:tcPr>
          <w:p w14:paraId="486E95F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92</w:t>
            </w:r>
          </w:p>
        </w:tc>
        <w:tc>
          <w:tcPr>
            <w:tcW w:w="846" w:type="pct"/>
            <w:vAlign w:val="center"/>
          </w:tcPr>
          <w:p w14:paraId="557B71B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239</w:t>
            </w:r>
          </w:p>
        </w:tc>
      </w:tr>
      <w:tr w:rsidR="004651C7" w14:paraId="636294C0" w14:textId="77777777">
        <w:trPr>
          <w:trHeight w:val="340"/>
          <w:jc w:val="center"/>
        </w:trPr>
        <w:tc>
          <w:tcPr>
            <w:tcW w:w="594" w:type="pct"/>
            <w:vAlign w:val="center"/>
          </w:tcPr>
          <w:p w14:paraId="72F5950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1996</w:t>
            </w:r>
          </w:p>
        </w:tc>
        <w:tc>
          <w:tcPr>
            <w:tcW w:w="1023" w:type="pct"/>
            <w:vAlign w:val="center"/>
          </w:tcPr>
          <w:p w14:paraId="5264475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404</w:t>
            </w:r>
          </w:p>
        </w:tc>
        <w:tc>
          <w:tcPr>
            <w:tcW w:w="846" w:type="pct"/>
            <w:vAlign w:val="center"/>
          </w:tcPr>
          <w:p w14:paraId="6C11242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w:t>
            </w:r>
          </w:p>
        </w:tc>
        <w:tc>
          <w:tcPr>
            <w:tcW w:w="846" w:type="pct"/>
            <w:vAlign w:val="center"/>
          </w:tcPr>
          <w:p w14:paraId="68A3CBD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4.99</w:t>
            </w:r>
          </w:p>
        </w:tc>
        <w:tc>
          <w:tcPr>
            <w:tcW w:w="846" w:type="pct"/>
            <w:vAlign w:val="center"/>
          </w:tcPr>
          <w:p w14:paraId="6ECF1C3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99</w:t>
            </w:r>
          </w:p>
        </w:tc>
        <w:tc>
          <w:tcPr>
            <w:tcW w:w="846" w:type="pct"/>
            <w:vAlign w:val="center"/>
          </w:tcPr>
          <w:p w14:paraId="1A7A5D8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285</w:t>
            </w:r>
          </w:p>
        </w:tc>
      </w:tr>
      <w:tr w:rsidR="004651C7" w14:paraId="690843E2" w14:textId="77777777">
        <w:trPr>
          <w:trHeight w:val="340"/>
          <w:jc w:val="center"/>
        </w:trPr>
        <w:tc>
          <w:tcPr>
            <w:tcW w:w="594" w:type="pct"/>
            <w:vAlign w:val="center"/>
          </w:tcPr>
          <w:p w14:paraId="57F176F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1997</w:t>
            </w:r>
          </w:p>
        </w:tc>
        <w:tc>
          <w:tcPr>
            <w:tcW w:w="1023" w:type="pct"/>
            <w:vAlign w:val="center"/>
          </w:tcPr>
          <w:p w14:paraId="656EE80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509</w:t>
            </w:r>
          </w:p>
        </w:tc>
        <w:tc>
          <w:tcPr>
            <w:tcW w:w="846" w:type="pct"/>
            <w:vAlign w:val="center"/>
          </w:tcPr>
          <w:p w14:paraId="6AC85B1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27</w:t>
            </w:r>
          </w:p>
        </w:tc>
        <w:tc>
          <w:tcPr>
            <w:tcW w:w="846" w:type="pct"/>
            <w:vAlign w:val="center"/>
          </w:tcPr>
          <w:p w14:paraId="235C4A1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5.38</w:t>
            </w:r>
          </w:p>
        </w:tc>
        <w:tc>
          <w:tcPr>
            <w:tcW w:w="846" w:type="pct"/>
            <w:vAlign w:val="center"/>
          </w:tcPr>
          <w:p w14:paraId="2692429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133</w:t>
            </w:r>
          </w:p>
        </w:tc>
        <w:tc>
          <w:tcPr>
            <w:tcW w:w="846" w:type="pct"/>
            <w:vAlign w:val="center"/>
          </w:tcPr>
          <w:p w14:paraId="54129C6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349</w:t>
            </w:r>
          </w:p>
        </w:tc>
      </w:tr>
      <w:tr w:rsidR="004651C7" w14:paraId="519583F8" w14:textId="77777777">
        <w:trPr>
          <w:trHeight w:val="340"/>
          <w:jc w:val="center"/>
        </w:trPr>
        <w:tc>
          <w:tcPr>
            <w:tcW w:w="594" w:type="pct"/>
            <w:vAlign w:val="center"/>
          </w:tcPr>
          <w:p w14:paraId="7D21351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1998</w:t>
            </w:r>
          </w:p>
        </w:tc>
        <w:tc>
          <w:tcPr>
            <w:tcW w:w="1023" w:type="pct"/>
            <w:vAlign w:val="center"/>
          </w:tcPr>
          <w:p w14:paraId="7DFE236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551</w:t>
            </w:r>
          </w:p>
        </w:tc>
        <w:tc>
          <w:tcPr>
            <w:tcW w:w="846" w:type="pct"/>
            <w:vAlign w:val="center"/>
          </w:tcPr>
          <w:p w14:paraId="19A0BF8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29</w:t>
            </w:r>
          </w:p>
        </w:tc>
        <w:tc>
          <w:tcPr>
            <w:tcW w:w="846" w:type="pct"/>
            <w:vAlign w:val="center"/>
          </w:tcPr>
          <w:p w14:paraId="46E0257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5.26</w:t>
            </w:r>
          </w:p>
        </w:tc>
        <w:tc>
          <w:tcPr>
            <w:tcW w:w="846" w:type="pct"/>
            <w:vAlign w:val="center"/>
          </w:tcPr>
          <w:p w14:paraId="2009F90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125</w:t>
            </w:r>
          </w:p>
        </w:tc>
        <w:tc>
          <w:tcPr>
            <w:tcW w:w="846" w:type="pct"/>
            <w:vAlign w:val="center"/>
          </w:tcPr>
          <w:p w14:paraId="39A3879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398</w:t>
            </w:r>
          </w:p>
        </w:tc>
      </w:tr>
      <w:tr w:rsidR="004651C7" w14:paraId="35DC0C4C" w14:textId="77777777">
        <w:trPr>
          <w:trHeight w:val="340"/>
          <w:jc w:val="center"/>
        </w:trPr>
        <w:tc>
          <w:tcPr>
            <w:tcW w:w="594" w:type="pct"/>
            <w:vAlign w:val="center"/>
          </w:tcPr>
          <w:p w14:paraId="6FF4B24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1999</w:t>
            </w:r>
          </w:p>
        </w:tc>
        <w:tc>
          <w:tcPr>
            <w:tcW w:w="1023" w:type="pct"/>
            <w:vAlign w:val="center"/>
          </w:tcPr>
          <w:p w14:paraId="19696C2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679</w:t>
            </w:r>
          </w:p>
        </w:tc>
        <w:tc>
          <w:tcPr>
            <w:tcW w:w="846" w:type="pct"/>
            <w:vAlign w:val="center"/>
          </w:tcPr>
          <w:p w14:paraId="7C66B38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34</w:t>
            </w:r>
          </w:p>
        </w:tc>
        <w:tc>
          <w:tcPr>
            <w:tcW w:w="846" w:type="pct"/>
            <w:vAlign w:val="center"/>
          </w:tcPr>
          <w:p w14:paraId="0B03794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4.99</w:t>
            </w:r>
          </w:p>
        </w:tc>
        <w:tc>
          <w:tcPr>
            <w:tcW w:w="846" w:type="pct"/>
            <w:vAlign w:val="center"/>
          </w:tcPr>
          <w:p w14:paraId="1F5043E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152</w:t>
            </w:r>
          </w:p>
        </w:tc>
        <w:tc>
          <w:tcPr>
            <w:tcW w:w="846" w:type="pct"/>
            <w:vAlign w:val="center"/>
          </w:tcPr>
          <w:p w14:paraId="6548D33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494</w:t>
            </w:r>
          </w:p>
        </w:tc>
      </w:tr>
      <w:tr w:rsidR="004651C7" w14:paraId="509C8D6B" w14:textId="77777777">
        <w:trPr>
          <w:trHeight w:val="340"/>
          <w:jc w:val="center"/>
        </w:trPr>
        <w:tc>
          <w:tcPr>
            <w:tcW w:w="594" w:type="pct"/>
            <w:vAlign w:val="center"/>
          </w:tcPr>
          <w:p w14:paraId="55D08A3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2000</w:t>
            </w:r>
          </w:p>
        </w:tc>
        <w:tc>
          <w:tcPr>
            <w:tcW w:w="1023" w:type="pct"/>
            <w:vAlign w:val="center"/>
          </w:tcPr>
          <w:p w14:paraId="3C541CB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896</w:t>
            </w:r>
          </w:p>
        </w:tc>
        <w:tc>
          <w:tcPr>
            <w:tcW w:w="846" w:type="pct"/>
            <w:vAlign w:val="center"/>
          </w:tcPr>
          <w:p w14:paraId="01DDF75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47</w:t>
            </w:r>
          </w:p>
        </w:tc>
        <w:tc>
          <w:tcPr>
            <w:tcW w:w="846" w:type="pct"/>
            <w:vAlign w:val="center"/>
          </w:tcPr>
          <w:p w14:paraId="3B6779A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5.21</w:t>
            </w:r>
          </w:p>
        </w:tc>
        <w:tc>
          <w:tcPr>
            <w:tcW w:w="846" w:type="pct"/>
            <w:vAlign w:val="center"/>
          </w:tcPr>
          <w:p w14:paraId="0BB412A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152</w:t>
            </w:r>
          </w:p>
        </w:tc>
        <w:tc>
          <w:tcPr>
            <w:tcW w:w="846" w:type="pct"/>
            <w:vAlign w:val="center"/>
          </w:tcPr>
          <w:p w14:paraId="163D817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697</w:t>
            </w:r>
          </w:p>
        </w:tc>
      </w:tr>
      <w:tr w:rsidR="004651C7" w14:paraId="781B617F" w14:textId="77777777">
        <w:trPr>
          <w:trHeight w:val="340"/>
          <w:jc w:val="center"/>
        </w:trPr>
        <w:tc>
          <w:tcPr>
            <w:tcW w:w="594" w:type="pct"/>
            <w:vAlign w:val="center"/>
          </w:tcPr>
          <w:p w14:paraId="20EA1DE3"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2001</w:t>
            </w:r>
          </w:p>
        </w:tc>
        <w:tc>
          <w:tcPr>
            <w:tcW w:w="1023" w:type="pct"/>
            <w:vAlign w:val="center"/>
          </w:tcPr>
          <w:p w14:paraId="5089430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1042</w:t>
            </w:r>
          </w:p>
        </w:tc>
        <w:tc>
          <w:tcPr>
            <w:tcW w:w="846" w:type="pct"/>
            <w:vAlign w:val="center"/>
          </w:tcPr>
          <w:p w14:paraId="3CDDAB9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52</w:t>
            </w:r>
          </w:p>
        </w:tc>
        <w:tc>
          <w:tcPr>
            <w:tcW w:w="846" w:type="pct"/>
            <w:vAlign w:val="center"/>
          </w:tcPr>
          <w:p w14:paraId="1F0D0C0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5.01</w:t>
            </w:r>
          </w:p>
        </w:tc>
        <w:tc>
          <w:tcPr>
            <w:tcW w:w="846" w:type="pct"/>
            <w:vAlign w:val="center"/>
          </w:tcPr>
          <w:p w14:paraId="52938DF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176</w:t>
            </w:r>
          </w:p>
        </w:tc>
        <w:tc>
          <w:tcPr>
            <w:tcW w:w="846" w:type="pct"/>
            <w:vAlign w:val="center"/>
          </w:tcPr>
          <w:p w14:paraId="01BAD8C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814</w:t>
            </w:r>
          </w:p>
        </w:tc>
      </w:tr>
      <w:tr w:rsidR="004651C7" w14:paraId="0D19167F" w14:textId="77777777">
        <w:trPr>
          <w:trHeight w:val="340"/>
          <w:jc w:val="center"/>
        </w:trPr>
        <w:tc>
          <w:tcPr>
            <w:tcW w:w="594" w:type="pct"/>
            <w:vAlign w:val="center"/>
          </w:tcPr>
          <w:p w14:paraId="4D78341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2002</w:t>
            </w:r>
          </w:p>
        </w:tc>
        <w:tc>
          <w:tcPr>
            <w:tcW w:w="1023" w:type="pct"/>
            <w:vAlign w:val="center"/>
          </w:tcPr>
          <w:p w14:paraId="1773E10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1288</w:t>
            </w:r>
          </w:p>
        </w:tc>
        <w:tc>
          <w:tcPr>
            <w:tcW w:w="846" w:type="pct"/>
            <w:vAlign w:val="center"/>
          </w:tcPr>
          <w:p w14:paraId="538C8EA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74</w:t>
            </w:r>
          </w:p>
        </w:tc>
        <w:tc>
          <w:tcPr>
            <w:tcW w:w="846" w:type="pct"/>
            <w:vAlign w:val="center"/>
          </w:tcPr>
          <w:p w14:paraId="52487C1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5.73</w:t>
            </w:r>
          </w:p>
        </w:tc>
        <w:tc>
          <w:tcPr>
            <w:tcW w:w="846" w:type="pct"/>
            <w:vAlign w:val="center"/>
          </w:tcPr>
          <w:p w14:paraId="41CD9B1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247</w:t>
            </w:r>
          </w:p>
        </w:tc>
        <w:tc>
          <w:tcPr>
            <w:tcW w:w="846" w:type="pct"/>
            <w:vAlign w:val="center"/>
          </w:tcPr>
          <w:p w14:paraId="07C4345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967</w:t>
            </w:r>
          </w:p>
        </w:tc>
      </w:tr>
      <w:tr w:rsidR="004651C7" w14:paraId="63213980" w14:textId="77777777">
        <w:trPr>
          <w:trHeight w:val="340"/>
          <w:jc w:val="center"/>
        </w:trPr>
        <w:tc>
          <w:tcPr>
            <w:tcW w:w="594" w:type="pct"/>
            <w:vAlign w:val="center"/>
          </w:tcPr>
          <w:p w14:paraId="1680C9A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2003</w:t>
            </w:r>
          </w:p>
        </w:tc>
        <w:tc>
          <w:tcPr>
            <w:tcW w:w="1023" w:type="pct"/>
            <w:vAlign w:val="center"/>
          </w:tcPr>
          <w:p w14:paraId="65C4B20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1540</w:t>
            </w:r>
          </w:p>
        </w:tc>
        <w:tc>
          <w:tcPr>
            <w:tcW w:w="846" w:type="pct"/>
            <w:vAlign w:val="center"/>
          </w:tcPr>
          <w:p w14:paraId="45EEB6B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88</w:t>
            </w:r>
          </w:p>
        </w:tc>
        <w:tc>
          <w:tcPr>
            <w:tcW w:w="846" w:type="pct"/>
            <w:vAlign w:val="center"/>
          </w:tcPr>
          <w:p w14:paraId="71E58F0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5.70</w:t>
            </w:r>
          </w:p>
        </w:tc>
        <w:tc>
          <w:tcPr>
            <w:tcW w:w="846" w:type="pct"/>
            <w:vAlign w:val="center"/>
          </w:tcPr>
          <w:p w14:paraId="0EAE0BD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311</w:t>
            </w:r>
          </w:p>
        </w:tc>
        <w:tc>
          <w:tcPr>
            <w:tcW w:w="846" w:type="pct"/>
            <w:vAlign w:val="center"/>
          </w:tcPr>
          <w:p w14:paraId="4609056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1141</w:t>
            </w:r>
          </w:p>
        </w:tc>
      </w:tr>
      <w:tr w:rsidR="004651C7" w14:paraId="2A4A5FE8" w14:textId="77777777">
        <w:trPr>
          <w:trHeight w:val="340"/>
          <w:jc w:val="center"/>
        </w:trPr>
        <w:tc>
          <w:tcPr>
            <w:tcW w:w="594" w:type="pct"/>
            <w:vAlign w:val="center"/>
          </w:tcPr>
          <w:p w14:paraId="0CA7D1B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2004</w:t>
            </w:r>
          </w:p>
        </w:tc>
        <w:tc>
          <w:tcPr>
            <w:tcW w:w="1023" w:type="pct"/>
            <w:vAlign w:val="center"/>
          </w:tcPr>
          <w:p w14:paraId="1D25611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1966</w:t>
            </w:r>
          </w:p>
        </w:tc>
        <w:tc>
          <w:tcPr>
            <w:tcW w:w="846" w:type="pct"/>
            <w:vAlign w:val="center"/>
          </w:tcPr>
          <w:p w14:paraId="3E0AF37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117</w:t>
            </w:r>
          </w:p>
        </w:tc>
        <w:tc>
          <w:tcPr>
            <w:tcW w:w="846" w:type="pct"/>
            <w:vAlign w:val="center"/>
          </w:tcPr>
          <w:p w14:paraId="452A1D7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5.96</w:t>
            </w:r>
          </w:p>
        </w:tc>
        <w:tc>
          <w:tcPr>
            <w:tcW w:w="846" w:type="pct"/>
            <w:vAlign w:val="center"/>
          </w:tcPr>
          <w:p w14:paraId="7BB8B81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401</w:t>
            </w:r>
          </w:p>
        </w:tc>
        <w:tc>
          <w:tcPr>
            <w:tcW w:w="846" w:type="pct"/>
            <w:vAlign w:val="center"/>
          </w:tcPr>
          <w:p w14:paraId="787B391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1449</w:t>
            </w:r>
          </w:p>
        </w:tc>
      </w:tr>
      <w:tr w:rsidR="004651C7" w14:paraId="7FF643AB" w14:textId="77777777">
        <w:trPr>
          <w:trHeight w:val="340"/>
          <w:jc w:val="center"/>
        </w:trPr>
        <w:tc>
          <w:tcPr>
            <w:tcW w:w="594" w:type="pct"/>
            <w:vAlign w:val="center"/>
          </w:tcPr>
          <w:p w14:paraId="024E097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2005</w:t>
            </w:r>
          </w:p>
        </w:tc>
        <w:tc>
          <w:tcPr>
            <w:tcW w:w="1023" w:type="pct"/>
            <w:vAlign w:val="center"/>
          </w:tcPr>
          <w:p w14:paraId="06CD1CC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2450</w:t>
            </w:r>
          </w:p>
        </w:tc>
        <w:tc>
          <w:tcPr>
            <w:tcW w:w="846" w:type="pct"/>
            <w:vAlign w:val="center"/>
          </w:tcPr>
          <w:p w14:paraId="05D6BBC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131</w:t>
            </w:r>
          </w:p>
        </w:tc>
        <w:tc>
          <w:tcPr>
            <w:tcW w:w="846" w:type="pct"/>
            <w:vAlign w:val="center"/>
          </w:tcPr>
          <w:p w14:paraId="19EE302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5.36</w:t>
            </w:r>
          </w:p>
        </w:tc>
        <w:tc>
          <w:tcPr>
            <w:tcW w:w="846" w:type="pct"/>
            <w:vAlign w:val="center"/>
          </w:tcPr>
          <w:p w14:paraId="61B915B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434</w:t>
            </w:r>
          </w:p>
        </w:tc>
        <w:tc>
          <w:tcPr>
            <w:tcW w:w="846" w:type="pct"/>
            <w:vAlign w:val="center"/>
          </w:tcPr>
          <w:p w14:paraId="1482FB7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1885</w:t>
            </w:r>
          </w:p>
        </w:tc>
      </w:tr>
      <w:tr w:rsidR="004651C7" w14:paraId="5215CC92" w14:textId="77777777">
        <w:trPr>
          <w:trHeight w:val="340"/>
          <w:jc w:val="center"/>
        </w:trPr>
        <w:tc>
          <w:tcPr>
            <w:tcW w:w="594" w:type="pct"/>
            <w:vAlign w:val="center"/>
          </w:tcPr>
          <w:p w14:paraId="258EFAD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2006</w:t>
            </w:r>
          </w:p>
        </w:tc>
        <w:tc>
          <w:tcPr>
            <w:tcW w:w="1023" w:type="pct"/>
            <w:vAlign w:val="center"/>
          </w:tcPr>
          <w:p w14:paraId="793A16E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3003</w:t>
            </w:r>
          </w:p>
        </w:tc>
        <w:tc>
          <w:tcPr>
            <w:tcW w:w="846" w:type="pct"/>
            <w:vAlign w:val="center"/>
          </w:tcPr>
          <w:p w14:paraId="448D34A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156</w:t>
            </w:r>
          </w:p>
        </w:tc>
        <w:tc>
          <w:tcPr>
            <w:tcW w:w="846" w:type="pct"/>
            <w:vAlign w:val="center"/>
          </w:tcPr>
          <w:p w14:paraId="782975A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5.19</w:t>
            </w:r>
          </w:p>
        </w:tc>
        <w:tc>
          <w:tcPr>
            <w:tcW w:w="846" w:type="pct"/>
            <w:vAlign w:val="center"/>
          </w:tcPr>
          <w:p w14:paraId="699488F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489</w:t>
            </w:r>
          </w:p>
        </w:tc>
        <w:tc>
          <w:tcPr>
            <w:tcW w:w="846" w:type="pct"/>
            <w:vAlign w:val="center"/>
          </w:tcPr>
          <w:p w14:paraId="0256AC1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2358</w:t>
            </w:r>
          </w:p>
        </w:tc>
      </w:tr>
      <w:tr w:rsidR="004651C7" w14:paraId="52D68F91" w14:textId="77777777">
        <w:trPr>
          <w:trHeight w:val="340"/>
          <w:jc w:val="center"/>
        </w:trPr>
        <w:tc>
          <w:tcPr>
            <w:tcW w:w="594" w:type="pct"/>
            <w:vAlign w:val="center"/>
          </w:tcPr>
          <w:p w14:paraId="2955D66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2007</w:t>
            </w:r>
          </w:p>
        </w:tc>
        <w:tc>
          <w:tcPr>
            <w:tcW w:w="1023" w:type="pct"/>
            <w:vAlign w:val="center"/>
          </w:tcPr>
          <w:p w14:paraId="5D101F3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3710</w:t>
            </w:r>
          </w:p>
        </w:tc>
        <w:tc>
          <w:tcPr>
            <w:tcW w:w="846" w:type="pct"/>
            <w:vAlign w:val="center"/>
          </w:tcPr>
          <w:p w14:paraId="4E895D7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175</w:t>
            </w:r>
          </w:p>
        </w:tc>
        <w:tc>
          <w:tcPr>
            <w:tcW w:w="846" w:type="pct"/>
            <w:vAlign w:val="center"/>
          </w:tcPr>
          <w:p w14:paraId="06D4513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4.70</w:t>
            </w:r>
          </w:p>
        </w:tc>
        <w:tc>
          <w:tcPr>
            <w:tcW w:w="846" w:type="pct"/>
            <w:vAlign w:val="center"/>
          </w:tcPr>
          <w:p w14:paraId="1A3C656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493</w:t>
            </w:r>
          </w:p>
        </w:tc>
        <w:tc>
          <w:tcPr>
            <w:tcW w:w="846" w:type="pct"/>
            <w:vAlign w:val="center"/>
          </w:tcPr>
          <w:p w14:paraId="1A0BD42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3043</w:t>
            </w:r>
          </w:p>
        </w:tc>
      </w:tr>
      <w:tr w:rsidR="004651C7" w14:paraId="504E3404" w14:textId="77777777">
        <w:trPr>
          <w:trHeight w:val="340"/>
          <w:jc w:val="center"/>
        </w:trPr>
        <w:tc>
          <w:tcPr>
            <w:tcW w:w="594" w:type="pct"/>
            <w:vAlign w:val="center"/>
          </w:tcPr>
          <w:p w14:paraId="0C4E9EB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2008</w:t>
            </w:r>
          </w:p>
        </w:tc>
        <w:tc>
          <w:tcPr>
            <w:tcW w:w="1023" w:type="pct"/>
            <w:vAlign w:val="center"/>
          </w:tcPr>
          <w:p w14:paraId="3F2CBC8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4616</w:t>
            </w:r>
          </w:p>
        </w:tc>
        <w:tc>
          <w:tcPr>
            <w:tcW w:w="846" w:type="pct"/>
            <w:vAlign w:val="center"/>
          </w:tcPr>
          <w:p w14:paraId="3249A19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221</w:t>
            </w:r>
          </w:p>
        </w:tc>
        <w:tc>
          <w:tcPr>
            <w:tcW w:w="846" w:type="pct"/>
            <w:vAlign w:val="center"/>
          </w:tcPr>
          <w:p w14:paraId="4DCA200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4.78</w:t>
            </w:r>
          </w:p>
        </w:tc>
        <w:tc>
          <w:tcPr>
            <w:tcW w:w="846" w:type="pct"/>
            <w:vAlign w:val="center"/>
          </w:tcPr>
          <w:p w14:paraId="5E3BD9D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575</w:t>
            </w:r>
          </w:p>
        </w:tc>
        <w:tc>
          <w:tcPr>
            <w:tcW w:w="846" w:type="pct"/>
            <w:vAlign w:val="center"/>
          </w:tcPr>
          <w:p w14:paraId="39215F3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3820</w:t>
            </w:r>
          </w:p>
        </w:tc>
      </w:tr>
      <w:tr w:rsidR="004651C7" w14:paraId="7526EC35" w14:textId="77777777">
        <w:trPr>
          <w:trHeight w:val="340"/>
          <w:jc w:val="center"/>
        </w:trPr>
        <w:tc>
          <w:tcPr>
            <w:tcW w:w="594" w:type="pct"/>
            <w:vAlign w:val="center"/>
          </w:tcPr>
          <w:p w14:paraId="632E6D6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2009</w:t>
            </w:r>
          </w:p>
        </w:tc>
        <w:tc>
          <w:tcPr>
            <w:tcW w:w="1023" w:type="pct"/>
            <w:vAlign w:val="center"/>
          </w:tcPr>
          <w:p w14:paraId="0727A3C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5792</w:t>
            </w:r>
          </w:p>
        </w:tc>
        <w:tc>
          <w:tcPr>
            <w:tcW w:w="846" w:type="pct"/>
            <w:vAlign w:val="center"/>
          </w:tcPr>
          <w:p w14:paraId="16C27B8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265</w:t>
            </w:r>
          </w:p>
        </w:tc>
        <w:tc>
          <w:tcPr>
            <w:tcW w:w="846" w:type="pct"/>
            <w:vAlign w:val="center"/>
          </w:tcPr>
          <w:p w14:paraId="3E08F3E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4.57</w:t>
            </w:r>
          </w:p>
        </w:tc>
        <w:tc>
          <w:tcPr>
            <w:tcW w:w="846" w:type="pct"/>
            <w:vAlign w:val="center"/>
          </w:tcPr>
          <w:p w14:paraId="7880EDC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725</w:t>
            </w:r>
          </w:p>
        </w:tc>
        <w:tc>
          <w:tcPr>
            <w:tcW w:w="846" w:type="pct"/>
            <w:vAlign w:val="center"/>
          </w:tcPr>
          <w:p w14:paraId="052EF2D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4802</w:t>
            </w:r>
          </w:p>
        </w:tc>
      </w:tr>
      <w:tr w:rsidR="004651C7" w14:paraId="2CA783C7" w14:textId="77777777">
        <w:trPr>
          <w:trHeight w:val="340"/>
          <w:jc w:val="center"/>
        </w:trPr>
        <w:tc>
          <w:tcPr>
            <w:tcW w:w="594" w:type="pct"/>
            <w:vAlign w:val="center"/>
          </w:tcPr>
          <w:p w14:paraId="71409FB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2010</w:t>
            </w:r>
          </w:p>
        </w:tc>
        <w:tc>
          <w:tcPr>
            <w:tcW w:w="1023" w:type="pct"/>
            <w:vAlign w:val="center"/>
          </w:tcPr>
          <w:p w14:paraId="573D2AD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7063</w:t>
            </w:r>
          </w:p>
        </w:tc>
        <w:tc>
          <w:tcPr>
            <w:tcW w:w="846" w:type="pct"/>
            <w:vAlign w:val="center"/>
          </w:tcPr>
          <w:p w14:paraId="60A16CD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325</w:t>
            </w:r>
          </w:p>
        </w:tc>
        <w:tc>
          <w:tcPr>
            <w:tcW w:w="846" w:type="pct"/>
            <w:vAlign w:val="center"/>
          </w:tcPr>
          <w:p w14:paraId="2BD891A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4.59</w:t>
            </w:r>
          </w:p>
        </w:tc>
        <w:tc>
          <w:tcPr>
            <w:tcW w:w="846" w:type="pct"/>
            <w:vAlign w:val="center"/>
          </w:tcPr>
          <w:p w14:paraId="2E587395"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894</w:t>
            </w:r>
          </w:p>
        </w:tc>
        <w:tc>
          <w:tcPr>
            <w:tcW w:w="846" w:type="pct"/>
            <w:vAlign w:val="center"/>
          </w:tcPr>
          <w:p w14:paraId="1256F2A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5844</w:t>
            </w:r>
          </w:p>
        </w:tc>
      </w:tr>
      <w:tr w:rsidR="004651C7" w14:paraId="146440AA" w14:textId="77777777">
        <w:trPr>
          <w:trHeight w:val="340"/>
          <w:jc w:val="center"/>
        </w:trPr>
        <w:tc>
          <w:tcPr>
            <w:tcW w:w="594" w:type="pct"/>
            <w:vAlign w:val="center"/>
          </w:tcPr>
          <w:p w14:paraId="317728F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2011</w:t>
            </w:r>
          </w:p>
        </w:tc>
        <w:tc>
          <w:tcPr>
            <w:tcW w:w="1023" w:type="pct"/>
            <w:vAlign w:val="center"/>
          </w:tcPr>
          <w:p w14:paraId="436C0E2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8687</w:t>
            </w:r>
          </w:p>
        </w:tc>
        <w:tc>
          <w:tcPr>
            <w:tcW w:w="846" w:type="pct"/>
            <w:vAlign w:val="center"/>
          </w:tcPr>
          <w:p w14:paraId="236800B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412</w:t>
            </w:r>
          </w:p>
        </w:tc>
        <w:tc>
          <w:tcPr>
            <w:tcW w:w="846" w:type="pct"/>
            <w:vAlign w:val="center"/>
          </w:tcPr>
          <w:p w14:paraId="67F0C47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4.74</w:t>
            </w:r>
          </w:p>
        </w:tc>
        <w:tc>
          <w:tcPr>
            <w:tcW w:w="846" w:type="pct"/>
            <w:vAlign w:val="center"/>
          </w:tcPr>
          <w:p w14:paraId="1AAF2FA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1028</w:t>
            </w:r>
          </w:p>
        </w:tc>
        <w:tc>
          <w:tcPr>
            <w:tcW w:w="846" w:type="pct"/>
            <w:vAlign w:val="center"/>
          </w:tcPr>
          <w:p w14:paraId="4DC4DD2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7247</w:t>
            </w:r>
          </w:p>
        </w:tc>
      </w:tr>
      <w:tr w:rsidR="004651C7" w14:paraId="4D6576D0" w14:textId="77777777">
        <w:trPr>
          <w:trHeight w:val="340"/>
          <w:jc w:val="center"/>
        </w:trPr>
        <w:tc>
          <w:tcPr>
            <w:tcW w:w="594" w:type="pct"/>
            <w:vAlign w:val="center"/>
          </w:tcPr>
          <w:p w14:paraId="65116F0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2012</w:t>
            </w:r>
          </w:p>
        </w:tc>
        <w:tc>
          <w:tcPr>
            <w:tcW w:w="1023" w:type="pct"/>
            <w:vAlign w:val="center"/>
          </w:tcPr>
          <w:p w14:paraId="68DD655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10298</w:t>
            </w:r>
          </w:p>
        </w:tc>
        <w:tc>
          <w:tcPr>
            <w:tcW w:w="846" w:type="pct"/>
            <w:vAlign w:val="center"/>
          </w:tcPr>
          <w:p w14:paraId="10868A5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499</w:t>
            </w:r>
          </w:p>
        </w:tc>
        <w:tc>
          <w:tcPr>
            <w:tcW w:w="846" w:type="pct"/>
            <w:vAlign w:val="center"/>
          </w:tcPr>
          <w:p w14:paraId="1476C2A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4.84</w:t>
            </w:r>
          </w:p>
        </w:tc>
        <w:tc>
          <w:tcPr>
            <w:tcW w:w="846" w:type="pct"/>
            <w:vAlign w:val="center"/>
          </w:tcPr>
          <w:p w14:paraId="2B15D18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1162</w:t>
            </w:r>
          </w:p>
        </w:tc>
        <w:tc>
          <w:tcPr>
            <w:tcW w:w="846" w:type="pct"/>
            <w:vAlign w:val="center"/>
          </w:tcPr>
          <w:p w14:paraId="7F146B4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8638</w:t>
            </w:r>
          </w:p>
        </w:tc>
      </w:tr>
      <w:tr w:rsidR="004651C7" w14:paraId="22706142" w14:textId="77777777">
        <w:trPr>
          <w:trHeight w:val="340"/>
          <w:jc w:val="center"/>
        </w:trPr>
        <w:tc>
          <w:tcPr>
            <w:tcW w:w="594" w:type="pct"/>
            <w:vAlign w:val="center"/>
          </w:tcPr>
          <w:p w14:paraId="488BDD8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2013</w:t>
            </w:r>
          </w:p>
        </w:tc>
        <w:tc>
          <w:tcPr>
            <w:tcW w:w="1023" w:type="pct"/>
            <w:vAlign w:val="center"/>
          </w:tcPr>
          <w:p w14:paraId="38BF822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11847</w:t>
            </w:r>
          </w:p>
        </w:tc>
        <w:tc>
          <w:tcPr>
            <w:tcW w:w="846" w:type="pct"/>
            <w:vAlign w:val="center"/>
          </w:tcPr>
          <w:p w14:paraId="25F1E04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555</w:t>
            </w:r>
          </w:p>
        </w:tc>
        <w:tc>
          <w:tcPr>
            <w:tcW w:w="846" w:type="pct"/>
            <w:vAlign w:val="center"/>
          </w:tcPr>
          <w:p w14:paraId="4B35B4C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4.68</w:t>
            </w:r>
          </w:p>
        </w:tc>
        <w:tc>
          <w:tcPr>
            <w:tcW w:w="846" w:type="pct"/>
            <w:vAlign w:val="center"/>
          </w:tcPr>
          <w:p w14:paraId="6665C80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1269</w:t>
            </w:r>
          </w:p>
        </w:tc>
        <w:tc>
          <w:tcPr>
            <w:tcW w:w="846" w:type="pct"/>
            <w:vAlign w:val="center"/>
          </w:tcPr>
          <w:p w14:paraId="69B6BCA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10023</w:t>
            </w:r>
          </w:p>
        </w:tc>
      </w:tr>
      <w:tr w:rsidR="004651C7" w14:paraId="3741E5FA" w14:textId="77777777">
        <w:trPr>
          <w:trHeight w:val="340"/>
          <w:jc w:val="center"/>
        </w:trPr>
        <w:tc>
          <w:tcPr>
            <w:tcW w:w="594" w:type="pct"/>
            <w:vAlign w:val="center"/>
          </w:tcPr>
          <w:p w14:paraId="4C4FEDD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2014</w:t>
            </w:r>
          </w:p>
        </w:tc>
        <w:tc>
          <w:tcPr>
            <w:tcW w:w="1023" w:type="pct"/>
            <w:vAlign w:val="center"/>
          </w:tcPr>
          <w:p w14:paraId="3164ABF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13016</w:t>
            </w:r>
          </w:p>
        </w:tc>
        <w:tc>
          <w:tcPr>
            <w:tcW w:w="846" w:type="pct"/>
            <w:vAlign w:val="center"/>
          </w:tcPr>
          <w:p w14:paraId="7E2638E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614</w:t>
            </w:r>
          </w:p>
        </w:tc>
        <w:tc>
          <w:tcPr>
            <w:tcW w:w="846" w:type="pct"/>
            <w:vAlign w:val="center"/>
          </w:tcPr>
          <w:p w14:paraId="1B61369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4.71</w:t>
            </w:r>
          </w:p>
        </w:tc>
        <w:tc>
          <w:tcPr>
            <w:tcW w:w="846" w:type="pct"/>
            <w:vAlign w:val="center"/>
          </w:tcPr>
          <w:p w14:paraId="7B789F9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1399</w:t>
            </w:r>
          </w:p>
        </w:tc>
        <w:tc>
          <w:tcPr>
            <w:tcW w:w="846" w:type="pct"/>
            <w:vAlign w:val="center"/>
          </w:tcPr>
          <w:p w14:paraId="5D8E4D8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11004</w:t>
            </w:r>
          </w:p>
        </w:tc>
      </w:tr>
      <w:tr w:rsidR="004651C7" w14:paraId="3BCADC6A" w14:textId="77777777">
        <w:trPr>
          <w:trHeight w:val="340"/>
          <w:jc w:val="center"/>
        </w:trPr>
        <w:tc>
          <w:tcPr>
            <w:tcW w:w="594" w:type="pct"/>
            <w:vAlign w:val="center"/>
          </w:tcPr>
          <w:p w14:paraId="762073CB"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2015</w:t>
            </w:r>
          </w:p>
        </w:tc>
        <w:tc>
          <w:tcPr>
            <w:tcW w:w="1023" w:type="pct"/>
            <w:vAlign w:val="center"/>
          </w:tcPr>
          <w:p w14:paraId="560739F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14170</w:t>
            </w:r>
          </w:p>
        </w:tc>
        <w:tc>
          <w:tcPr>
            <w:tcW w:w="846" w:type="pct"/>
            <w:vAlign w:val="center"/>
          </w:tcPr>
          <w:p w14:paraId="6E4899DD"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716</w:t>
            </w:r>
          </w:p>
        </w:tc>
        <w:tc>
          <w:tcPr>
            <w:tcW w:w="846" w:type="pct"/>
            <w:vAlign w:val="center"/>
          </w:tcPr>
          <w:p w14:paraId="7243B64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5.05</w:t>
            </w:r>
          </w:p>
        </w:tc>
        <w:tc>
          <w:tcPr>
            <w:tcW w:w="846" w:type="pct"/>
            <w:vAlign w:val="center"/>
          </w:tcPr>
          <w:p w14:paraId="2AB3EF4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1529</w:t>
            </w:r>
          </w:p>
        </w:tc>
        <w:tc>
          <w:tcPr>
            <w:tcW w:w="846" w:type="pct"/>
            <w:vAlign w:val="center"/>
          </w:tcPr>
          <w:p w14:paraId="53F0110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11925</w:t>
            </w:r>
          </w:p>
        </w:tc>
      </w:tr>
      <w:tr w:rsidR="004651C7" w14:paraId="313A9D80" w14:textId="77777777">
        <w:trPr>
          <w:trHeight w:val="340"/>
          <w:jc w:val="center"/>
        </w:trPr>
        <w:tc>
          <w:tcPr>
            <w:tcW w:w="594" w:type="pct"/>
            <w:vAlign w:val="center"/>
          </w:tcPr>
          <w:p w14:paraId="7076AD4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2016</w:t>
            </w:r>
          </w:p>
        </w:tc>
        <w:tc>
          <w:tcPr>
            <w:tcW w:w="1023" w:type="pct"/>
            <w:vAlign w:val="center"/>
          </w:tcPr>
          <w:p w14:paraId="13E2E77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15677</w:t>
            </w:r>
          </w:p>
        </w:tc>
        <w:tc>
          <w:tcPr>
            <w:tcW w:w="846" w:type="pct"/>
            <w:vAlign w:val="center"/>
          </w:tcPr>
          <w:p w14:paraId="02D6BC8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823</w:t>
            </w:r>
          </w:p>
        </w:tc>
        <w:tc>
          <w:tcPr>
            <w:tcW w:w="846" w:type="pct"/>
            <w:vAlign w:val="center"/>
          </w:tcPr>
          <w:p w14:paraId="030BBAB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5.25</w:t>
            </w:r>
          </w:p>
        </w:tc>
        <w:tc>
          <w:tcPr>
            <w:tcW w:w="846" w:type="pct"/>
            <w:vAlign w:val="center"/>
          </w:tcPr>
          <w:p w14:paraId="740714B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1610</w:t>
            </w:r>
          </w:p>
        </w:tc>
        <w:tc>
          <w:tcPr>
            <w:tcW w:w="846" w:type="pct"/>
            <w:vAlign w:val="center"/>
          </w:tcPr>
          <w:p w14:paraId="4EB28239"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13243</w:t>
            </w:r>
          </w:p>
        </w:tc>
      </w:tr>
      <w:tr w:rsidR="004651C7" w14:paraId="11D0EDF8" w14:textId="77777777">
        <w:trPr>
          <w:trHeight w:val="340"/>
          <w:jc w:val="center"/>
        </w:trPr>
        <w:tc>
          <w:tcPr>
            <w:tcW w:w="594" w:type="pct"/>
            <w:vAlign w:val="center"/>
          </w:tcPr>
          <w:p w14:paraId="30B8F45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2017</w:t>
            </w:r>
          </w:p>
        </w:tc>
        <w:tc>
          <w:tcPr>
            <w:tcW w:w="1023" w:type="pct"/>
            <w:vAlign w:val="center"/>
          </w:tcPr>
          <w:p w14:paraId="42829A5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17606</w:t>
            </w:r>
          </w:p>
        </w:tc>
        <w:tc>
          <w:tcPr>
            <w:tcW w:w="846" w:type="pct"/>
            <w:vAlign w:val="center"/>
          </w:tcPr>
          <w:p w14:paraId="2767517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975</w:t>
            </w:r>
          </w:p>
        </w:tc>
        <w:tc>
          <w:tcPr>
            <w:tcW w:w="846" w:type="pct"/>
            <w:vAlign w:val="center"/>
          </w:tcPr>
          <w:p w14:paraId="41AE4BD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5.54</w:t>
            </w:r>
          </w:p>
        </w:tc>
        <w:tc>
          <w:tcPr>
            <w:tcW w:w="846" w:type="pct"/>
            <w:vAlign w:val="center"/>
          </w:tcPr>
          <w:p w14:paraId="569FE3E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1849</w:t>
            </w:r>
          </w:p>
        </w:tc>
        <w:tc>
          <w:tcPr>
            <w:tcW w:w="846" w:type="pct"/>
            <w:vAlign w:val="center"/>
          </w:tcPr>
          <w:p w14:paraId="4EF7C1C1"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14781</w:t>
            </w:r>
          </w:p>
        </w:tc>
      </w:tr>
      <w:tr w:rsidR="004651C7" w14:paraId="7168B351" w14:textId="77777777">
        <w:trPr>
          <w:trHeight w:val="340"/>
          <w:jc w:val="center"/>
        </w:trPr>
        <w:tc>
          <w:tcPr>
            <w:tcW w:w="594" w:type="pct"/>
            <w:vAlign w:val="center"/>
          </w:tcPr>
          <w:p w14:paraId="1746094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2018</w:t>
            </w:r>
          </w:p>
        </w:tc>
        <w:tc>
          <w:tcPr>
            <w:tcW w:w="1023" w:type="pct"/>
            <w:vAlign w:val="center"/>
          </w:tcPr>
          <w:p w14:paraId="74DFB06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19678</w:t>
            </w:r>
          </w:p>
        </w:tc>
        <w:tc>
          <w:tcPr>
            <w:tcW w:w="846" w:type="pct"/>
            <w:vAlign w:val="center"/>
          </w:tcPr>
          <w:p w14:paraId="447E582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1090</w:t>
            </w:r>
          </w:p>
        </w:tc>
        <w:tc>
          <w:tcPr>
            <w:tcW w:w="846" w:type="pct"/>
            <w:vAlign w:val="center"/>
          </w:tcPr>
          <w:p w14:paraId="3E096F3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5.54</w:t>
            </w:r>
          </w:p>
        </w:tc>
        <w:tc>
          <w:tcPr>
            <w:tcW w:w="846" w:type="pct"/>
            <w:vAlign w:val="center"/>
          </w:tcPr>
          <w:p w14:paraId="0AFC8C04"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2191</w:t>
            </w:r>
          </w:p>
        </w:tc>
        <w:tc>
          <w:tcPr>
            <w:tcW w:w="846" w:type="pct"/>
            <w:vAlign w:val="center"/>
          </w:tcPr>
          <w:p w14:paraId="159432A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16397</w:t>
            </w:r>
          </w:p>
        </w:tc>
      </w:tr>
      <w:tr w:rsidR="004651C7" w14:paraId="371246BB" w14:textId="77777777">
        <w:trPr>
          <w:trHeight w:val="340"/>
          <w:jc w:val="center"/>
        </w:trPr>
        <w:tc>
          <w:tcPr>
            <w:tcW w:w="594" w:type="pct"/>
            <w:vAlign w:val="center"/>
          </w:tcPr>
          <w:p w14:paraId="58B42B87"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2019</w:t>
            </w:r>
          </w:p>
        </w:tc>
        <w:tc>
          <w:tcPr>
            <w:tcW w:w="1023" w:type="pct"/>
            <w:vAlign w:val="center"/>
          </w:tcPr>
          <w:p w14:paraId="12F6B2B0"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22144</w:t>
            </w:r>
          </w:p>
        </w:tc>
        <w:tc>
          <w:tcPr>
            <w:tcW w:w="846" w:type="pct"/>
            <w:vAlign w:val="center"/>
          </w:tcPr>
          <w:p w14:paraId="1D31B8D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1336</w:t>
            </w:r>
          </w:p>
        </w:tc>
        <w:tc>
          <w:tcPr>
            <w:tcW w:w="846" w:type="pct"/>
            <w:vAlign w:val="center"/>
          </w:tcPr>
          <w:p w14:paraId="178D0512"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6.03</w:t>
            </w:r>
          </w:p>
        </w:tc>
        <w:tc>
          <w:tcPr>
            <w:tcW w:w="846" w:type="pct"/>
            <w:vAlign w:val="center"/>
          </w:tcPr>
          <w:p w14:paraId="18084BC6"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2499</w:t>
            </w:r>
          </w:p>
        </w:tc>
        <w:tc>
          <w:tcPr>
            <w:tcW w:w="846" w:type="pct"/>
            <w:vAlign w:val="center"/>
          </w:tcPr>
          <w:p w14:paraId="114FA24E"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18310</w:t>
            </w:r>
          </w:p>
        </w:tc>
      </w:tr>
      <w:tr w:rsidR="004651C7" w14:paraId="1F182186" w14:textId="77777777">
        <w:trPr>
          <w:trHeight w:val="340"/>
          <w:jc w:val="center"/>
        </w:trPr>
        <w:tc>
          <w:tcPr>
            <w:tcW w:w="594" w:type="pct"/>
            <w:vAlign w:val="center"/>
          </w:tcPr>
          <w:p w14:paraId="533036D8"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2020</w:t>
            </w:r>
          </w:p>
        </w:tc>
        <w:tc>
          <w:tcPr>
            <w:tcW w:w="1023" w:type="pct"/>
            <w:vAlign w:val="center"/>
          </w:tcPr>
          <w:p w14:paraId="7BB4DE2C"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24426</w:t>
            </w:r>
          </w:p>
        </w:tc>
        <w:tc>
          <w:tcPr>
            <w:tcW w:w="846" w:type="pct"/>
            <w:vAlign w:val="center"/>
          </w:tcPr>
          <w:p w14:paraId="64BC38CA"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1504</w:t>
            </w:r>
          </w:p>
        </w:tc>
        <w:tc>
          <w:tcPr>
            <w:tcW w:w="846" w:type="pct"/>
            <w:vAlign w:val="center"/>
          </w:tcPr>
          <w:p w14:paraId="23DB927F" w14:textId="77777777" w:rsidR="004651C7" w:rsidRDefault="00BF798C">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6.16</w:t>
            </w:r>
          </w:p>
        </w:tc>
        <w:tc>
          <w:tcPr>
            <w:tcW w:w="846" w:type="pct"/>
            <w:vAlign w:val="center"/>
          </w:tcPr>
          <w:p w14:paraId="398FE84E"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c>
          <w:tcPr>
            <w:tcW w:w="846" w:type="pct"/>
            <w:vAlign w:val="center"/>
          </w:tcPr>
          <w:p w14:paraId="60CFCDD4" w14:textId="77777777" w:rsidR="004651C7" w:rsidRDefault="004651C7">
            <w:pPr>
              <w:adjustRightInd w:val="0"/>
              <w:snapToGrid w:val="0"/>
              <w:spacing w:before="100" w:line="312" w:lineRule="auto"/>
              <w:ind w:firstLineChars="0" w:firstLine="0"/>
              <w:jc w:val="center"/>
              <w:rPr>
                <w:rFonts w:eastAsia="宋体" w:cs="Times New Roman"/>
                <w:sz w:val="21"/>
                <w:szCs w:val="21"/>
              </w:rPr>
            </w:pPr>
          </w:p>
        </w:tc>
      </w:tr>
    </w:tbl>
    <w:p w14:paraId="7BCACD8B" w14:textId="77777777" w:rsidR="004651C7" w:rsidRDefault="004651C7">
      <w:pPr>
        <w:overflowPunct w:val="0"/>
        <w:spacing w:line="360" w:lineRule="auto"/>
        <w:ind w:firstLine="480"/>
        <w:rPr>
          <w:rFonts w:eastAsia="宋体" w:cs="Times New Roman"/>
          <w:sz w:val="24"/>
          <w:szCs w:val="22"/>
        </w:rPr>
      </w:pPr>
    </w:p>
    <w:p w14:paraId="2E3C52B8" w14:textId="77777777" w:rsidR="004651C7" w:rsidRDefault="00BF798C">
      <w:pPr>
        <w:pStyle w:val="4"/>
      </w:pPr>
      <w:bookmarkStart w:id="94" w:name="_Toc93661697"/>
      <w:bookmarkStart w:id="95" w:name="_Hlk87396329"/>
      <w:r>
        <w:rPr>
          <w:rFonts w:hint="eastAsia"/>
        </w:rPr>
        <w:t>2</w:t>
      </w:r>
      <w:r>
        <w:t>.</w:t>
      </w:r>
      <w:r>
        <w:rPr>
          <w:rFonts w:hint="eastAsia"/>
        </w:rPr>
        <w:t>关键核心技术受制于人的局面没有得到根本性改变</w:t>
      </w:r>
      <w:bookmarkEnd w:id="94"/>
    </w:p>
    <w:bookmarkEnd w:id="95"/>
    <w:p w14:paraId="5B3E352F"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随着我国综合创新能力持续提升，一些前沿领域开始进入并跑、领跑阶段，但一些关键核心技术仍存在受制于人的情况。我国在底层基础技术、基础工艺能力上存在明显不足，工业母机、高端芯片、基础软硬件、开发平台、基本算法、基础元器件、</w:t>
      </w:r>
      <w:r>
        <w:rPr>
          <w:rFonts w:eastAsia="宋体" w:cs="Times New Roman" w:hint="eastAsia"/>
          <w:sz w:val="24"/>
          <w:szCs w:val="22"/>
        </w:rPr>
        <w:lastRenderedPageBreak/>
        <w:t>基础材料等瓶颈仍然突出。</w:t>
      </w:r>
      <w:r>
        <w:rPr>
          <w:rFonts w:eastAsia="宋体" w:cs="Times New Roman" w:hint="eastAsia"/>
          <w:sz w:val="24"/>
          <w:szCs w:val="22"/>
        </w:rPr>
        <w:t>2</w:t>
      </w:r>
      <w:r>
        <w:rPr>
          <w:rFonts w:eastAsia="宋体" w:cs="Times New Roman"/>
          <w:sz w:val="24"/>
          <w:szCs w:val="22"/>
        </w:rPr>
        <w:t>018</w:t>
      </w:r>
      <w:r>
        <w:rPr>
          <w:rFonts w:eastAsia="宋体" w:cs="Times New Roman" w:hint="eastAsia"/>
          <w:sz w:val="24"/>
          <w:szCs w:val="22"/>
        </w:rPr>
        <w:t>年工信部对全国</w:t>
      </w:r>
      <w:r>
        <w:rPr>
          <w:rFonts w:eastAsia="宋体" w:cs="Times New Roman" w:hint="eastAsia"/>
          <w:sz w:val="24"/>
          <w:szCs w:val="22"/>
        </w:rPr>
        <w:t>30</w:t>
      </w:r>
      <w:r>
        <w:rPr>
          <w:rFonts w:eastAsia="宋体" w:cs="Times New Roman" w:hint="eastAsia"/>
          <w:sz w:val="24"/>
          <w:szCs w:val="22"/>
        </w:rPr>
        <w:t>多家大型企业</w:t>
      </w:r>
      <w:r>
        <w:rPr>
          <w:rFonts w:eastAsia="宋体" w:cs="Times New Roman" w:hint="eastAsia"/>
          <w:sz w:val="24"/>
          <w:szCs w:val="22"/>
        </w:rPr>
        <w:t>130</w:t>
      </w:r>
      <w:r>
        <w:rPr>
          <w:rFonts w:eastAsia="宋体" w:cs="Times New Roman" w:hint="eastAsia"/>
          <w:sz w:val="24"/>
          <w:szCs w:val="22"/>
        </w:rPr>
        <w:t>多种关键基础材料调研结果显示，</w:t>
      </w:r>
      <w:r>
        <w:rPr>
          <w:rFonts w:eastAsia="宋体" w:cs="Times New Roman" w:hint="eastAsia"/>
          <w:sz w:val="24"/>
          <w:szCs w:val="22"/>
        </w:rPr>
        <w:t>32%</w:t>
      </w:r>
      <w:r>
        <w:rPr>
          <w:rFonts w:eastAsia="宋体" w:cs="Times New Roman" w:hint="eastAsia"/>
          <w:sz w:val="24"/>
          <w:szCs w:val="22"/>
        </w:rPr>
        <w:t>的关键材料在中国仍为空白，</w:t>
      </w:r>
      <w:r>
        <w:rPr>
          <w:rFonts w:eastAsia="宋体" w:cs="Times New Roman" w:hint="eastAsia"/>
          <w:sz w:val="24"/>
          <w:szCs w:val="22"/>
        </w:rPr>
        <w:t>52%</w:t>
      </w:r>
      <w:r>
        <w:rPr>
          <w:rFonts w:eastAsia="宋体" w:cs="Times New Roman" w:hint="eastAsia"/>
          <w:sz w:val="24"/>
          <w:szCs w:val="22"/>
        </w:rPr>
        <w:t>依赖进口，绝大多数计算机和服务器通用处理器</w:t>
      </w:r>
      <w:r>
        <w:rPr>
          <w:rFonts w:eastAsia="宋体" w:cs="Times New Roman" w:hint="eastAsia"/>
          <w:sz w:val="24"/>
          <w:szCs w:val="22"/>
        </w:rPr>
        <w:t>95%</w:t>
      </w:r>
      <w:r>
        <w:rPr>
          <w:rFonts w:eastAsia="宋体" w:cs="Times New Roman" w:hint="eastAsia"/>
          <w:sz w:val="24"/>
          <w:szCs w:val="22"/>
        </w:rPr>
        <w:t>的高端专用芯片，</w:t>
      </w:r>
      <w:r>
        <w:rPr>
          <w:rFonts w:eastAsia="宋体" w:cs="Times New Roman" w:hint="eastAsia"/>
          <w:sz w:val="24"/>
          <w:szCs w:val="22"/>
        </w:rPr>
        <w:t>70%</w:t>
      </w:r>
      <w:r>
        <w:rPr>
          <w:rFonts w:eastAsia="宋体" w:cs="Times New Roman" w:hint="eastAsia"/>
          <w:sz w:val="24"/>
          <w:szCs w:val="22"/>
        </w:rPr>
        <w:t>以上智能终端处理器以及绝大多数存储芯片依赖进口。在装备制造领域，高档数控机床、高档装备仪器、运载火箭、大飞机、航空发动机、汽车等关键件精加工生产线上逾</w:t>
      </w:r>
      <w:r>
        <w:rPr>
          <w:rFonts w:eastAsia="宋体" w:cs="Times New Roman" w:hint="eastAsia"/>
          <w:sz w:val="24"/>
          <w:szCs w:val="22"/>
        </w:rPr>
        <w:t>95%</w:t>
      </w:r>
      <w:r>
        <w:rPr>
          <w:rFonts w:eastAsia="宋体" w:cs="Times New Roman" w:hint="eastAsia"/>
          <w:sz w:val="24"/>
          <w:szCs w:val="22"/>
        </w:rPr>
        <w:t>制造及检测设备依赖进口。以</w:t>
      </w:r>
      <w:r>
        <w:rPr>
          <w:rFonts w:eastAsia="宋体" w:cs="Times New Roman" w:hint="eastAsia"/>
          <w:sz w:val="24"/>
          <w:szCs w:val="22"/>
        </w:rPr>
        <w:t>IC</w:t>
      </w:r>
      <w:r>
        <w:rPr>
          <w:rFonts w:eastAsia="宋体" w:cs="Times New Roman" w:hint="eastAsia"/>
          <w:sz w:val="24"/>
          <w:szCs w:val="22"/>
        </w:rPr>
        <w:t>芯片（集成电路）为例，芯片是当今信息时代的核心元器件，是互联网企业发展的“命门”，也是各国占领高科技领域和市场的必争之地。数据显示，我国一年制造</w:t>
      </w:r>
      <w:r>
        <w:rPr>
          <w:rFonts w:eastAsia="宋体" w:cs="Times New Roman" w:hint="eastAsia"/>
          <w:sz w:val="24"/>
          <w:szCs w:val="22"/>
        </w:rPr>
        <w:t>11.8</w:t>
      </w:r>
      <w:r>
        <w:rPr>
          <w:rFonts w:eastAsia="宋体" w:cs="Times New Roman" w:hint="eastAsia"/>
          <w:sz w:val="24"/>
          <w:szCs w:val="22"/>
        </w:rPr>
        <w:t>亿部手机（占全球手机产量的七成）、</w:t>
      </w:r>
      <w:r>
        <w:rPr>
          <w:rFonts w:eastAsia="宋体" w:cs="Times New Roman" w:hint="eastAsia"/>
          <w:sz w:val="24"/>
          <w:szCs w:val="22"/>
        </w:rPr>
        <w:t>3.5</w:t>
      </w:r>
      <w:r>
        <w:rPr>
          <w:rFonts w:eastAsia="宋体" w:cs="Times New Roman" w:hint="eastAsia"/>
          <w:sz w:val="24"/>
          <w:szCs w:val="22"/>
        </w:rPr>
        <w:t>亿台计算机、</w:t>
      </w:r>
      <w:r>
        <w:rPr>
          <w:rFonts w:eastAsia="宋体" w:cs="Times New Roman" w:hint="eastAsia"/>
          <w:sz w:val="24"/>
          <w:szCs w:val="22"/>
        </w:rPr>
        <w:t>1.3</w:t>
      </w:r>
      <w:r>
        <w:rPr>
          <w:rFonts w:eastAsia="宋体" w:cs="Times New Roman" w:hint="eastAsia"/>
          <w:sz w:val="24"/>
          <w:szCs w:val="22"/>
        </w:rPr>
        <w:t>亿台彩电，对</w:t>
      </w:r>
      <w:r>
        <w:rPr>
          <w:rFonts w:eastAsia="宋体" w:cs="Times New Roman" w:hint="eastAsia"/>
          <w:sz w:val="24"/>
          <w:szCs w:val="22"/>
        </w:rPr>
        <w:t>IC</w:t>
      </w:r>
      <w:r>
        <w:rPr>
          <w:rFonts w:eastAsia="宋体" w:cs="Times New Roman" w:hint="eastAsia"/>
          <w:sz w:val="24"/>
          <w:szCs w:val="22"/>
        </w:rPr>
        <w:t>芯片的需求占据全球市场供货量的</w:t>
      </w:r>
      <w:r>
        <w:rPr>
          <w:rFonts w:eastAsia="宋体" w:cs="Times New Roman" w:hint="eastAsia"/>
          <w:sz w:val="24"/>
          <w:szCs w:val="22"/>
        </w:rPr>
        <w:t>1/3</w:t>
      </w:r>
      <w:r>
        <w:rPr>
          <w:rFonts w:eastAsia="宋体" w:cs="Times New Roman" w:hint="eastAsia"/>
          <w:sz w:val="24"/>
          <w:szCs w:val="22"/>
        </w:rPr>
        <w:t>。但尴尬的是，国产芯片的自给率不足</w:t>
      </w:r>
      <w:r>
        <w:rPr>
          <w:rFonts w:eastAsia="宋体" w:cs="Times New Roman" w:hint="eastAsia"/>
          <w:sz w:val="24"/>
          <w:szCs w:val="22"/>
        </w:rPr>
        <w:t>3</w:t>
      </w:r>
      <w:r>
        <w:rPr>
          <w:rFonts w:eastAsia="宋体" w:cs="Times New Roman" w:hint="eastAsia"/>
          <w:sz w:val="24"/>
          <w:szCs w:val="22"/>
        </w:rPr>
        <w:t>成，集成电路产值不足全球的</w:t>
      </w:r>
      <w:r>
        <w:rPr>
          <w:rFonts w:eastAsia="宋体" w:cs="Times New Roman" w:hint="eastAsia"/>
          <w:sz w:val="24"/>
          <w:szCs w:val="22"/>
        </w:rPr>
        <w:t>7%</w:t>
      </w:r>
      <w:r>
        <w:rPr>
          <w:rFonts w:eastAsia="宋体" w:cs="Times New Roman" w:hint="eastAsia"/>
          <w:sz w:val="24"/>
          <w:szCs w:val="22"/>
        </w:rPr>
        <w:t>，市场份额不到</w:t>
      </w:r>
      <w:r>
        <w:rPr>
          <w:rFonts w:eastAsia="宋体" w:cs="Times New Roman" w:hint="eastAsia"/>
          <w:sz w:val="24"/>
          <w:szCs w:val="22"/>
        </w:rPr>
        <w:t>10%</w:t>
      </w:r>
      <w:r>
        <w:rPr>
          <w:rFonts w:eastAsia="宋体" w:cs="Times New Roman" w:hint="eastAsia"/>
          <w:sz w:val="24"/>
          <w:szCs w:val="22"/>
        </w:rPr>
        <w:t>，我国信息产业和制造业的芯片</w:t>
      </w:r>
      <w:r>
        <w:rPr>
          <w:rFonts w:eastAsia="宋体" w:cs="Times New Roman" w:hint="eastAsia"/>
          <w:sz w:val="24"/>
          <w:szCs w:val="22"/>
        </w:rPr>
        <w:t>90%</w:t>
      </w:r>
      <w:r>
        <w:rPr>
          <w:rFonts w:eastAsia="宋体" w:cs="Times New Roman" w:hint="eastAsia"/>
          <w:sz w:val="24"/>
          <w:szCs w:val="22"/>
        </w:rPr>
        <w:t>以上依赖进口。</w:t>
      </w:r>
    </w:p>
    <w:p w14:paraId="7C8B2BD4" w14:textId="77777777" w:rsidR="004651C7" w:rsidRDefault="00BF798C">
      <w:pPr>
        <w:pStyle w:val="4"/>
      </w:pPr>
      <w:bookmarkStart w:id="96" w:name="_Toc93661698"/>
      <w:bookmarkStart w:id="97" w:name="_Hlk87396342"/>
      <w:r>
        <w:rPr>
          <w:rFonts w:hint="eastAsia"/>
        </w:rPr>
        <w:t>3</w:t>
      </w:r>
      <w:r>
        <w:t>.</w:t>
      </w:r>
      <w:r>
        <w:rPr>
          <w:rFonts w:hint="eastAsia"/>
        </w:rPr>
        <w:t>科技成果转化率仍然偏低</w:t>
      </w:r>
      <w:bookmarkEnd w:id="96"/>
    </w:p>
    <w:bookmarkEnd w:id="97"/>
    <w:p w14:paraId="021D6978"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我国技术研发聚焦产业发展瓶颈和需求不够，科技与经济脱节的现象比较突出，科技对经济社会发展的支撑能力仍有待提高。</w:t>
      </w:r>
      <w:r>
        <w:rPr>
          <w:rFonts w:eastAsia="宋体" w:cs="Times New Roman"/>
          <w:sz w:val="24"/>
          <w:szCs w:val="22"/>
        </w:rPr>
        <w:t>一是高校、科研机构科技成果实用性不强。</w:t>
      </w:r>
      <w:r>
        <w:rPr>
          <w:rFonts w:eastAsia="宋体" w:cs="Times New Roman" w:hint="eastAsia"/>
          <w:sz w:val="24"/>
          <w:szCs w:val="22"/>
        </w:rPr>
        <w:t>目前我国重大科研活动主要由实力雄厚的高校、科研单位承担，国家财政资助的科研设施和科技成果在内部封闭运行，由于不需要经历市场竞争，高校、研究机构的科研活动动力不足，科研人员对成果的创新性、市场应用性重视不够，研究成果与企业需求和产业技术发展有较大差距。二是科研考核体系对成果转化重视不够。现行考核体系下“重研发、轻转化”、“重论文、轻专利”等现象仍然存在，这导致科研人员片面追求发表论文的数量，对成果转化积极性不高。三是企业科技创新能力不强。企业创造、吸纳、运用科技成果的能力还有提升空间，国企大而不强、外企强而不为、民企长而不大。中小企业大多处于产业低端，对成果转化有心无力。</w:t>
      </w:r>
      <w:r>
        <w:rPr>
          <w:rFonts w:eastAsia="宋体" w:cs="Times New Roman" w:hint="eastAsia"/>
          <w:sz w:val="24"/>
          <w:szCs w:val="22"/>
        </w:rPr>
        <w:t>2</w:t>
      </w:r>
      <w:r>
        <w:rPr>
          <w:rFonts w:eastAsia="宋体" w:cs="Times New Roman"/>
          <w:sz w:val="24"/>
          <w:szCs w:val="22"/>
        </w:rPr>
        <w:t>019</w:t>
      </w:r>
      <w:r>
        <w:rPr>
          <w:rFonts w:eastAsia="宋体" w:cs="Times New Roman" w:hint="eastAsia"/>
          <w:sz w:val="24"/>
          <w:szCs w:val="22"/>
        </w:rPr>
        <w:t>年全国规模以上工业企业研发经费支出占主营业务收入比约为</w:t>
      </w:r>
      <w:r>
        <w:rPr>
          <w:rFonts w:eastAsia="宋体" w:cs="Times New Roman"/>
          <w:sz w:val="24"/>
          <w:szCs w:val="22"/>
        </w:rPr>
        <w:t>1.32</w:t>
      </w:r>
      <w:r>
        <w:rPr>
          <w:rFonts w:eastAsia="宋体" w:cs="Times New Roman" w:hint="eastAsia"/>
          <w:sz w:val="24"/>
          <w:szCs w:val="22"/>
        </w:rPr>
        <w:t>%</w:t>
      </w:r>
      <w:r>
        <w:rPr>
          <w:rFonts w:eastAsia="宋体" w:cs="Times New Roman" w:hint="eastAsia"/>
          <w:sz w:val="24"/>
          <w:szCs w:val="22"/>
        </w:rPr>
        <w:t>，企业在科技成果转化中的主体作用还不够突出。根据国际通用标准，科技投入强度低于</w:t>
      </w:r>
      <w:r>
        <w:rPr>
          <w:rFonts w:eastAsia="宋体" w:cs="Times New Roman" w:hint="eastAsia"/>
          <w:sz w:val="24"/>
          <w:szCs w:val="22"/>
        </w:rPr>
        <w:t>1%</w:t>
      </w:r>
      <w:r>
        <w:rPr>
          <w:rFonts w:eastAsia="宋体" w:cs="Times New Roman" w:hint="eastAsia"/>
          <w:sz w:val="24"/>
          <w:szCs w:val="22"/>
        </w:rPr>
        <w:t>的企业是很难长期生存的，</w:t>
      </w:r>
      <w:r>
        <w:rPr>
          <w:rFonts w:eastAsia="宋体" w:cs="Times New Roman" w:hint="eastAsia"/>
          <w:sz w:val="24"/>
          <w:szCs w:val="22"/>
        </w:rPr>
        <w:t>2%</w:t>
      </w:r>
      <w:r>
        <w:rPr>
          <w:rFonts w:eastAsia="宋体" w:cs="Times New Roman" w:hint="eastAsia"/>
          <w:sz w:val="24"/>
          <w:szCs w:val="22"/>
        </w:rPr>
        <w:t>左右的企业仅能勉强维持，只有强度达到</w:t>
      </w:r>
      <w:r>
        <w:rPr>
          <w:rFonts w:eastAsia="宋体" w:cs="Times New Roman" w:hint="eastAsia"/>
          <w:sz w:val="24"/>
          <w:szCs w:val="22"/>
        </w:rPr>
        <w:t>5%</w:t>
      </w:r>
      <w:r>
        <w:rPr>
          <w:rFonts w:eastAsia="宋体" w:cs="Times New Roman" w:hint="eastAsia"/>
          <w:sz w:val="24"/>
          <w:szCs w:val="22"/>
        </w:rPr>
        <w:t>以上的企业才具有竞争力。</w:t>
      </w:r>
    </w:p>
    <w:p w14:paraId="3D63C10A" w14:textId="77777777" w:rsidR="004651C7" w:rsidRDefault="00BF798C">
      <w:pPr>
        <w:pStyle w:val="4"/>
      </w:pPr>
      <w:bookmarkStart w:id="98" w:name="_Toc93661699"/>
      <w:bookmarkStart w:id="99" w:name="_Hlk87396355"/>
      <w:r>
        <w:rPr>
          <w:rFonts w:hint="eastAsia"/>
        </w:rPr>
        <w:t>4</w:t>
      </w:r>
      <w:r>
        <w:t>.</w:t>
      </w:r>
      <w:r>
        <w:rPr>
          <w:rFonts w:hint="eastAsia"/>
        </w:rPr>
        <w:t>人才发展体制机制还不完善。</w:t>
      </w:r>
      <w:bookmarkEnd w:id="98"/>
    </w:p>
    <w:bookmarkEnd w:id="99"/>
    <w:p w14:paraId="36F16910"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我国绝大多数的大学科研机构都是公立性质，按事业单位管理，受体制机制的约束，对科研人员的激励措施不到位，创新难以获得相应的回报，抑制了部分科研人员</w:t>
      </w:r>
      <w:r>
        <w:rPr>
          <w:rFonts w:eastAsia="宋体" w:cs="Times New Roman" w:hint="eastAsia"/>
          <w:sz w:val="24"/>
          <w:szCs w:val="22"/>
        </w:rPr>
        <w:lastRenderedPageBreak/>
        <w:t>的积极性。特别是职务科技成果的产权激励机制还不到位，科技人员的创新潜力尚未得到充分发挥，重人才引进的数量，轻人才建设的环境。我国科技人员总量居世界前列，中国科协发布的《中国科技人力资源发展研究报告（</w:t>
      </w:r>
      <w:r>
        <w:rPr>
          <w:rFonts w:eastAsia="宋体" w:cs="Times New Roman" w:hint="eastAsia"/>
          <w:sz w:val="24"/>
          <w:szCs w:val="22"/>
        </w:rPr>
        <w:t>2018</w:t>
      </w:r>
      <w:r>
        <w:rPr>
          <w:rFonts w:eastAsia="宋体" w:cs="Times New Roman" w:hint="eastAsia"/>
          <w:sz w:val="24"/>
          <w:szCs w:val="22"/>
        </w:rPr>
        <w:t>）》显示，“十三五”期间，我国科技人力资源规模持续稳定增长，不考虑专升本、死亡及出国因素，截至</w:t>
      </w:r>
      <w:r>
        <w:rPr>
          <w:rFonts w:eastAsia="宋体" w:cs="Times New Roman" w:hint="eastAsia"/>
          <w:sz w:val="24"/>
          <w:szCs w:val="22"/>
        </w:rPr>
        <w:t>2018</w:t>
      </w:r>
      <w:r>
        <w:rPr>
          <w:rFonts w:eastAsia="宋体" w:cs="Times New Roman" w:hint="eastAsia"/>
          <w:sz w:val="24"/>
          <w:szCs w:val="22"/>
        </w:rPr>
        <w:t>年底，总量已达</w:t>
      </w:r>
      <w:r>
        <w:rPr>
          <w:rFonts w:eastAsia="宋体" w:cs="Times New Roman" w:hint="eastAsia"/>
          <w:sz w:val="24"/>
          <w:szCs w:val="22"/>
        </w:rPr>
        <w:t>10154.5</w:t>
      </w:r>
      <w:r>
        <w:rPr>
          <w:rFonts w:eastAsia="宋体" w:cs="Times New Roman" w:hint="eastAsia"/>
          <w:sz w:val="24"/>
          <w:szCs w:val="22"/>
        </w:rPr>
        <w:t>万人，稳居世界第一。但世界级科技大师缺乏，领军人才、尖子人才不足，创新型企业家数量有限。</w:t>
      </w:r>
    </w:p>
    <w:p w14:paraId="66585FC7" w14:textId="77777777" w:rsidR="004651C7" w:rsidRDefault="00BF798C">
      <w:pPr>
        <w:pStyle w:val="4"/>
      </w:pPr>
      <w:bookmarkStart w:id="100" w:name="_Toc93661700"/>
      <w:bookmarkStart w:id="101" w:name="_Hlk87396381"/>
      <w:r>
        <w:rPr>
          <w:rFonts w:hint="eastAsia"/>
        </w:rPr>
        <w:t>5</w:t>
      </w:r>
      <w:r>
        <w:t>.</w:t>
      </w:r>
      <w:r>
        <w:rPr>
          <w:rFonts w:hint="eastAsia"/>
        </w:rPr>
        <w:t>科技开放合作还有待进一步扩大</w:t>
      </w:r>
      <w:bookmarkEnd w:id="100"/>
    </w:p>
    <w:bookmarkEnd w:id="101"/>
    <w:p w14:paraId="675F54B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我国以全球视野谋划科技开放合作还不够，对国际创新资源利用还不充分。随着全球创新资源加速流动，开放创新成为重大趋势，但现行的政策对创新要素的跨境流动还存在约束，影响了企业利用全球创新资源开展高水平开放创新。尽管在政策上外籍人才出入境、在华长期居留政策环境有所改善，但享受国内公共服务包括一系列社会保障等方面的政策还遇到一些体制障碍。</w:t>
      </w:r>
    </w:p>
    <w:p w14:paraId="4F42FC1A" w14:textId="77777777" w:rsidR="004651C7" w:rsidRDefault="00BF798C">
      <w:pPr>
        <w:pStyle w:val="3"/>
        <w:spacing w:before="192" w:after="240"/>
        <w:ind w:firstLine="480"/>
      </w:pPr>
      <w:bookmarkStart w:id="102" w:name="_Toc93661701"/>
      <w:bookmarkStart w:id="103" w:name="_Toc93924835"/>
      <w:r>
        <w:rPr>
          <w:rFonts w:hint="eastAsia"/>
        </w:rPr>
        <w:t>（五）数据要素配置领域存在的短板弱项</w:t>
      </w:r>
      <w:bookmarkEnd w:id="102"/>
      <w:bookmarkEnd w:id="103"/>
    </w:p>
    <w:p w14:paraId="57CE4DA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对标对表新发展格局要求，我国数据要素市场的基础性制度俺来亟待进一步健全完善。</w:t>
      </w:r>
    </w:p>
    <w:p w14:paraId="2086FD0E" w14:textId="77777777" w:rsidR="004651C7" w:rsidRDefault="00BF798C">
      <w:pPr>
        <w:pStyle w:val="4"/>
      </w:pPr>
      <w:bookmarkStart w:id="104" w:name="_Toc93661702"/>
      <w:r>
        <w:rPr>
          <w:rFonts w:hint="eastAsia"/>
        </w:rPr>
        <w:t>1</w:t>
      </w:r>
      <w:r>
        <w:t>.</w:t>
      </w:r>
      <w:r>
        <w:rPr>
          <w:rFonts w:hint="eastAsia"/>
        </w:rPr>
        <w:t>数据确权难题亟待破解</w:t>
      </w:r>
      <w:bookmarkEnd w:id="104"/>
    </w:p>
    <w:p w14:paraId="75A6CAB0"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目前，我国对于数据的产权概念还相对模糊，数据归谁所有，数据由谁使用以及数据收益归谁等商业实践中最核心、最关键的问题尚没有系统明确规定，影响数据要素的市场化配置，特别是影响数据资产的交易配置。并且，对数据进行操作不受时间空间限制，而使得数据要素权属关系面临保密性、完整性、可用性、不可否认性和可控性等安全风险。</w:t>
      </w:r>
    </w:p>
    <w:p w14:paraId="1ABAC284" w14:textId="77777777" w:rsidR="004651C7" w:rsidRDefault="00BF798C">
      <w:pPr>
        <w:pStyle w:val="4"/>
      </w:pPr>
      <w:bookmarkStart w:id="105" w:name="_Toc93661703"/>
      <w:r>
        <w:rPr>
          <w:rFonts w:hint="eastAsia"/>
        </w:rPr>
        <w:t>2</w:t>
      </w:r>
      <w:r>
        <w:t>.</w:t>
      </w:r>
      <w:r>
        <w:rPr>
          <w:rFonts w:hint="eastAsia"/>
        </w:rPr>
        <w:t>数据交易市场培育还需时日</w:t>
      </w:r>
      <w:bookmarkEnd w:id="105"/>
    </w:p>
    <w:p w14:paraId="09C5101B"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当下数据交易市场培育面临以下几方面问题：一是缺乏全国统一标准化体系。目前，国家层面的数据交易法律法规和行业标准尚未推出，地方自行探索大数据交易平台建设，缺乏全国统一导致标准之间难以对接。二是定价方式尚未明确。数据价值并非固定不变，不同使用者、不同应用会带来数据价值的改变。在这种情况下，如何为同一套数据确定价值尚存在相当空白。并且，交易过程出现的信息不对称问题将导致买卖双方对真实价值的认定评价存在差异，影响交易进行。三是数据粗糙现象突出。我国大数据交易以原始数据为主，数据算法、数据模型等交易尚未起步，对数据的深</w:t>
      </w:r>
      <w:r>
        <w:rPr>
          <w:rFonts w:eastAsia="宋体" w:cs="Times New Roman" w:hint="eastAsia"/>
          <w:sz w:val="24"/>
          <w:szCs w:val="22"/>
        </w:rPr>
        <w:lastRenderedPageBreak/>
        <w:t>度加工带来的高价值的数据交易非常缺乏。</w:t>
      </w:r>
    </w:p>
    <w:p w14:paraId="6807A097" w14:textId="77777777" w:rsidR="004651C7" w:rsidRDefault="00BF798C">
      <w:pPr>
        <w:pStyle w:val="4"/>
      </w:pPr>
      <w:bookmarkStart w:id="106" w:name="_Toc93661704"/>
      <w:r>
        <w:rPr>
          <w:rFonts w:hint="eastAsia"/>
        </w:rPr>
        <w:t>3</w:t>
      </w:r>
      <w:r>
        <w:t>.</w:t>
      </w:r>
      <w:r>
        <w:rPr>
          <w:rFonts w:hint="eastAsia"/>
        </w:rPr>
        <w:t>数据市场监管难度大</w:t>
      </w:r>
      <w:bookmarkEnd w:id="106"/>
    </w:p>
    <w:p w14:paraId="07A8B752"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随着数字经济快速发展，经济模式、业态和产业发展都在发生重大变化，市场监管面临新形势、新问题。一是监管理念现代化有待进一步强化。传统的注重结果监管、采用“人盯人”、排查检查的理念需要迭代更新。二是缺乏数据交易的负面清单制度，导致市场监管对数据驱动型经营者集中、数据优势滥用、数字化卡特尔等新现象缺乏监管新标准、新准则。三是传统线下监管手段与数据要素市场线上线下一体化特性不相适应。教育、出行、医疗、金融等领域的数据型企业，难以完全参照线下经营实体资格条件取得相应牌照和资质。</w:t>
      </w:r>
    </w:p>
    <w:p w14:paraId="6E8D7EEE" w14:textId="77777777" w:rsidR="004651C7" w:rsidRDefault="00BF798C">
      <w:pPr>
        <w:pStyle w:val="4"/>
      </w:pPr>
      <w:bookmarkStart w:id="107" w:name="_Toc93661705"/>
      <w:r>
        <w:rPr>
          <w:rFonts w:hint="eastAsia"/>
        </w:rPr>
        <w:t>4</w:t>
      </w:r>
      <w:r>
        <w:t>.</w:t>
      </w:r>
      <w:r>
        <w:rPr>
          <w:rFonts w:hint="eastAsia"/>
        </w:rPr>
        <w:t>数据立法亟待突破</w:t>
      </w:r>
      <w:bookmarkEnd w:id="107"/>
    </w:p>
    <w:p w14:paraId="454B6EDD"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在国家战略规划层面，虽然</w:t>
      </w:r>
      <w:r>
        <w:rPr>
          <w:rFonts w:eastAsia="宋体" w:cs="Times New Roman" w:hint="eastAsia"/>
          <w:sz w:val="24"/>
          <w:szCs w:val="22"/>
        </w:rPr>
        <w:t>2015</w:t>
      </w:r>
      <w:r>
        <w:rPr>
          <w:rFonts w:eastAsia="宋体" w:cs="Times New Roman" w:hint="eastAsia"/>
          <w:sz w:val="24"/>
          <w:szCs w:val="22"/>
        </w:rPr>
        <w:t>年</w:t>
      </w:r>
      <w:r>
        <w:rPr>
          <w:rFonts w:eastAsia="宋体" w:cs="Times New Roman" w:hint="eastAsia"/>
          <w:sz w:val="24"/>
          <w:szCs w:val="22"/>
        </w:rPr>
        <w:t>8</w:t>
      </w:r>
      <w:r>
        <w:rPr>
          <w:rFonts w:eastAsia="宋体" w:cs="Times New Roman" w:hint="eastAsia"/>
          <w:sz w:val="24"/>
          <w:szCs w:val="22"/>
        </w:rPr>
        <w:t>月颁布的《促进大数据发展行动纲要》在推动数据立法层面具有引领作用，但数据安全因素考虑程度较弱。在实践操作层面，我国《民法总则》虽然规定了对个人信息和数据进行保护，但缺乏专门的下位法来具体规定，在数据确权立法实践上已落后于现实需要。</w:t>
      </w:r>
    </w:p>
    <w:p w14:paraId="79E8FE9B" w14:textId="77777777" w:rsidR="004651C7" w:rsidRDefault="00BF798C">
      <w:pPr>
        <w:pStyle w:val="4"/>
      </w:pPr>
      <w:bookmarkStart w:id="108" w:name="_Toc93661706"/>
      <w:r>
        <w:rPr>
          <w:rFonts w:hint="eastAsia"/>
        </w:rPr>
        <w:t>5</w:t>
      </w:r>
      <w:r>
        <w:t>.</w:t>
      </w:r>
      <w:r>
        <w:rPr>
          <w:rFonts w:hint="eastAsia"/>
        </w:rPr>
        <w:t>数据安全防护能力有待提升</w:t>
      </w:r>
      <w:bookmarkEnd w:id="108"/>
    </w:p>
    <w:p w14:paraId="7A7C76D8"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尽管数字经济产业、市场发展较为迅速，但网络安全防护能力和意识明显落后，数据要素安全问题成为未来制约数字经济发展的重要问题。一方面，互联网底层技术相对薄弱，无法有效保护市场各方主体利益。另一方面，社会多主体海量数据整合对网络安全防护提出了更高要求，容易造成链条式、网状式而非单一领域的数据泄露。</w:t>
      </w:r>
    </w:p>
    <w:p w14:paraId="13E82419" w14:textId="77777777" w:rsidR="004651C7" w:rsidRDefault="00BF798C">
      <w:pPr>
        <w:pStyle w:val="2"/>
        <w:ind w:firstLine="480"/>
      </w:pPr>
      <w:bookmarkStart w:id="109" w:name="_Toc93661707"/>
      <w:bookmarkStart w:id="110" w:name="_Toc93841278"/>
      <w:bookmarkStart w:id="111" w:name="_Toc93924836"/>
      <w:r>
        <w:rPr>
          <w:rFonts w:hint="eastAsia"/>
        </w:rPr>
        <w:t>四、进一步提升要素配置能力的对策建议</w:t>
      </w:r>
      <w:bookmarkEnd w:id="109"/>
      <w:bookmarkEnd w:id="110"/>
      <w:bookmarkEnd w:id="111"/>
    </w:p>
    <w:p w14:paraId="4BBD8EA6" w14:textId="77777777" w:rsidR="004651C7" w:rsidRDefault="00BF798C">
      <w:pPr>
        <w:pStyle w:val="3"/>
        <w:spacing w:before="192" w:after="240"/>
        <w:ind w:firstLine="480"/>
      </w:pPr>
      <w:bookmarkStart w:id="112" w:name="_Toc93661708"/>
      <w:bookmarkStart w:id="113" w:name="_Toc93924837"/>
      <w:r>
        <w:rPr>
          <w:rFonts w:hint="eastAsia"/>
        </w:rPr>
        <w:t>（一）部署推进要素市场化配置综合改革</w:t>
      </w:r>
      <w:bookmarkEnd w:id="112"/>
      <w:bookmarkEnd w:id="113"/>
    </w:p>
    <w:p w14:paraId="42165FA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针对各领域要素配置方式的一体化趋势日渐明显，单项改革已经难以适应系统集成、协同高效推进改革的现实需求的问题，建议积极推进要素市场化配置综合改革，以综合授权改革试点的方式，激发试点地区主观能动性，努力破解阻碍要素市场化配置的深层次体制机制问题，为全国要素制度建设提供可复制可推广的改革经验。加强要素市场化改革的系统性、整体性、协同性，推动各领域要素市场化配置改革举措相互配合、相互促进，提高不同要素资源的组合配置效率。</w:t>
      </w:r>
    </w:p>
    <w:p w14:paraId="6F607257" w14:textId="77777777" w:rsidR="004651C7" w:rsidRDefault="00BF798C">
      <w:pPr>
        <w:pStyle w:val="4"/>
      </w:pPr>
      <w:bookmarkStart w:id="114" w:name="_Toc93661709"/>
      <w:r>
        <w:rPr>
          <w:rFonts w:hint="eastAsia"/>
        </w:rPr>
        <w:t>1</w:t>
      </w:r>
      <w:r>
        <w:t>.</w:t>
      </w:r>
      <w:r>
        <w:rPr>
          <w:rFonts w:hint="eastAsia"/>
        </w:rPr>
        <w:t>优化完善产权制度</w:t>
      </w:r>
      <w:bookmarkEnd w:id="114"/>
    </w:p>
    <w:p w14:paraId="620F6A4A"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lastRenderedPageBreak/>
        <w:t>一是推进农村部分土地使用权确权工作。允许农村集体建设用地直接入市，与城市建设用地实行同价同权；宅基地使用权在转让前要先转为农村集体建设用地，然后才能入市交易，宅基地转让所得收入应归农民个人所有，保护农民合法权益。二是加快完善知识产权制度。改进知识产权许可使用、转让、质押等制度，让知识产权成为随时可以变现的高价值资产。严厉打击盗窃和侵害知识产权的违法行为。三是推进数据产权确权工作。完善公民个人信息数据的所有权，允许经脱敏、计算处理后的合法数据信息入市交易和租赁，促进数据信息业健康发展。</w:t>
      </w:r>
    </w:p>
    <w:p w14:paraId="046D8E4D" w14:textId="77777777" w:rsidR="004651C7" w:rsidRDefault="00BF798C">
      <w:pPr>
        <w:pStyle w:val="4"/>
      </w:pPr>
      <w:bookmarkStart w:id="115" w:name="_Toc93661710"/>
      <w:r>
        <w:rPr>
          <w:rFonts w:hint="eastAsia"/>
        </w:rPr>
        <w:t>2</w:t>
      </w:r>
      <w:r>
        <w:t>.</w:t>
      </w:r>
      <w:r>
        <w:rPr>
          <w:rFonts w:hint="eastAsia"/>
        </w:rPr>
        <w:t>构建由市场主导的要素价格形成机制</w:t>
      </w:r>
      <w:bookmarkEnd w:id="115"/>
    </w:p>
    <w:p w14:paraId="79F8C549"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一是改革资本要素定价机制，稳步放开银行存贷款利率，优化完善人民币汇率形成机制。二是确定城市用地基准价格，完善农村征地费用按市场价格补偿机制。三是坚持最低工资标准制度，实行劳动力工资“基准价格</w:t>
      </w:r>
      <w:r>
        <w:rPr>
          <w:rFonts w:eastAsia="宋体" w:cs="Times New Roman" w:hint="eastAsia"/>
          <w:sz w:val="24"/>
          <w:szCs w:val="22"/>
        </w:rPr>
        <w:t>+</w:t>
      </w:r>
      <w:r>
        <w:rPr>
          <w:rFonts w:eastAsia="宋体" w:cs="Times New Roman" w:hint="eastAsia"/>
          <w:sz w:val="24"/>
          <w:szCs w:val="22"/>
        </w:rPr>
        <w:t>浮动市场价格”的定价机制，坚决遏制过高工资收入。四是探索发现技术、数据要素市场价格，活跃市场交易。</w:t>
      </w:r>
    </w:p>
    <w:p w14:paraId="57B56CE4" w14:textId="77777777" w:rsidR="004651C7" w:rsidRDefault="00BF798C">
      <w:pPr>
        <w:pStyle w:val="4"/>
      </w:pPr>
      <w:bookmarkStart w:id="116" w:name="_Toc93661711"/>
      <w:r>
        <w:rPr>
          <w:rFonts w:hint="eastAsia"/>
        </w:rPr>
        <w:t>3</w:t>
      </w:r>
      <w:r>
        <w:t>.</w:t>
      </w:r>
      <w:r>
        <w:rPr>
          <w:rFonts w:hint="eastAsia"/>
        </w:rPr>
        <w:t>更好发挥政府促进要素市场化配置的作用</w:t>
      </w:r>
      <w:bookmarkEnd w:id="116"/>
    </w:p>
    <w:p w14:paraId="661F4BE8"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一是发挥政府调控职能解决要素配置结构失衡问题，比如增强财政政策、货币政策的结构性要求，以政府力量推动要素配置结构再平衡。二是强化政府的市场监管职能，加强经济规制、反垄断和平台经济管理，清理和废除妨碍市场公平竞争的各项规定。三是加强政府维护市场秩序的职能，提高关键性、战略性要素资源控制能力，守住经济安全和要素市场稳定底线。</w:t>
      </w:r>
    </w:p>
    <w:p w14:paraId="59AFDE65" w14:textId="77777777" w:rsidR="004651C7" w:rsidRDefault="00BF798C">
      <w:pPr>
        <w:pStyle w:val="3"/>
        <w:spacing w:before="192" w:after="240"/>
        <w:ind w:firstLine="480"/>
        <w:rPr>
          <w:lang w:val="en-US"/>
        </w:rPr>
      </w:pPr>
      <w:bookmarkStart w:id="117" w:name="_Toc93661712"/>
      <w:bookmarkStart w:id="118" w:name="_Toc93924838"/>
      <w:r>
        <w:rPr>
          <w:rFonts w:hint="eastAsia"/>
          <w:lang w:val="en-US"/>
        </w:rPr>
        <w:t>（</w:t>
      </w:r>
      <w:r>
        <w:rPr>
          <w:rFonts w:hint="eastAsia"/>
        </w:rPr>
        <w:t>二</w:t>
      </w:r>
      <w:r>
        <w:rPr>
          <w:rFonts w:hint="eastAsia"/>
          <w:lang w:val="en-US"/>
        </w:rPr>
        <w:t>）</w:t>
      </w:r>
      <w:r>
        <w:rPr>
          <w:rFonts w:hint="eastAsia"/>
        </w:rPr>
        <w:t>大力提升土地使用效率</w:t>
      </w:r>
      <w:bookmarkEnd w:id="117"/>
      <w:bookmarkEnd w:id="118"/>
    </w:p>
    <w:p w14:paraId="4AF39DBC" w14:textId="77777777" w:rsidR="004651C7" w:rsidRDefault="00BF798C">
      <w:pPr>
        <w:pStyle w:val="4"/>
      </w:pPr>
      <w:bookmarkStart w:id="119" w:name="_Toc93661713"/>
      <w:r>
        <w:rPr>
          <w:rFonts w:hint="eastAsia"/>
        </w:rPr>
        <w:t>1</w:t>
      </w:r>
      <w:r>
        <w:t>.</w:t>
      </w:r>
      <w:r>
        <w:rPr>
          <w:rFonts w:hint="eastAsia"/>
        </w:rPr>
        <w:t>持续完善土地流转市场</w:t>
      </w:r>
      <w:bookmarkEnd w:id="119"/>
    </w:p>
    <w:p w14:paraId="7EF7155A"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一是进一步健全土地流转制度。不断完善全国性规范土地流转的指导性意见和制度细则，规范农村土地流转程序，明确流转的组织形式和参与主体的权利，健全流转土地准入制度，规范流转土地价值评估。二是完善土地交易信息平台建设。建立健全全国性的农村土地流转中心平台，提供完备的登记查询、信息传递、交易促成、法律咨询等服务，充分发挥平台资源汇集、信息公开等功能，减少信息不对称情况的发生。三是强化政府在土地流转中的作用。完善农村土地流转价格评估体系，提升农村土地流转工作的透明度和可操作性。加强土地流转市场的监督管理，维护土地流转秩序，切实保障农民权益不受侵害。</w:t>
      </w:r>
    </w:p>
    <w:p w14:paraId="67FB18A7" w14:textId="77777777" w:rsidR="004651C7" w:rsidRDefault="00BF798C">
      <w:pPr>
        <w:pStyle w:val="4"/>
      </w:pPr>
      <w:bookmarkStart w:id="120" w:name="_Toc93661714"/>
      <w:r>
        <w:rPr>
          <w:rFonts w:hint="eastAsia"/>
        </w:rPr>
        <w:t>2</w:t>
      </w:r>
      <w:r>
        <w:t>.</w:t>
      </w:r>
      <w:r>
        <w:rPr>
          <w:rFonts w:hint="eastAsia"/>
        </w:rPr>
        <w:t>进一步加强土地节约集约利用</w:t>
      </w:r>
      <w:bookmarkEnd w:id="120"/>
    </w:p>
    <w:p w14:paraId="26ED9B5B"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lastRenderedPageBreak/>
        <w:t>一是完善存量用地退出机制。健全低效和闲置土地监督、评价和退出机制，对于不按照合同约定开发利用土地，长期闲置浪费土地或低效利用土地的行为，视情况予以警告、罚款或对土地进行再流转。同时以市场为核心，通过自由竞争的要素环境，引导城乡存量用地有序退出，加快推动土地资源的优化配置。二是完善土地节约集约利用考核体系。加强城市土地节约集约利用考核，将人均城镇建设用地、区域平均容积率、建筑密度、单位土地投入强度等指标作为相应约束和考核指标，开展城市建设用地测评。三是积极开展用地结构性挖潜。加大土地节约集约利用的激励力度，鼓励低效存量用地的再开发利用。立足于地方实践和市场诉求，探索存量用地用途变更、存量用地改造减免土地出让金等政策。建立健全土地混合利用和建筑复合利用的规划指引，加强城市地下空间的开发利用，增加土地利用弹性，促进土地利用价值最大化。</w:t>
      </w:r>
    </w:p>
    <w:p w14:paraId="046DBFFD" w14:textId="77777777" w:rsidR="004651C7" w:rsidRDefault="00BF798C">
      <w:pPr>
        <w:pStyle w:val="4"/>
      </w:pPr>
      <w:bookmarkStart w:id="121" w:name="_Toc93661715"/>
      <w:r>
        <w:rPr>
          <w:rFonts w:hint="eastAsia"/>
        </w:rPr>
        <w:t>3</w:t>
      </w:r>
      <w:r>
        <w:t>.</w:t>
      </w:r>
      <w:r>
        <w:rPr>
          <w:rFonts w:hint="eastAsia"/>
        </w:rPr>
        <w:t>统筹城市空间布局</w:t>
      </w:r>
      <w:bookmarkEnd w:id="121"/>
    </w:p>
    <w:p w14:paraId="016AFCCB"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尊重城镇化发展客观规律，按照产业集聚、功能完善、节约土地、集约发展、合理布局、各具特色的原则，统筹推进城乡和区域发展。在统一制定土地利用总体规划的基础上，明确分区功能定位，统一规划基本农田保护、居民生活区、工业园区、休闲区等，促进城乡发展相互衔接。进一步打破行政区划壁垒，实现各城市之间、城镇之间的产业互补和产业对接。针对区域内的资源利用、生态保护、基础设施建设以及城市功能定位等，要统筹协调，注重城市合理分工、相互协作，实现各城市和地区间的优势互补，避免城市间恶性竞争等问题。</w:t>
      </w:r>
    </w:p>
    <w:p w14:paraId="0070ADD9" w14:textId="77777777" w:rsidR="004651C7" w:rsidRDefault="00BF798C">
      <w:pPr>
        <w:pStyle w:val="4"/>
      </w:pPr>
      <w:bookmarkStart w:id="122" w:name="_Toc93661716"/>
      <w:r>
        <w:rPr>
          <w:rFonts w:hint="eastAsia"/>
        </w:rPr>
        <w:t>4</w:t>
      </w:r>
      <w:r>
        <w:t>.</w:t>
      </w:r>
      <w:r>
        <w:rPr>
          <w:rFonts w:hint="eastAsia"/>
        </w:rPr>
        <w:t>健全农村社会保障体系</w:t>
      </w:r>
      <w:bookmarkEnd w:id="122"/>
    </w:p>
    <w:p w14:paraId="7DCA16DA"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改善农民就业环境，增加农民就业机会，加大对农民创业补贴、贷款贴息、技能培训等政策支持力度，确保农民就业稳定。进一步完善农村养老保险制度，提高农村养老保险的覆盖范围，减轻土地对农民养老的依赖性。加强多层次的农村社会保障体系建设，因地制宜创新农村社会救济、社会保险、文化教育、医疗、农民再教育等社会保障政策。健全土地流转风险防控机制，加强保险对农业的支持力度，降低经营者的经营风险，提高经营者的履约能力。完善土地流转风险保障金制度和土地流转租金预付制度，降低农民收益损失风险。</w:t>
      </w:r>
    </w:p>
    <w:p w14:paraId="4CDB974D" w14:textId="77777777" w:rsidR="004651C7" w:rsidRDefault="00BF798C">
      <w:pPr>
        <w:pStyle w:val="3"/>
        <w:spacing w:before="192" w:after="240"/>
        <w:ind w:firstLine="480"/>
      </w:pPr>
      <w:bookmarkStart w:id="123" w:name="_Toc93661717"/>
      <w:bookmarkStart w:id="124" w:name="_Toc93924839"/>
      <w:r>
        <w:rPr>
          <w:rFonts w:hint="eastAsia"/>
        </w:rPr>
        <w:t>（三）促进劳动力市场优化配置</w:t>
      </w:r>
      <w:bookmarkEnd w:id="123"/>
      <w:bookmarkEnd w:id="124"/>
    </w:p>
    <w:p w14:paraId="1F483812" w14:textId="77777777" w:rsidR="004651C7" w:rsidRDefault="00BF798C">
      <w:pPr>
        <w:pStyle w:val="4"/>
      </w:pPr>
      <w:bookmarkStart w:id="125" w:name="_Toc93661718"/>
      <w:r>
        <w:rPr>
          <w:rFonts w:hint="eastAsia"/>
        </w:rPr>
        <w:t>1</w:t>
      </w:r>
      <w:r>
        <w:t>.</w:t>
      </w:r>
      <w:r>
        <w:rPr>
          <w:rFonts w:hint="eastAsia"/>
        </w:rPr>
        <w:t>改革户籍制度</w:t>
      </w:r>
      <w:bookmarkEnd w:id="125"/>
    </w:p>
    <w:p w14:paraId="309BCEE0"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lastRenderedPageBreak/>
        <w:t>深化户籍制度改革，推动基本公共服务均等化。推动超大、特大城市调整完善积分落户政策，探索推动在长三角、珠三角等城市群率先实现户籍准入年限同城化累计互认。放开放宽除个别超大城市外的城市落户限制，实行以经常居住地登记户口制度。加大省级财政统筹支付力度和基本公共服务支出，建立完善城镇教育、就业创业、医疗卫生等基本公共服务与常住人口挂钩机制，推动公共资源按常住人口规模配置，推动城镇基本公共服务覆盖常住人口。</w:t>
      </w:r>
    </w:p>
    <w:p w14:paraId="645C3406" w14:textId="77777777" w:rsidR="004651C7" w:rsidRDefault="00BF798C">
      <w:pPr>
        <w:pStyle w:val="4"/>
      </w:pPr>
      <w:bookmarkStart w:id="126" w:name="_Toc93661719"/>
      <w:r>
        <w:rPr>
          <w:rFonts w:hint="eastAsia"/>
        </w:rPr>
        <w:t>2</w:t>
      </w:r>
      <w:r>
        <w:t>.</w:t>
      </w:r>
      <w:r>
        <w:rPr>
          <w:rFonts w:hint="eastAsia"/>
        </w:rPr>
        <w:t>保障公平就业</w:t>
      </w:r>
      <w:bookmarkEnd w:id="126"/>
    </w:p>
    <w:p w14:paraId="4044C36A"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要尊重劳动者和企业的市场供求主体地位，消除城乡、行业、身份、性别等影响平等就业的制度障碍，营造公平就业环境，依法纠正身份、性别等就业歧视现象，保障城乡劳动力享有平等的就业权利，形成有利于劳动力要素自由流动、平等交换的市场体系，提高人力资源配置效率和公平性。建立一套公平竞争的良性竞争淘汰机制，保障人才可以自由进出，避免由于岗位编制问题阻碍人才流动性。健全劳动监察体制，加大执法力度。完善劳动争议调解仲裁机制，加强对涉及就业歧视案件的处理。</w:t>
      </w:r>
    </w:p>
    <w:p w14:paraId="29098F4D" w14:textId="77777777" w:rsidR="004651C7" w:rsidRDefault="00BF798C">
      <w:pPr>
        <w:pStyle w:val="4"/>
      </w:pPr>
      <w:bookmarkStart w:id="127" w:name="_Toc93661720"/>
      <w:r>
        <w:rPr>
          <w:rFonts w:hint="eastAsia"/>
        </w:rPr>
        <w:t>3</w:t>
      </w:r>
      <w:r>
        <w:t>.</w:t>
      </w:r>
      <w:r>
        <w:rPr>
          <w:rFonts w:hint="eastAsia"/>
        </w:rPr>
        <w:t>打破市场分割</w:t>
      </w:r>
      <w:bookmarkEnd w:id="127"/>
    </w:p>
    <w:p w14:paraId="6ECB55FC"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健全统一规范的人力资源市场体系，加快建立协调衔接的劳动力、人才流动政策体系和交流合作机制，促进劳动力跨行业、跨地区流动，提高劳动力在全社会范围内的重配效率，构建公开公平、有序竞争的劳动力市场。推进各省市区间公共就业服务机构之间的信息对接和信息共享，建立农村劳动力供求信息预警和指导工资发布制度。进一步畅通企业、社会组织人员进入党政机关、国有企事业单位的渠道。优化国有企事业单位面向社会选人用人机制，深入推行国有企业分级分类公开招聘。</w:t>
      </w:r>
    </w:p>
    <w:p w14:paraId="09AE9CA9" w14:textId="77777777" w:rsidR="004651C7" w:rsidRDefault="00BF798C">
      <w:pPr>
        <w:pStyle w:val="4"/>
      </w:pPr>
      <w:bookmarkStart w:id="128" w:name="_Toc93661721"/>
      <w:r>
        <w:rPr>
          <w:rFonts w:hint="eastAsia"/>
        </w:rPr>
        <w:t>4</w:t>
      </w:r>
      <w:r>
        <w:t>.</w:t>
      </w:r>
      <w:r>
        <w:rPr>
          <w:rFonts w:hint="eastAsia"/>
        </w:rPr>
        <w:t>完善工资机制</w:t>
      </w:r>
      <w:bookmarkEnd w:id="128"/>
    </w:p>
    <w:p w14:paraId="0ABCB978"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坚持最低工资标准制度，保障工人基本权益。企业工会要保障工人利益不受侵害，建立企业主与工会的工资协商制度。综合考虑国家工资收入分配宏观政策要求、企业发展战略和薪酬策略、生产经营目标和经济效益、劳动生产率、人工成本投入产出率、职工工资水平等一揽子因素，建立国企经济效益与工资挂钩联动机制。完善企业内部工资分配管理，健全工资分配监管体制机制。同时，国企工资向高科技人才倾斜，用高薪留住科技人才。</w:t>
      </w:r>
    </w:p>
    <w:p w14:paraId="0523DB4F" w14:textId="77777777" w:rsidR="004651C7" w:rsidRDefault="00BF798C">
      <w:pPr>
        <w:pStyle w:val="4"/>
      </w:pPr>
      <w:bookmarkStart w:id="129" w:name="_Toc93661722"/>
      <w:r>
        <w:rPr>
          <w:rFonts w:hint="eastAsia"/>
        </w:rPr>
        <w:t>5</w:t>
      </w:r>
      <w:r>
        <w:t>.</w:t>
      </w:r>
      <w:r>
        <w:rPr>
          <w:rFonts w:hint="eastAsia"/>
        </w:rPr>
        <w:t>健全技能评价</w:t>
      </w:r>
      <w:bookmarkEnd w:id="129"/>
    </w:p>
    <w:p w14:paraId="4BA1075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创新评价标准，以职业能力为核心制定职业标准，进一步打破户籍、地域、身份、</w:t>
      </w:r>
      <w:r>
        <w:rPr>
          <w:rFonts w:eastAsia="宋体" w:cs="Times New Roman" w:hint="eastAsia"/>
          <w:sz w:val="24"/>
          <w:szCs w:val="22"/>
        </w:rPr>
        <w:lastRenderedPageBreak/>
        <w:t>档案、人事关系等制约，畅通非公有制经济组织、社会组织、自由职业专业技术人员职称申报渠道。加快建立劳动者终身职业技能培训制度。推进社会化职称评审。完善技术工人评价选拔制度。探索实现职业技能等级证书和学历证书互通衔接。加强公共卫生队伍建设，健全执业人员培养、准入、使用、待遇保障、考核评价和激励机制。鼓励支持社会组织、市场机构以及企业、院校等作为社会培训评价组织，提供技能评价服务。</w:t>
      </w:r>
    </w:p>
    <w:p w14:paraId="7BA383CC" w14:textId="77777777" w:rsidR="004651C7" w:rsidRDefault="00BF798C">
      <w:pPr>
        <w:pStyle w:val="4"/>
      </w:pPr>
      <w:bookmarkStart w:id="130" w:name="_Toc93661723"/>
      <w:r>
        <w:rPr>
          <w:rFonts w:hint="eastAsia"/>
        </w:rPr>
        <w:t>6</w:t>
      </w:r>
      <w:r>
        <w:t>.</w:t>
      </w:r>
      <w:r>
        <w:rPr>
          <w:rFonts w:hint="eastAsia"/>
        </w:rPr>
        <w:t>留住国际人才</w:t>
      </w:r>
      <w:bookmarkEnd w:id="130"/>
    </w:p>
    <w:p w14:paraId="4B04183A"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要切实推进放权松绑，解放思想，突破国际人才使用的各种体制机制壁垒，赋予用人单位更多的自主权，推进人才引进与产业发展深度融合，谨防引进人才资源与经济社会发展需求错配。制定出台国际人才移民与发展规划，建立健全完善的移民管理体制机制，规范人才在华发展的权利和义务，打造公开透明的人才引进信息平台，围绕科技人才需求，出台包括教育、医疗、居住、养老等为一体的人才引进政策体系，将更多的普惠性资源落在高净值人才资源中。在法规、政策、资金等方面给予引进人才创新创业更多支持，确保真正吸引并留住更多海外优秀人才。此外，对于海外顶尖和杰出人才，在情、礼、利三方面综合应用和真诚对待。一要动之以情，以三顾茅庐的精神主动和真诚地去挖掘和邀请，真正的好的人才不是招来的，而是请来的。二要待之以礼，对于顶尖人才甚至给予国士、国宝级待遇，从政治上给予充分的信任，当成自己人信任和大胆使用。三要安之以利，给予国际同等水平甚至有所超越的高规格待遇和安置，体现政府尊重知识、尊重人才。</w:t>
      </w:r>
    </w:p>
    <w:p w14:paraId="7722514B" w14:textId="77777777" w:rsidR="004651C7" w:rsidRDefault="00BF798C">
      <w:pPr>
        <w:pStyle w:val="3"/>
        <w:spacing w:before="192" w:after="240"/>
        <w:ind w:firstLine="480"/>
      </w:pPr>
      <w:bookmarkStart w:id="131" w:name="_Toc93661724"/>
      <w:bookmarkStart w:id="132" w:name="_Toc93924840"/>
      <w:r>
        <w:rPr>
          <w:rFonts w:hint="eastAsia"/>
        </w:rPr>
        <w:t>（四）深化金融供给侧结构性改革</w:t>
      </w:r>
      <w:bookmarkEnd w:id="131"/>
      <w:bookmarkEnd w:id="132"/>
    </w:p>
    <w:p w14:paraId="7A959D7C" w14:textId="77777777" w:rsidR="004651C7" w:rsidRDefault="00BF798C">
      <w:pPr>
        <w:pStyle w:val="4"/>
      </w:pPr>
      <w:bookmarkStart w:id="133" w:name="_Toc93661725"/>
      <w:r>
        <w:rPr>
          <w:rFonts w:hint="eastAsia"/>
        </w:rPr>
        <w:t>1</w:t>
      </w:r>
      <w:r>
        <w:t>.</w:t>
      </w:r>
      <w:r>
        <w:rPr>
          <w:rFonts w:hint="eastAsia"/>
        </w:rPr>
        <w:t>提高直接融资比重</w:t>
      </w:r>
      <w:bookmarkEnd w:id="133"/>
    </w:p>
    <w:p w14:paraId="58C785F9"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加快推动股票发行注册制改革，促进注册机构、审核单位、上市企业、中介机构和投资者等市场主体协作配合、归位尽责，积极引导市场预期，共树健康、规范、透明的市场风气。加强交易所和银行间债券市场制度规则衔接，加快推进市场互联互通。</w:t>
      </w:r>
    </w:p>
    <w:p w14:paraId="796B78E5" w14:textId="77777777" w:rsidR="004651C7" w:rsidRDefault="00BF798C">
      <w:pPr>
        <w:pStyle w:val="4"/>
      </w:pPr>
      <w:bookmarkStart w:id="134" w:name="_Toc93661726"/>
      <w:r>
        <w:rPr>
          <w:rFonts w:hint="eastAsia"/>
        </w:rPr>
        <w:t>2</w:t>
      </w:r>
      <w:r>
        <w:t>.</w:t>
      </w:r>
      <w:r>
        <w:rPr>
          <w:rFonts w:hint="eastAsia"/>
        </w:rPr>
        <w:t>增强中小金融机构服务能力</w:t>
      </w:r>
      <w:bookmarkEnd w:id="134"/>
    </w:p>
    <w:p w14:paraId="2B09E86C"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增加中小银行、保险机构的数量和业务比重，增加资产管理公司、地方资产管理公司、理财子公司等特色机构和专业机构。多措并举促进中小银行回归本源、聚焦主业，深耕本地、下沉服务。加强风险化解处置，建立健全风险防控长效机制。加大资</w:t>
      </w:r>
      <w:r>
        <w:rPr>
          <w:rFonts w:eastAsia="宋体" w:cs="Times New Roman" w:hint="eastAsia"/>
          <w:sz w:val="24"/>
          <w:szCs w:val="22"/>
        </w:rPr>
        <w:lastRenderedPageBreak/>
        <w:t>本补充力度，为实现“小和小”顺利对接做好保障。</w:t>
      </w:r>
    </w:p>
    <w:p w14:paraId="36263B32" w14:textId="77777777" w:rsidR="004651C7" w:rsidRDefault="00BF798C">
      <w:pPr>
        <w:pStyle w:val="4"/>
      </w:pPr>
      <w:bookmarkStart w:id="135" w:name="_Toc93661727"/>
      <w:r>
        <w:rPr>
          <w:rFonts w:hint="eastAsia"/>
        </w:rPr>
        <w:t>3</w:t>
      </w:r>
      <w:r>
        <w:t>.</w:t>
      </w:r>
      <w:r>
        <w:rPr>
          <w:rFonts w:hint="eastAsia"/>
        </w:rPr>
        <w:t>健全中国特色多层次资本市场体系</w:t>
      </w:r>
      <w:bookmarkEnd w:id="135"/>
    </w:p>
    <w:p w14:paraId="73B9BD56"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持续推进科创板关键制度创新，突出创业板服务成长型创新型创业企业发展的特色，推进主板（中小板）改革，深化新三板改革，规范发展场外市场。进一步健全退市制度，畅通多元退出渠道，建立常态化退市机制，强化优胜劣汰。</w:t>
      </w:r>
    </w:p>
    <w:p w14:paraId="37A173B8" w14:textId="77777777" w:rsidR="004651C7" w:rsidRDefault="00BF798C">
      <w:pPr>
        <w:pStyle w:val="4"/>
      </w:pPr>
      <w:bookmarkStart w:id="136" w:name="_Toc93661728"/>
      <w:r>
        <w:rPr>
          <w:rFonts w:hint="eastAsia"/>
        </w:rPr>
        <w:t>4</w:t>
      </w:r>
      <w:r>
        <w:t>.</w:t>
      </w:r>
      <w:r>
        <w:rPr>
          <w:rFonts w:hint="eastAsia"/>
        </w:rPr>
        <w:t>丰富金融产品体系</w:t>
      </w:r>
      <w:bookmarkEnd w:id="136"/>
    </w:p>
    <w:p w14:paraId="47E12DD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增加满足多层次融资需求的金融产品供给，积极创设适合中小企业、“三农”领域的各类特色产品，深化绿色金融、老年金融、消费金融等产品创新，加大</w:t>
      </w:r>
      <w:r>
        <w:rPr>
          <w:rFonts w:eastAsia="宋体" w:cs="Times New Roman" w:hint="eastAsia"/>
          <w:sz w:val="24"/>
          <w:szCs w:val="22"/>
        </w:rPr>
        <w:t>REITs</w:t>
      </w:r>
      <w:r>
        <w:rPr>
          <w:rFonts w:eastAsia="宋体" w:cs="Times New Roman" w:hint="eastAsia"/>
          <w:sz w:val="24"/>
          <w:szCs w:val="22"/>
        </w:rPr>
        <w:t>（房地产信托投资基金）和供应链</w:t>
      </w:r>
      <w:r>
        <w:rPr>
          <w:rFonts w:eastAsia="宋体" w:cs="Times New Roman" w:hint="eastAsia"/>
          <w:sz w:val="24"/>
          <w:szCs w:val="22"/>
        </w:rPr>
        <w:t>ABS</w:t>
      </w:r>
      <w:r>
        <w:rPr>
          <w:rFonts w:eastAsia="宋体" w:cs="Times New Roman" w:hint="eastAsia"/>
          <w:sz w:val="24"/>
          <w:szCs w:val="22"/>
        </w:rPr>
        <w:t>等资产证券化产品的研发推广力度。</w:t>
      </w:r>
    </w:p>
    <w:p w14:paraId="24A85C56" w14:textId="77777777" w:rsidR="004651C7" w:rsidRDefault="00BF798C">
      <w:pPr>
        <w:pStyle w:val="4"/>
      </w:pPr>
      <w:bookmarkStart w:id="137" w:name="_Toc93661729"/>
      <w:r>
        <w:rPr>
          <w:rFonts w:hint="eastAsia"/>
        </w:rPr>
        <w:t>5</w:t>
      </w:r>
      <w:r>
        <w:t>.</w:t>
      </w:r>
      <w:r>
        <w:rPr>
          <w:rFonts w:hint="eastAsia"/>
        </w:rPr>
        <w:t>加强金融科技监管</w:t>
      </w:r>
      <w:bookmarkEnd w:id="137"/>
    </w:p>
    <w:p w14:paraId="69EB10CD"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支持金融科技发展，坚持“科技向善”，坚持金融支持实体经济、造福社会的价值追求。加快建立、遵循相应的市场规则，防止金融科技诱导过度金融消费，防止金融科技成为规避监管、非法套利的手段，防止金融科技助长“赢者通吃”的垄断。防止金融科技诱导过度金融消费，防止金融科技成为规避监管、非法套利的手段，防止金融科技助长“赢者通吃”的垄断。</w:t>
      </w:r>
    </w:p>
    <w:p w14:paraId="79F08633" w14:textId="77777777" w:rsidR="004651C7" w:rsidRDefault="00BF798C">
      <w:pPr>
        <w:pStyle w:val="4"/>
      </w:pPr>
      <w:bookmarkStart w:id="138" w:name="_Toc93661730"/>
      <w:r>
        <w:rPr>
          <w:rFonts w:hint="eastAsia"/>
        </w:rPr>
        <w:t>6</w:t>
      </w:r>
      <w:r>
        <w:t>.</w:t>
      </w:r>
      <w:r>
        <w:rPr>
          <w:rFonts w:hint="eastAsia"/>
        </w:rPr>
        <w:t>推进金融业双向开放</w:t>
      </w:r>
      <w:bookmarkEnd w:id="138"/>
    </w:p>
    <w:p w14:paraId="1B594ACA"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稳慎推进人民币国际化，逐步推进证券、基金行业对内对外双向开放，有序推进期货市场对外开放。继续深化人民币汇率形成机制改革，增强人民币汇率弹性，保持人民币汇率在合理均衡水平上的基本稳定。</w:t>
      </w:r>
    </w:p>
    <w:p w14:paraId="4B96EF63" w14:textId="77777777" w:rsidR="004651C7" w:rsidRDefault="00BF798C">
      <w:pPr>
        <w:pStyle w:val="3"/>
        <w:spacing w:before="192" w:after="240"/>
        <w:ind w:firstLine="480"/>
      </w:pPr>
      <w:bookmarkStart w:id="139" w:name="_Toc93661731"/>
      <w:bookmarkStart w:id="140" w:name="_Toc93924841"/>
      <w:r>
        <w:rPr>
          <w:rFonts w:hint="eastAsia"/>
        </w:rPr>
        <w:t>（五）推动科技创新不断深入</w:t>
      </w:r>
      <w:bookmarkEnd w:id="139"/>
      <w:bookmarkEnd w:id="140"/>
    </w:p>
    <w:p w14:paraId="786A9828" w14:textId="77777777" w:rsidR="004651C7" w:rsidRDefault="00BF798C">
      <w:pPr>
        <w:pStyle w:val="4"/>
      </w:pPr>
      <w:bookmarkStart w:id="141" w:name="_Toc93661732"/>
      <w:r>
        <w:rPr>
          <w:rFonts w:hint="eastAsia"/>
        </w:rPr>
        <w:t>1</w:t>
      </w:r>
      <w:r>
        <w:t>.</w:t>
      </w:r>
      <w:r>
        <w:rPr>
          <w:rFonts w:hint="eastAsia"/>
        </w:rPr>
        <w:t>优化调整重大科技任务组织实施机制</w:t>
      </w:r>
      <w:bookmarkEnd w:id="141"/>
    </w:p>
    <w:p w14:paraId="2C5C25A7"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优化国家科技规划体系和运行机制，增强科技规划对科技任务布局和资源配置的引领作用，构建“战略研究—规划部署—任务布局—组织实施”的有效衔接机制。分类推进重大任务研发管理，对支撑国家重大战略需求的任务，实行“揭榜挂帅”“军令状”“里程碑式考核”等管理方式；对支撑经济社会发展的任务，与部门、地方共同组织实施，探索完善“悬赏制”“赛马制”等任务管理方式；对科技创新前沿探索的任务，在竞争择优的基础上鼓励自由探索。完善充分激发科技人员创造性的科研管理方式，赋予创新领军人才更大技术路线决定权和经费使用权。</w:t>
      </w:r>
    </w:p>
    <w:p w14:paraId="661D3987" w14:textId="77777777" w:rsidR="004651C7" w:rsidRDefault="00BF798C">
      <w:pPr>
        <w:pStyle w:val="4"/>
      </w:pPr>
      <w:bookmarkStart w:id="142" w:name="_Toc93661733"/>
      <w:r>
        <w:rPr>
          <w:rFonts w:hint="eastAsia"/>
        </w:rPr>
        <w:t>2</w:t>
      </w:r>
      <w:r>
        <w:t>.</w:t>
      </w:r>
      <w:r>
        <w:rPr>
          <w:rFonts w:hint="eastAsia"/>
        </w:rPr>
        <w:t>健全基础前沿研究投入支持机制</w:t>
      </w:r>
      <w:bookmarkEnd w:id="142"/>
    </w:p>
    <w:p w14:paraId="0A34E349"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lastRenderedPageBreak/>
        <w:t>加大对基础研究的投入，加快形成以政府投入为主、社会投入多元化的机制，推动基础研究财政投入持续增长，引导企业和金融机构以适当方式加大支持，鼓励社会以捐赠和建立基金等方式多渠道投入，扩大基础研究资金来源。探索前沿性原创性科学问题发现和提出机制，完善颠覆性和非共识性研究的遴选和支持机制，努力实现更多“从</w:t>
      </w:r>
      <w:r>
        <w:rPr>
          <w:rFonts w:eastAsia="宋体" w:cs="Times New Roman" w:hint="eastAsia"/>
          <w:sz w:val="24"/>
          <w:szCs w:val="22"/>
        </w:rPr>
        <w:t>0</w:t>
      </w:r>
      <w:r>
        <w:rPr>
          <w:rFonts w:eastAsia="宋体" w:cs="Times New Roman" w:hint="eastAsia"/>
          <w:sz w:val="24"/>
          <w:szCs w:val="22"/>
        </w:rPr>
        <w:t>到</w:t>
      </w:r>
      <w:r>
        <w:rPr>
          <w:rFonts w:eastAsia="宋体" w:cs="Times New Roman" w:hint="eastAsia"/>
          <w:sz w:val="24"/>
          <w:szCs w:val="22"/>
        </w:rPr>
        <w:t>1</w:t>
      </w:r>
      <w:r>
        <w:rPr>
          <w:rFonts w:eastAsia="宋体" w:cs="Times New Roman" w:hint="eastAsia"/>
          <w:sz w:val="24"/>
          <w:szCs w:val="22"/>
        </w:rPr>
        <w:t>”的突破。</w:t>
      </w:r>
    </w:p>
    <w:p w14:paraId="2A0028EF" w14:textId="77777777" w:rsidR="004651C7" w:rsidRDefault="00BF798C">
      <w:pPr>
        <w:pStyle w:val="4"/>
      </w:pPr>
      <w:bookmarkStart w:id="143" w:name="_Toc93661734"/>
      <w:r>
        <w:rPr>
          <w:rFonts w:hint="eastAsia"/>
        </w:rPr>
        <w:t>3</w:t>
      </w:r>
      <w:r>
        <w:t>.</w:t>
      </w:r>
      <w:r>
        <w:rPr>
          <w:rFonts w:hint="eastAsia"/>
        </w:rPr>
        <w:t>以科研评价制度改革为突破口激发科技人员创新活力</w:t>
      </w:r>
      <w:bookmarkEnd w:id="143"/>
    </w:p>
    <w:p w14:paraId="632F2241"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强化国家使命导向，围绕重要学科领域和创新方向培养造就一批具有国际水平的战略科技人才、科技领军人才和创新团队，建立有利于青年科技人才脱颖而出的机制。完善科技评价机制，确立以质量、贡献、绩效为核心的评价导向，实行与不同类型科研活动规律相适应的跟踪和分类评价制度，优化科技奖励项目。落实用人单位的评价自主权，减少不必要的政府性评价活动，坚决破除“唯论文、唯职称、唯学历、唯奖项”，落实代表作制度。</w:t>
      </w:r>
    </w:p>
    <w:p w14:paraId="2241F1C1" w14:textId="77777777" w:rsidR="004651C7" w:rsidRDefault="00BF798C">
      <w:pPr>
        <w:pStyle w:val="4"/>
      </w:pPr>
      <w:bookmarkStart w:id="144" w:name="_Toc93661735"/>
      <w:r>
        <w:rPr>
          <w:rFonts w:hint="eastAsia"/>
        </w:rPr>
        <w:t>4</w:t>
      </w:r>
      <w:r>
        <w:t>.</w:t>
      </w:r>
      <w:r>
        <w:rPr>
          <w:rFonts w:hint="eastAsia"/>
        </w:rPr>
        <w:t>构建科技、产业、金融协同互促的政策体系</w:t>
      </w:r>
      <w:bookmarkEnd w:id="144"/>
    </w:p>
    <w:p w14:paraId="56E4404B"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健全科技成果转化收益合理分配机制，赋予科研人员职务科技成果所有权或长期使用权，推动科技成果评价的社会化、市场化和规范化。建设开放联动的技术要素市场，发挥市场对技术研发方向和创新要素配置的导向作用，大幅度提高科技成果转移转化成效。加大金融市场和金融工具对科技创新的支持力度，建立完善覆盖科技型企业全生命周期的信贷产品体系，发挥多层次资本市场对科技型企业的直接融资作用，发挥政府创业引导基金和成果转化基金的带动作用。加强知识产权创造、运用和保护，引导各类创新主体在关键前沿领域加强专利布局，加强知识产权交易和运营服务，激发全社会的创新潜能。</w:t>
      </w:r>
    </w:p>
    <w:p w14:paraId="0D836C85" w14:textId="77777777" w:rsidR="004651C7" w:rsidRDefault="00BF798C">
      <w:pPr>
        <w:pStyle w:val="4"/>
      </w:pPr>
      <w:bookmarkStart w:id="145" w:name="_Toc93661736"/>
      <w:r>
        <w:rPr>
          <w:rFonts w:hint="eastAsia"/>
        </w:rPr>
        <w:t>5</w:t>
      </w:r>
      <w:r>
        <w:t>.</w:t>
      </w:r>
      <w:r>
        <w:rPr>
          <w:rFonts w:hint="eastAsia"/>
        </w:rPr>
        <w:t>完善科技创新能力开放合作机制</w:t>
      </w:r>
      <w:bookmarkEnd w:id="145"/>
    </w:p>
    <w:p w14:paraId="05E6D3AE"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实施更加开放包容、互惠共享的国际科技合作战略，有效提升科技创新合作的层次和水平，加强与世界主要创新国家的多层次、广领域科技交流合作，积极参与和构建多边科技合作机制，深入实施“一带一路”科技创新行动计划，拓展民间科技合作的领域和空间。深度参与全球创新治理，聚焦事关全球可持续发展的重大问题，设立面向全球的科学研究基金，加快启动我国牵头的国际大科学计划和大科学工程。构建国际化人才制度和科研环境，形成有国际竞争力的人才培养和引进制度体系，大力提升科研管理、平台建设的国际化水平，提高国际科技人才在重大科学研究任务和大科</w:t>
      </w:r>
      <w:r>
        <w:rPr>
          <w:rFonts w:eastAsia="宋体" w:cs="Times New Roman" w:hint="eastAsia"/>
          <w:sz w:val="24"/>
          <w:szCs w:val="22"/>
        </w:rPr>
        <w:lastRenderedPageBreak/>
        <w:t>学工程实施中的参与度。</w:t>
      </w:r>
    </w:p>
    <w:p w14:paraId="035377E2" w14:textId="77777777" w:rsidR="004651C7" w:rsidRDefault="00BF798C">
      <w:pPr>
        <w:pStyle w:val="3"/>
        <w:spacing w:before="192" w:after="240"/>
        <w:ind w:firstLine="480"/>
      </w:pPr>
      <w:bookmarkStart w:id="146" w:name="_Toc93661737"/>
      <w:bookmarkStart w:id="147" w:name="_Toc93924842"/>
      <w:r>
        <w:rPr>
          <w:rFonts w:hint="eastAsia"/>
        </w:rPr>
        <w:t>（六）加快培育数据要素市场</w:t>
      </w:r>
      <w:bookmarkEnd w:id="146"/>
      <w:bookmarkEnd w:id="147"/>
    </w:p>
    <w:p w14:paraId="342AB906" w14:textId="77777777" w:rsidR="004651C7" w:rsidRDefault="00BF798C">
      <w:pPr>
        <w:pStyle w:val="4"/>
      </w:pPr>
      <w:bookmarkStart w:id="148" w:name="_Toc93661738"/>
      <w:r>
        <w:rPr>
          <w:rFonts w:hint="eastAsia"/>
        </w:rPr>
        <w:t>1</w:t>
      </w:r>
      <w:r>
        <w:t>.</w:t>
      </w:r>
      <w:r>
        <w:rPr>
          <w:rFonts w:hint="eastAsia"/>
        </w:rPr>
        <w:t>加快建立数据要素产权制度</w:t>
      </w:r>
      <w:bookmarkEnd w:id="148"/>
    </w:p>
    <w:p w14:paraId="6608DD31"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尽快制定相关法律法规，对数据的所有权、占有权、支配权、使用权、收益权、处置权等进行规则化明确。加快数据要素分配制度的建设，在明确产权的基础上形成数据要素按市场评价贡献、按贡献决定报酬的初次分配基本框架，同时制定通过财税工具完善再分配的政策体系。</w:t>
      </w:r>
    </w:p>
    <w:p w14:paraId="7D1A929D" w14:textId="77777777" w:rsidR="004651C7" w:rsidRDefault="00BF798C">
      <w:pPr>
        <w:pStyle w:val="4"/>
      </w:pPr>
      <w:bookmarkStart w:id="149" w:name="_Toc93661739"/>
      <w:r>
        <w:rPr>
          <w:rFonts w:hint="eastAsia"/>
        </w:rPr>
        <w:t>2</w:t>
      </w:r>
      <w:r>
        <w:t>.</w:t>
      </w:r>
      <w:r>
        <w:rPr>
          <w:rFonts w:hint="eastAsia"/>
        </w:rPr>
        <w:t>完善数据交易制度</w:t>
      </w:r>
      <w:bookmarkEnd w:id="149"/>
    </w:p>
    <w:p w14:paraId="7F778DDD"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研究制定符合国情的数据市场准入制度，将其纳入市场负面清单管理，破除各种形式的不合理准入技术限制和制度性隐性壁垒。加强数据标准化制度的建设，推动统一数据交易平台建设。逐步推进“分类”交易原则，根据不同类型数据实施分类交易，针对稀缺性、价值高的数据，实施卖方定价。针对社会公共价值高的数据，特别是政府部门提供的数据，实施成本定价。</w:t>
      </w:r>
    </w:p>
    <w:p w14:paraId="288A48CE" w14:textId="77777777" w:rsidR="004651C7" w:rsidRDefault="00BF798C">
      <w:pPr>
        <w:pStyle w:val="4"/>
      </w:pPr>
      <w:bookmarkStart w:id="150" w:name="_Toc93661740"/>
      <w:r>
        <w:rPr>
          <w:rFonts w:hint="eastAsia"/>
        </w:rPr>
        <w:t>3</w:t>
      </w:r>
      <w:r>
        <w:t>.</w:t>
      </w:r>
      <w:r>
        <w:rPr>
          <w:rFonts w:hint="eastAsia"/>
        </w:rPr>
        <w:t>明确数据流通规则</w:t>
      </w:r>
      <w:bookmarkEnd w:id="150"/>
    </w:p>
    <w:p w14:paraId="5C17C181"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加快在《反不正当竞争法》等法律法规中明确商业数据的流通规则，对损害企业商业利益、信息网络安全、用户隐私、社会公共利益的数据不当获取及使用行为予以规制，以便维护正常的数据流通市场秩序。</w:t>
      </w:r>
    </w:p>
    <w:p w14:paraId="16675452" w14:textId="77777777" w:rsidR="004651C7" w:rsidRDefault="00BF798C">
      <w:pPr>
        <w:pStyle w:val="4"/>
      </w:pPr>
      <w:bookmarkStart w:id="151" w:name="_Toc93661741"/>
      <w:r>
        <w:rPr>
          <w:rFonts w:hint="eastAsia"/>
        </w:rPr>
        <w:t>4</w:t>
      </w:r>
      <w:r>
        <w:t>.</w:t>
      </w:r>
      <w:r>
        <w:rPr>
          <w:rFonts w:hint="eastAsia"/>
        </w:rPr>
        <w:t>健全数据开放的管理制度</w:t>
      </w:r>
      <w:bookmarkEnd w:id="151"/>
    </w:p>
    <w:p w14:paraId="151A9B31"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加快统一的政府数据共享开放平台，逐步开放政府层面非敏感数据的使用，鼓励社会各类主体参与政府数据的采集、开发和应用。完善政商数据合作的激励规则。强化开放数据负面清单管理，在确保风险可控的条件下实现政府开放数据最大可能的开发应用。</w:t>
      </w:r>
    </w:p>
    <w:p w14:paraId="38C072A1" w14:textId="77777777" w:rsidR="004651C7" w:rsidRDefault="00BF798C">
      <w:pPr>
        <w:pStyle w:val="4"/>
      </w:pPr>
      <w:bookmarkStart w:id="152" w:name="_Toc93661742"/>
      <w:r>
        <w:rPr>
          <w:rFonts w:hint="eastAsia"/>
        </w:rPr>
        <w:t>5</w:t>
      </w:r>
      <w:r>
        <w:t>.</w:t>
      </w:r>
      <w:r>
        <w:rPr>
          <w:rFonts w:hint="eastAsia"/>
        </w:rPr>
        <w:t>积极推动国际标准设定</w:t>
      </w:r>
      <w:bookmarkEnd w:id="152"/>
    </w:p>
    <w:p w14:paraId="49FA5D6F" w14:textId="77777777" w:rsidR="004651C7" w:rsidRDefault="00BF798C">
      <w:pPr>
        <w:overflowPunct w:val="0"/>
        <w:spacing w:line="360" w:lineRule="auto"/>
        <w:ind w:firstLine="480"/>
        <w:rPr>
          <w:rFonts w:eastAsia="宋体" w:cs="Times New Roman"/>
          <w:sz w:val="24"/>
          <w:szCs w:val="22"/>
        </w:rPr>
      </w:pPr>
      <w:r>
        <w:rPr>
          <w:rFonts w:eastAsia="宋体" w:cs="Times New Roman" w:hint="eastAsia"/>
          <w:sz w:val="24"/>
          <w:szCs w:val="22"/>
        </w:rPr>
        <w:t>积极参与甚至主导建立数据和新技术领域的相关国际规则，特别是在数据流动、数字税收、数据治理以及人工智能的技术、伦理、治理等方面的国际标准讨论研究、谈判沟通中积极发挥作用，避免边缘化。</w:t>
      </w:r>
    </w:p>
    <w:p w14:paraId="24DF4816" w14:textId="77777777" w:rsidR="004651C7" w:rsidRDefault="004651C7">
      <w:pPr>
        <w:pStyle w:val="af6"/>
        <w:snapToGrid/>
        <w:spacing w:beforeLines="0" w:before="0" w:afterLines="0" w:after="0" w:line="360" w:lineRule="auto"/>
        <w:jc w:val="both"/>
        <w:rPr>
          <w:rFonts w:eastAsia="宋体"/>
          <w:sz w:val="24"/>
          <w:szCs w:val="24"/>
        </w:rPr>
      </w:pPr>
    </w:p>
    <w:p w14:paraId="17058DA5" w14:textId="448B0E56" w:rsidR="00E44A9B" w:rsidRDefault="00E44A9B">
      <w:pPr>
        <w:widowControl/>
        <w:spacing w:line="240" w:lineRule="auto"/>
        <w:ind w:firstLineChars="0" w:firstLine="0"/>
        <w:jc w:val="left"/>
      </w:pPr>
      <w:r>
        <w:br w:type="page"/>
      </w:r>
    </w:p>
    <w:tbl>
      <w:tblPr>
        <w:tblStyle w:val="afe"/>
        <w:tblW w:w="44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5242"/>
      </w:tblGrid>
      <w:tr w:rsidR="00BC375F" w:rsidRPr="00433ED8" w14:paraId="021249EA" w14:textId="77777777" w:rsidTr="00F40D19">
        <w:trPr>
          <w:trHeight w:val="481"/>
          <w:jc w:val="center"/>
        </w:trPr>
        <w:tc>
          <w:tcPr>
            <w:tcW w:w="5000" w:type="pct"/>
            <w:gridSpan w:val="2"/>
            <w:vAlign w:val="center"/>
          </w:tcPr>
          <w:p w14:paraId="5415BA3B" w14:textId="77777777" w:rsidR="00BC375F" w:rsidRPr="00433ED8" w:rsidRDefault="00BC375F" w:rsidP="00F40D19">
            <w:pPr>
              <w:ind w:firstLine="643"/>
              <w:jc w:val="center"/>
              <w:rPr>
                <w:rFonts w:ascii="宋体" w:eastAsia="宋体" w:hAnsi="宋体"/>
                <w:b/>
                <w:sz w:val="32"/>
                <w:szCs w:val="32"/>
              </w:rPr>
            </w:pPr>
            <w:bookmarkStart w:id="153" w:name="_Toc92201565"/>
            <w:bookmarkStart w:id="154" w:name="_Toc7977"/>
            <w:bookmarkStart w:id="155" w:name="_Toc11888"/>
            <w:bookmarkStart w:id="156" w:name="_Toc93825926"/>
            <w:bookmarkStart w:id="157" w:name="_Toc25997"/>
            <w:bookmarkStart w:id="158" w:name="_Toc92201568"/>
            <w:bookmarkStart w:id="159" w:name="_Toc93825929"/>
            <w:bookmarkStart w:id="160" w:name="_Hlk93942579"/>
            <w:r>
              <w:rPr>
                <w:rFonts w:ascii="宋体" w:eastAsia="宋体" w:hAnsi="宋体" w:hint="eastAsia"/>
                <w:b/>
                <w:sz w:val="32"/>
                <w:szCs w:val="32"/>
              </w:rPr>
              <w:lastRenderedPageBreak/>
              <w:t>项目</w:t>
            </w:r>
            <w:r w:rsidRPr="00433ED8">
              <w:rPr>
                <w:rFonts w:ascii="宋体" w:eastAsia="宋体" w:hAnsi="宋体" w:hint="eastAsia"/>
                <w:b/>
                <w:sz w:val="32"/>
                <w:szCs w:val="32"/>
              </w:rPr>
              <w:t>组成员</w:t>
            </w:r>
            <w:bookmarkEnd w:id="153"/>
            <w:bookmarkEnd w:id="154"/>
            <w:bookmarkEnd w:id="155"/>
            <w:bookmarkEnd w:id="156"/>
          </w:p>
          <w:bookmarkEnd w:id="157"/>
          <w:bookmarkEnd w:id="158"/>
          <w:bookmarkEnd w:id="159"/>
          <w:p w14:paraId="6096539B" w14:textId="77777777" w:rsidR="00BC375F" w:rsidRPr="00433ED8" w:rsidRDefault="00BC375F" w:rsidP="00F40D19">
            <w:pPr>
              <w:spacing w:line="360" w:lineRule="auto"/>
              <w:ind w:firstLineChars="0" w:firstLine="0"/>
              <w:jc w:val="center"/>
              <w:rPr>
                <w:rFonts w:ascii="宋体" w:eastAsia="宋体" w:hAnsi="宋体"/>
                <w:szCs w:val="30"/>
              </w:rPr>
            </w:pPr>
          </w:p>
        </w:tc>
      </w:tr>
      <w:tr w:rsidR="00BC375F" w:rsidRPr="00433ED8" w14:paraId="5DE3BBA2" w14:textId="77777777" w:rsidTr="00F40D19">
        <w:trPr>
          <w:trHeight w:val="481"/>
          <w:jc w:val="center"/>
        </w:trPr>
        <w:tc>
          <w:tcPr>
            <w:tcW w:w="1627" w:type="pct"/>
            <w:vAlign w:val="center"/>
          </w:tcPr>
          <w:p w14:paraId="4BFB16B6" w14:textId="243DD04B" w:rsidR="00BC375F" w:rsidRPr="00433ED8" w:rsidRDefault="00B3438C" w:rsidP="00F40D19">
            <w:pPr>
              <w:spacing w:line="360" w:lineRule="auto"/>
              <w:ind w:firstLineChars="0" w:firstLine="0"/>
              <w:rPr>
                <w:rFonts w:ascii="宋体" w:eastAsia="宋体" w:hAnsi="宋体"/>
                <w:sz w:val="24"/>
                <w:szCs w:val="24"/>
              </w:rPr>
            </w:pPr>
            <w:r>
              <w:rPr>
                <w:rFonts w:ascii="宋体" w:eastAsia="宋体" w:hAnsi="宋体" w:hint="eastAsia"/>
                <w:sz w:val="24"/>
                <w:szCs w:val="24"/>
              </w:rPr>
              <w:t>邹蕴涵</w:t>
            </w:r>
          </w:p>
        </w:tc>
        <w:tc>
          <w:tcPr>
            <w:tcW w:w="3373" w:type="pct"/>
            <w:vAlign w:val="center"/>
          </w:tcPr>
          <w:p w14:paraId="7AA3182F" w14:textId="60F2B323" w:rsidR="00BC375F" w:rsidRPr="00433ED8" w:rsidRDefault="00B3438C" w:rsidP="00F40D19">
            <w:pPr>
              <w:spacing w:line="360" w:lineRule="auto"/>
              <w:ind w:firstLineChars="0" w:firstLine="0"/>
              <w:rPr>
                <w:rFonts w:ascii="宋体" w:eastAsia="宋体" w:hAnsi="宋体"/>
                <w:sz w:val="24"/>
                <w:szCs w:val="24"/>
              </w:rPr>
            </w:pPr>
            <w:r>
              <w:rPr>
                <w:rFonts w:ascii="宋体" w:eastAsia="宋体" w:hAnsi="宋体" w:hint="eastAsia"/>
                <w:sz w:val="24"/>
                <w:szCs w:val="24"/>
              </w:rPr>
              <w:t>经济预测部</w:t>
            </w:r>
            <w:r w:rsidR="00BC375F">
              <w:rPr>
                <w:rFonts w:ascii="宋体" w:eastAsia="宋体" w:hAnsi="宋体" w:hint="eastAsia"/>
                <w:sz w:val="24"/>
                <w:szCs w:val="24"/>
              </w:rPr>
              <w:t>，</w:t>
            </w:r>
            <w:r>
              <w:rPr>
                <w:rFonts w:ascii="宋体" w:eastAsia="宋体" w:hAnsi="宋体" w:hint="eastAsia"/>
                <w:sz w:val="24"/>
                <w:szCs w:val="24"/>
              </w:rPr>
              <w:t>副研究员</w:t>
            </w:r>
          </w:p>
        </w:tc>
      </w:tr>
      <w:tr w:rsidR="00BC375F" w:rsidRPr="00433ED8" w14:paraId="0192F933" w14:textId="77777777" w:rsidTr="00F40D19">
        <w:trPr>
          <w:trHeight w:val="505"/>
          <w:jc w:val="center"/>
        </w:trPr>
        <w:tc>
          <w:tcPr>
            <w:tcW w:w="1627" w:type="pct"/>
            <w:vAlign w:val="center"/>
          </w:tcPr>
          <w:p w14:paraId="04A219BC" w14:textId="0A16FA79" w:rsidR="00BC375F" w:rsidRPr="00433ED8" w:rsidRDefault="004640DB" w:rsidP="00F40D19">
            <w:pPr>
              <w:spacing w:line="360" w:lineRule="auto"/>
              <w:ind w:firstLineChars="0" w:firstLine="0"/>
              <w:rPr>
                <w:rFonts w:ascii="宋体" w:eastAsia="宋体" w:hAnsi="宋体"/>
                <w:sz w:val="24"/>
                <w:szCs w:val="24"/>
              </w:rPr>
            </w:pPr>
            <w:r>
              <w:rPr>
                <w:rFonts w:ascii="宋体" w:eastAsia="宋体" w:hAnsi="宋体" w:hint="eastAsia"/>
                <w:sz w:val="24"/>
                <w:szCs w:val="24"/>
              </w:rPr>
              <w:t>陈</w:t>
            </w:r>
            <w:r w:rsidR="007108C1">
              <w:rPr>
                <w:rFonts w:ascii="宋体" w:eastAsia="宋体" w:hAnsi="宋体" w:hint="eastAsia"/>
                <w:sz w:val="24"/>
                <w:szCs w:val="24"/>
              </w:rPr>
              <w:t xml:space="preserve"> </w:t>
            </w:r>
            <w:r w:rsidR="007108C1">
              <w:rPr>
                <w:rFonts w:ascii="宋体" w:eastAsia="宋体" w:hAnsi="宋体"/>
                <w:sz w:val="24"/>
                <w:szCs w:val="24"/>
              </w:rPr>
              <w:t xml:space="preserve"> </w:t>
            </w:r>
            <w:r>
              <w:rPr>
                <w:rFonts w:ascii="宋体" w:eastAsia="宋体" w:hAnsi="宋体" w:hint="eastAsia"/>
                <w:sz w:val="24"/>
                <w:szCs w:val="24"/>
              </w:rPr>
              <w:t>彬</w:t>
            </w:r>
          </w:p>
        </w:tc>
        <w:tc>
          <w:tcPr>
            <w:tcW w:w="3373" w:type="pct"/>
            <w:vAlign w:val="center"/>
          </w:tcPr>
          <w:p w14:paraId="59C1F9A4" w14:textId="34E39029" w:rsidR="00BC375F" w:rsidRPr="00433ED8" w:rsidRDefault="00B3438C" w:rsidP="00F40D19">
            <w:pPr>
              <w:spacing w:line="360" w:lineRule="auto"/>
              <w:ind w:firstLineChars="0" w:firstLine="0"/>
              <w:rPr>
                <w:rFonts w:ascii="宋体" w:eastAsia="宋体" w:hAnsi="宋体"/>
                <w:sz w:val="24"/>
                <w:szCs w:val="24"/>
              </w:rPr>
            </w:pPr>
            <w:r>
              <w:rPr>
                <w:rFonts w:ascii="宋体" w:eastAsia="宋体" w:hAnsi="宋体" w:hint="eastAsia"/>
                <w:sz w:val="24"/>
                <w:szCs w:val="24"/>
              </w:rPr>
              <w:t>经济预测部，副研究员</w:t>
            </w:r>
          </w:p>
        </w:tc>
      </w:tr>
    </w:tbl>
    <w:p w14:paraId="7E6ECD39" w14:textId="77777777" w:rsidR="00BC375F" w:rsidRDefault="00BC375F" w:rsidP="00BC375F">
      <w:pPr>
        <w:pStyle w:val="afffc"/>
        <w:ind w:left="3600"/>
      </w:pPr>
    </w:p>
    <w:p w14:paraId="7BC410A5" w14:textId="77777777" w:rsidR="00BC375F" w:rsidRDefault="00BC375F" w:rsidP="00BC375F">
      <w:pPr>
        <w:spacing w:line="360" w:lineRule="auto"/>
        <w:ind w:firstLine="480"/>
        <w:rPr>
          <w:rFonts w:eastAsia="宋体"/>
          <w:sz w:val="24"/>
          <w:szCs w:val="16"/>
        </w:rPr>
      </w:pPr>
    </w:p>
    <w:p w14:paraId="30863BFE" w14:textId="77777777" w:rsidR="00E44A9B" w:rsidRDefault="00E44A9B" w:rsidP="00E44A9B">
      <w:pPr>
        <w:pStyle w:val="afffc"/>
      </w:pPr>
    </w:p>
    <w:p w14:paraId="28B849D4" w14:textId="77777777" w:rsidR="00E44A9B" w:rsidRDefault="00E44A9B" w:rsidP="00E44A9B">
      <w:pPr>
        <w:spacing w:line="360" w:lineRule="auto"/>
        <w:ind w:firstLine="480"/>
        <w:rPr>
          <w:rFonts w:eastAsia="宋体"/>
          <w:sz w:val="24"/>
          <w:szCs w:val="16"/>
        </w:rPr>
      </w:pPr>
    </w:p>
    <w:bookmarkEnd w:id="160"/>
    <w:p w14:paraId="40F51997" w14:textId="77777777" w:rsidR="00E44A9B" w:rsidRPr="00212E8D" w:rsidRDefault="00E44A9B" w:rsidP="00E44A9B">
      <w:pPr>
        <w:spacing w:line="360" w:lineRule="auto"/>
        <w:ind w:firstLine="480"/>
        <w:rPr>
          <w:rFonts w:eastAsia="宋体" w:cstheme="minorBidi"/>
          <w:sz w:val="24"/>
          <w:szCs w:val="20"/>
        </w:rPr>
      </w:pPr>
    </w:p>
    <w:p w14:paraId="25B1C05A" w14:textId="77777777" w:rsidR="00F45727" w:rsidRPr="00E44A9B" w:rsidRDefault="00F45727" w:rsidP="00F45727">
      <w:pPr>
        <w:pStyle w:val="a1"/>
        <w:ind w:firstLine="600"/>
      </w:pPr>
    </w:p>
    <w:sectPr w:rsidR="00F45727" w:rsidRPr="00E44A9B" w:rsidSect="00AC36FD">
      <w:headerReference w:type="default" r:id="rId16"/>
      <w:footerReference w:type="default" r:id="rId17"/>
      <w:footnotePr>
        <w:numRestart w:val="eachPage"/>
      </w:footnotePr>
      <w:endnotePr>
        <w:numFmt w:val="decimal"/>
      </w:endnotePr>
      <w:type w:val="nextColumn"/>
      <w:pgSz w:w="11906" w:h="16838" w:code="9"/>
      <w:pgMar w:top="1554" w:right="1588" w:bottom="1440" w:left="1588" w:header="1021" w:footer="992" w:gutter="0"/>
      <w:cols w:space="425"/>
      <w:docGrid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55F87" w14:textId="77777777" w:rsidR="00512E25" w:rsidRDefault="00512E25">
      <w:pPr>
        <w:spacing w:line="240" w:lineRule="auto"/>
      </w:pPr>
      <w:r>
        <w:separator/>
      </w:r>
    </w:p>
  </w:endnote>
  <w:endnote w:type="continuationSeparator" w:id="0">
    <w:p w14:paraId="77095F26" w14:textId="77777777" w:rsidR="00512E25" w:rsidRDefault="00512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9F34" w14:textId="77777777" w:rsidR="00C2760D" w:rsidRDefault="00C2760D">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65D8" w14:textId="77777777" w:rsidR="00523AFF" w:rsidRPr="007625C1" w:rsidRDefault="00523AFF" w:rsidP="0022055E">
    <w:pPr>
      <w:pStyle w:val="af4"/>
      <w:spacing w:line="240" w:lineRule="auto"/>
      <w:ind w:firstLineChars="0" w:firstLine="0"/>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A856" w14:textId="77777777" w:rsidR="00C2760D" w:rsidRDefault="00C2760D">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sz w:val="21"/>
        <w:szCs w:val="22"/>
      </w:rPr>
      <w:id w:val="-1978983871"/>
    </w:sdtPr>
    <w:sdtEndPr>
      <w:rPr>
        <w:sz w:val="24"/>
        <w:szCs w:val="24"/>
      </w:rPr>
    </w:sdtEndPr>
    <w:sdtContent>
      <w:p w14:paraId="35D73539" w14:textId="77777777" w:rsidR="00C2760D" w:rsidRDefault="00C2760D">
        <w:pPr>
          <w:snapToGrid w:val="0"/>
          <w:spacing w:line="240" w:lineRule="auto"/>
          <w:ind w:firstLineChars="0" w:firstLine="0"/>
          <w:jc w:val="center"/>
          <w:rPr>
            <w:rFonts w:asciiTheme="minorHAnsi" w:eastAsiaTheme="minorEastAsia" w:hAnsiTheme="minorHAnsi" w:cstheme="minorBidi"/>
            <w:sz w:val="24"/>
            <w:szCs w:val="24"/>
          </w:rPr>
        </w:pPr>
        <w:r>
          <w:rPr>
            <w:rFonts w:eastAsiaTheme="minorEastAsia" w:cs="Times New Roman"/>
            <w:sz w:val="24"/>
            <w:szCs w:val="24"/>
          </w:rPr>
          <w:fldChar w:fldCharType="begin"/>
        </w:r>
        <w:r>
          <w:rPr>
            <w:rFonts w:eastAsiaTheme="minorEastAsia" w:cs="Times New Roman"/>
            <w:sz w:val="24"/>
            <w:szCs w:val="24"/>
          </w:rPr>
          <w:instrText>PAGE   \* MERGEFORMAT</w:instrText>
        </w:r>
        <w:r>
          <w:rPr>
            <w:rFonts w:eastAsiaTheme="minorEastAsia" w:cs="Times New Roman"/>
            <w:sz w:val="24"/>
            <w:szCs w:val="24"/>
          </w:rPr>
          <w:fldChar w:fldCharType="separate"/>
        </w:r>
        <w:r w:rsidR="007102FE" w:rsidRPr="007102FE">
          <w:rPr>
            <w:rFonts w:eastAsiaTheme="minorEastAsia" w:cs="Times New Roman"/>
            <w:noProof/>
            <w:sz w:val="24"/>
            <w:szCs w:val="24"/>
            <w:lang w:val="zh-CN"/>
          </w:rPr>
          <w:t>1166</w:t>
        </w:r>
        <w:r>
          <w:rPr>
            <w:rFonts w:eastAsiaTheme="minorEastAsia"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9EEC1" w14:textId="77777777" w:rsidR="00512E25" w:rsidRDefault="00512E25" w:rsidP="003B1993">
      <w:pPr>
        <w:spacing w:line="240" w:lineRule="auto"/>
        <w:ind w:firstLineChars="0" w:firstLine="0"/>
      </w:pPr>
      <w:r>
        <w:separator/>
      </w:r>
    </w:p>
  </w:footnote>
  <w:footnote w:type="continuationSeparator" w:id="0">
    <w:p w14:paraId="2B135F78" w14:textId="77777777" w:rsidR="00512E25" w:rsidRDefault="00512E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5220" w14:textId="77777777" w:rsidR="00C2760D" w:rsidRDefault="00C2760D">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EFBE" w14:textId="77777777" w:rsidR="00C2760D" w:rsidRPr="0022055E" w:rsidRDefault="00C2760D" w:rsidP="0022055E">
    <w:pPr>
      <w:pStyle w:val="a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4852F" w14:textId="77777777" w:rsidR="00C2760D" w:rsidRDefault="00C2760D">
    <w:pPr>
      <w:pStyle w:val="af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67C5" w14:textId="77777777" w:rsidR="00C2760D" w:rsidRPr="0022055E" w:rsidRDefault="00C2760D" w:rsidP="00CB39E7">
    <w:pPr>
      <w:pStyle w:val="af5"/>
      <w:ind w:firstLine="420"/>
      <w:rPr>
        <w:sz w:val="21"/>
        <w:szCs w:val="21"/>
      </w:rPr>
    </w:pPr>
    <w:r w:rsidRPr="0022055E">
      <w:rPr>
        <w:rFonts w:hint="eastAsia"/>
        <w:sz w:val="21"/>
        <w:szCs w:val="21"/>
      </w:rPr>
      <w:t>国家信息中心</w:t>
    </w:r>
    <w:r w:rsidRPr="0022055E">
      <w:rPr>
        <w:rFonts w:hint="eastAsia"/>
        <w:sz w:val="21"/>
        <w:szCs w:val="21"/>
      </w:rPr>
      <w:t>2021</w:t>
    </w:r>
    <w:r w:rsidRPr="0022055E">
      <w:rPr>
        <w:rFonts w:hint="eastAsia"/>
        <w:sz w:val="21"/>
        <w:szCs w:val="21"/>
      </w:rPr>
      <w:t>年度青年人才基础研究项目成果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1D544C"/>
    <w:multiLevelType w:val="singleLevel"/>
    <w:tmpl w:val="811D544C"/>
    <w:lvl w:ilvl="0">
      <w:start w:val="1"/>
      <w:numFmt w:val="decimal"/>
      <w:suff w:val="nothing"/>
      <w:lvlText w:val="%1、"/>
      <w:lvlJc w:val="left"/>
    </w:lvl>
  </w:abstractNum>
  <w:abstractNum w:abstractNumId="1" w15:restartNumberingAfterBreak="0">
    <w:nsid w:val="8D611943"/>
    <w:multiLevelType w:val="singleLevel"/>
    <w:tmpl w:val="8D611943"/>
    <w:lvl w:ilvl="0">
      <w:start w:val="1"/>
      <w:numFmt w:val="decimal"/>
      <w:suff w:val="nothing"/>
      <w:lvlText w:val="%1、"/>
      <w:lvlJc w:val="left"/>
    </w:lvl>
  </w:abstractNum>
  <w:abstractNum w:abstractNumId="2" w15:restartNumberingAfterBreak="0">
    <w:nsid w:val="8E2EC70D"/>
    <w:multiLevelType w:val="singleLevel"/>
    <w:tmpl w:val="8E2EC70D"/>
    <w:lvl w:ilvl="0">
      <w:start w:val="1"/>
      <w:numFmt w:val="lowerLetter"/>
      <w:lvlText w:val="%1."/>
      <w:lvlJc w:val="left"/>
      <w:pPr>
        <w:ind w:left="425" w:hanging="425"/>
      </w:pPr>
      <w:rPr>
        <w:rFonts w:hint="default"/>
      </w:rPr>
    </w:lvl>
  </w:abstractNum>
  <w:abstractNum w:abstractNumId="3" w15:restartNumberingAfterBreak="0">
    <w:nsid w:val="982E510E"/>
    <w:multiLevelType w:val="singleLevel"/>
    <w:tmpl w:val="982E510E"/>
    <w:lvl w:ilvl="0">
      <w:start w:val="1"/>
      <w:numFmt w:val="decimal"/>
      <w:suff w:val="nothing"/>
      <w:lvlText w:val="%1、"/>
      <w:lvlJc w:val="left"/>
    </w:lvl>
  </w:abstractNum>
  <w:abstractNum w:abstractNumId="4" w15:restartNumberingAfterBreak="0">
    <w:nsid w:val="9B6B34D2"/>
    <w:multiLevelType w:val="singleLevel"/>
    <w:tmpl w:val="9B6B34D2"/>
    <w:lvl w:ilvl="0">
      <w:start w:val="1"/>
      <w:numFmt w:val="decimal"/>
      <w:suff w:val="nothing"/>
      <w:lvlText w:val="%1、"/>
      <w:lvlJc w:val="left"/>
    </w:lvl>
  </w:abstractNum>
  <w:abstractNum w:abstractNumId="5" w15:restartNumberingAfterBreak="0">
    <w:nsid w:val="9C5680A2"/>
    <w:multiLevelType w:val="singleLevel"/>
    <w:tmpl w:val="9C5680A2"/>
    <w:lvl w:ilvl="0">
      <w:start w:val="1"/>
      <w:numFmt w:val="decimalEnclosedCircleChinese"/>
      <w:suff w:val="nothing"/>
      <w:lvlText w:val="%1　"/>
      <w:lvlJc w:val="left"/>
      <w:pPr>
        <w:ind w:left="0" w:firstLine="400"/>
      </w:pPr>
      <w:rPr>
        <w:rFonts w:hint="eastAsia"/>
      </w:rPr>
    </w:lvl>
  </w:abstractNum>
  <w:abstractNum w:abstractNumId="6" w15:restartNumberingAfterBreak="0">
    <w:nsid w:val="A0D448A8"/>
    <w:multiLevelType w:val="singleLevel"/>
    <w:tmpl w:val="A0D448A8"/>
    <w:lvl w:ilvl="0">
      <w:start w:val="1"/>
      <w:numFmt w:val="decimalEnclosedCircleChinese"/>
      <w:suff w:val="nothing"/>
      <w:lvlText w:val="%1　"/>
      <w:lvlJc w:val="left"/>
      <w:pPr>
        <w:ind w:left="0" w:firstLine="400"/>
      </w:pPr>
      <w:rPr>
        <w:rFonts w:hint="eastAsia"/>
      </w:rPr>
    </w:lvl>
  </w:abstractNum>
  <w:abstractNum w:abstractNumId="7" w15:restartNumberingAfterBreak="0">
    <w:nsid w:val="C2706749"/>
    <w:multiLevelType w:val="singleLevel"/>
    <w:tmpl w:val="C2706749"/>
    <w:lvl w:ilvl="0">
      <w:start w:val="1"/>
      <w:numFmt w:val="decimalEnclosedCircleChinese"/>
      <w:suff w:val="nothing"/>
      <w:lvlText w:val="%1　"/>
      <w:lvlJc w:val="left"/>
      <w:pPr>
        <w:ind w:left="0" w:firstLine="400"/>
      </w:pPr>
      <w:rPr>
        <w:rFonts w:hint="eastAsia"/>
      </w:rPr>
    </w:lvl>
  </w:abstractNum>
  <w:abstractNum w:abstractNumId="8" w15:restartNumberingAfterBreak="0">
    <w:nsid w:val="D39F9F95"/>
    <w:multiLevelType w:val="multilevel"/>
    <w:tmpl w:val="D39F9F95"/>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pStyle w:val="5"/>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9" w15:restartNumberingAfterBreak="0">
    <w:nsid w:val="E23253CB"/>
    <w:multiLevelType w:val="singleLevel"/>
    <w:tmpl w:val="E23253CB"/>
    <w:lvl w:ilvl="0">
      <w:start w:val="1"/>
      <w:numFmt w:val="decimalEnclosedCircleChinese"/>
      <w:suff w:val="nothing"/>
      <w:lvlText w:val="%1　"/>
      <w:lvlJc w:val="left"/>
      <w:pPr>
        <w:ind w:left="0" w:firstLine="400"/>
      </w:pPr>
      <w:rPr>
        <w:rFonts w:hint="eastAsia"/>
      </w:rPr>
    </w:lvl>
  </w:abstractNum>
  <w:abstractNum w:abstractNumId="10" w15:restartNumberingAfterBreak="0">
    <w:nsid w:val="FF0B1F9F"/>
    <w:multiLevelType w:val="singleLevel"/>
    <w:tmpl w:val="FF0B1F9F"/>
    <w:lvl w:ilvl="0">
      <w:start w:val="1"/>
      <w:numFmt w:val="decimalEnclosedCircleChinese"/>
      <w:suff w:val="nothing"/>
      <w:lvlText w:val="%1　"/>
      <w:lvlJc w:val="left"/>
      <w:pPr>
        <w:ind w:left="0" w:firstLine="400"/>
      </w:pPr>
      <w:rPr>
        <w:rFonts w:hint="eastAsia"/>
      </w:rPr>
    </w:lvl>
  </w:abstractNum>
  <w:abstractNum w:abstractNumId="11" w15:restartNumberingAfterBreak="0">
    <w:nsid w:val="06561E43"/>
    <w:multiLevelType w:val="singleLevel"/>
    <w:tmpl w:val="06561E43"/>
    <w:lvl w:ilvl="0">
      <w:start w:val="1"/>
      <w:numFmt w:val="decimalEnclosedCircleChinese"/>
      <w:suff w:val="nothing"/>
      <w:lvlText w:val="%1　"/>
      <w:lvlJc w:val="left"/>
      <w:pPr>
        <w:ind w:left="0" w:firstLine="400"/>
      </w:pPr>
      <w:rPr>
        <w:rFonts w:hint="eastAsia"/>
      </w:rPr>
    </w:lvl>
  </w:abstractNum>
  <w:abstractNum w:abstractNumId="12" w15:restartNumberingAfterBreak="0">
    <w:nsid w:val="07AE3CB4"/>
    <w:multiLevelType w:val="multilevel"/>
    <w:tmpl w:val="190AF338"/>
    <w:lvl w:ilvl="0">
      <w:start w:val="1"/>
      <w:numFmt w:val="decimal"/>
      <w:lvlText w:val="[%1]"/>
      <w:lvlJc w:val="left"/>
      <w:pPr>
        <w:tabs>
          <w:tab w:val="left" w:pos="36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E43609C"/>
    <w:multiLevelType w:val="hybridMultilevel"/>
    <w:tmpl w:val="12E0832A"/>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2601810"/>
    <w:multiLevelType w:val="multilevel"/>
    <w:tmpl w:val="12601810"/>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5" w15:restartNumberingAfterBreak="0">
    <w:nsid w:val="19726998"/>
    <w:multiLevelType w:val="multilevel"/>
    <w:tmpl w:val="197269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B3F6421"/>
    <w:multiLevelType w:val="multilevel"/>
    <w:tmpl w:val="1B3F6421"/>
    <w:lvl w:ilvl="0">
      <w:start w:val="1"/>
      <w:numFmt w:val="decimal"/>
      <w:lvlText w:val="%1"/>
      <w:lvlJc w:val="center"/>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CBF0DCC"/>
    <w:multiLevelType w:val="hybridMultilevel"/>
    <w:tmpl w:val="F5C29A44"/>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CDA150F"/>
    <w:multiLevelType w:val="multilevel"/>
    <w:tmpl w:val="1CDA150F"/>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24429434"/>
    <w:multiLevelType w:val="singleLevel"/>
    <w:tmpl w:val="24429434"/>
    <w:lvl w:ilvl="0">
      <w:start w:val="1"/>
      <w:numFmt w:val="decimalEnclosedCircleChinese"/>
      <w:suff w:val="nothing"/>
      <w:lvlText w:val="%1　"/>
      <w:lvlJc w:val="left"/>
      <w:pPr>
        <w:ind w:left="0" w:firstLine="400"/>
      </w:pPr>
      <w:rPr>
        <w:rFonts w:hint="eastAsia"/>
      </w:rPr>
    </w:lvl>
  </w:abstractNum>
  <w:abstractNum w:abstractNumId="20" w15:restartNumberingAfterBreak="0">
    <w:nsid w:val="2B02275A"/>
    <w:multiLevelType w:val="multilevel"/>
    <w:tmpl w:val="2B0227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F0457E3"/>
    <w:multiLevelType w:val="hybridMultilevel"/>
    <w:tmpl w:val="CB3067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FCCAF6A"/>
    <w:multiLevelType w:val="singleLevel"/>
    <w:tmpl w:val="2FCCAF6A"/>
    <w:lvl w:ilvl="0">
      <w:start w:val="1"/>
      <w:numFmt w:val="decimal"/>
      <w:suff w:val="nothing"/>
      <w:lvlText w:val="%1、"/>
      <w:lvlJc w:val="left"/>
    </w:lvl>
  </w:abstractNum>
  <w:abstractNum w:abstractNumId="23" w15:restartNumberingAfterBreak="0">
    <w:nsid w:val="313E554D"/>
    <w:multiLevelType w:val="multilevel"/>
    <w:tmpl w:val="313E554D"/>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24" w15:restartNumberingAfterBreak="0">
    <w:nsid w:val="330A3CFF"/>
    <w:multiLevelType w:val="multilevel"/>
    <w:tmpl w:val="330A3C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246DAF"/>
    <w:multiLevelType w:val="multilevel"/>
    <w:tmpl w:val="35246D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FB13D9"/>
    <w:multiLevelType w:val="multilevel"/>
    <w:tmpl w:val="35FB13D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6215490"/>
    <w:multiLevelType w:val="hybridMultilevel"/>
    <w:tmpl w:val="C0865876"/>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6FB7D5F"/>
    <w:multiLevelType w:val="multilevel"/>
    <w:tmpl w:val="36FB7D5F"/>
    <w:lvl w:ilvl="0">
      <w:start w:val="1"/>
      <w:numFmt w:val="decimal"/>
      <w:lvlText w:val="%1）"/>
      <w:lvlJc w:val="left"/>
      <w:pPr>
        <w:ind w:left="840" w:hanging="360"/>
      </w:pPr>
      <w:rPr>
        <w:rFonts w:ascii="宋体" w:hAnsi="宋体" w:hint="default"/>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373D6850"/>
    <w:multiLevelType w:val="multilevel"/>
    <w:tmpl w:val="373D6850"/>
    <w:lvl w:ilvl="0">
      <w:start w:val="1"/>
      <w:numFmt w:val="bullet"/>
      <w:lvlText w:val="●"/>
      <w:lvlJc w:val="left"/>
      <w:pPr>
        <w:ind w:left="840" w:hanging="360"/>
      </w:pPr>
      <w:rPr>
        <w:rFonts w:ascii="宋体" w:eastAsia="宋体" w:hAnsi="宋体" w:cs="Times New Roman" w:hint="eastAsia"/>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37C83FEB"/>
    <w:multiLevelType w:val="multilevel"/>
    <w:tmpl w:val="37C83F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BA022C3"/>
    <w:multiLevelType w:val="multilevel"/>
    <w:tmpl w:val="3BA022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3815441"/>
    <w:multiLevelType w:val="multilevel"/>
    <w:tmpl w:val="53815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384CBE8"/>
    <w:multiLevelType w:val="singleLevel"/>
    <w:tmpl w:val="5384CBE8"/>
    <w:lvl w:ilvl="0">
      <w:start w:val="1"/>
      <w:numFmt w:val="decimal"/>
      <w:suff w:val="nothing"/>
      <w:lvlText w:val="%1、"/>
      <w:lvlJc w:val="left"/>
    </w:lvl>
  </w:abstractNum>
  <w:abstractNum w:abstractNumId="34" w15:restartNumberingAfterBreak="0">
    <w:nsid w:val="58573D9D"/>
    <w:multiLevelType w:val="multilevel"/>
    <w:tmpl w:val="58573D9D"/>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5" w15:restartNumberingAfterBreak="0">
    <w:nsid w:val="5A862242"/>
    <w:multiLevelType w:val="multilevel"/>
    <w:tmpl w:val="5A862242"/>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5DB0053E"/>
    <w:multiLevelType w:val="singleLevel"/>
    <w:tmpl w:val="5DB0053E"/>
    <w:lvl w:ilvl="0">
      <w:start w:val="1"/>
      <w:numFmt w:val="decimal"/>
      <w:suff w:val="nothing"/>
      <w:lvlText w:val="%1、"/>
      <w:lvlJc w:val="left"/>
    </w:lvl>
  </w:abstractNum>
  <w:abstractNum w:abstractNumId="37" w15:restartNumberingAfterBreak="0">
    <w:nsid w:val="612803D1"/>
    <w:multiLevelType w:val="multilevel"/>
    <w:tmpl w:val="612803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2D86F76"/>
    <w:multiLevelType w:val="singleLevel"/>
    <w:tmpl w:val="62D86F76"/>
    <w:lvl w:ilvl="0">
      <w:start w:val="1"/>
      <w:numFmt w:val="decimalEnclosedCircleChinese"/>
      <w:suff w:val="nothing"/>
      <w:lvlText w:val="%1　"/>
      <w:lvlJc w:val="left"/>
      <w:pPr>
        <w:ind w:left="0" w:firstLine="400"/>
      </w:pPr>
      <w:rPr>
        <w:rFonts w:hint="eastAsia"/>
      </w:rPr>
    </w:lvl>
  </w:abstractNum>
  <w:abstractNum w:abstractNumId="39" w15:restartNumberingAfterBreak="0">
    <w:nsid w:val="65FD7859"/>
    <w:multiLevelType w:val="multilevel"/>
    <w:tmpl w:val="65FD7859"/>
    <w:lvl w:ilvl="0">
      <w:start w:val="1"/>
      <w:numFmt w:val="decimal"/>
      <w:pStyle w:val="a"/>
      <w:lvlText w:val="[%1]"/>
      <w:lvlJc w:val="left"/>
      <w:pPr>
        <w:tabs>
          <w:tab w:val="left" w:pos="360"/>
        </w:tabs>
        <w:ind w:left="340" w:hanging="3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6DDE2839"/>
    <w:multiLevelType w:val="multilevel"/>
    <w:tmpl w:val="6DDE283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E7D7B06"/>
    <w:multiLevelType w:val="multilevel"/>
    <w:tmpl w:val="6E7D7B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F5C7510"/>
    <w:multiLevelType w:val="multilevel"/>
    <w:tmpl w:val="6F5C7510"/>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rPr>
        <w:b w:val="0"/>
        <w:i w:val="0"/>
        <w:sz w:val="10"/>
        <w:szCs w:val="1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2237C82"/>
    <w:multiLevelType w:val="multilevel"/>
    <w:tmpl w:val="72237C82"/>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4" w15:restartNumberingAfterBreak="0">
    <w:nsid w:val="72C01301"/>
    <w:multiLevelType w:val="multilevel"/>
    <w:tmpl w:val="91ACFE8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69201F3"/>
    <w:multiLevelType w:val="multilevel"/>
    <w:tmpl w:val="769201F3"/>
    <w:lvl w:ilvl="0">
      <w:start w:val="1"/>
      <w:numFmt w:val="decimal"/>
      <w:lvlText w:val="[%1]"/>
      <w:lvlJc w:val="left"/>
      <w:pPr>
        <w:tabs>
          <w:tab w:val="left" w:pos="36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AA56529"/>
    <w:multiLevelType w:val="multilevel"/>
    <w:tmpl w:val="7AA56529"/>
    <w:lvl w:ilvl="0">
      <w:start w:val="1"/>
      <w:numFmt w:val="bullet"/>
      <w:lvlText w:val=""/>
      <w:lvlJc w:val="left"/>
      <w:pPr>
        <w:ind w:left="420" w:hanging="420"/>
      </w:pPr>
      <w:rPr>
        <w:rFonts w:ascii="Wingdings" w:hAnsi="Wingdings" w:hint="default"/>
      </w:rPr>
    </w:lvl>
    <w:lvl w:ilvl="1">
      <w:start w:val="1"/>
      <w:numFmt w:val="bullet"/>
      <w:lvlText w:val=""/>
      <w:lvlJc w:val="left"/>
      <w:pPr>
        <w:ind w:left="900" w:hanging="48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BBCE7F7"/>
    <w:multiLevelType w:val="singleLevel"/>
    <w:tmpl w:val="7BBCE7F7"/>
    <w:lvl w:ilvl="0">
      <w:start w:val="1"/>
      <w:numFmt w:val="decimal"/>
      <w:suff w:val="nothing"/>
      <w:lvlText w:val="%1、"/>
      <w:lvlJc w:val="left"/>
    </w:lvl>
  </w:abstractNum>
  <w:abstractNum w:abstractNumId="48" w15:restartNumberingAfterBreak="0">
    <w:nsid w:val="7F8154D5"/>
    <w:multiLevelType w:val="multilevel"/>
    <w:tmpl w:val="7F8154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num>
  <w:num w:numId="5">
    <w:abstractNumId w:val="45"/>
  </w:num>
  <w:num w:numId="6">
    <w:abstractNumId w:val="37"/>
  </w:num>
  <w:num w:numId="7">
    <w:abstractNumId w:val="28"/>
  </w:num>
  <w:num w:numId="8">
    <w:abstractNumId w:val="18"/>
  </w:num>
  <w:num w:numId="9">
    <w:abstractNumId w:val="29"/>
  </w:num>
  <w:num w:numId="10">
    <w:abstractNumId w:val="35"/>
  </w:num>
  <w:num w:numId="11">
    <w:abstractNumId w:val="34"/>
  </w:num>
  <w:num w:numId="12">
    <w:abstractNumId w:val="43"/>
  </w:num>
  <w:num w:numId="13">
    <w:abstractNumId w:val="15"/>
  </w:num>
  <w:num w:numId="14">
    <w:abstractNumId w:val="21"/>
  </w:num>
  <w:num w:numId="15">
    <w:abstractNumId w:val="27"/>
  </w:num>
  <w:num w:numId="16">
    <w:abstractNumId w:val="17"/>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1"/>
  </w:num>
  <w:num w:numId="20">
    <w:abstractNumId w:val="6"/>
  </w:num>
  <w:num w:numId="21">
    <w:abstractNumId w:val="10"/>
  </w:num>
  <w:num w:numId="22">
    <w:abstractNumId w:val="11"/>
  </w:num>
  <w:num w:numId="23">
    <w:abstractNumId w:val="2"/>
  </w:num>
  <w:num w:numId="24">
    <w:abstractNumId w:val="38"/>
  </w:num>
  <w:num w:numId="25">
    <w:abstractNumId w:val="9"/>
  </w:num>
  <w:num w:numId="26">
    <w:abstractNumId w:val="7"/>
  </w:num>
  <w:num w:numId="27">
    <w:abstractNumId w:val="19"/>
  </w:num>
  <w:num w:numId="28">
    <w:abstractNumId w:val="5"/>
  </w:num>
  <w:num w:numId="29">
    <w:abstractNumId w:val="23"/>
  </w:num>
  <w:num w:numId="30">
    <w:abstractNumId w:val="16"/>
  </w:num>
  <w:num w:numId="31">
    <w:abstractNumId w:val="32"/>
  </w:num>
  <w:num w:numId="32">
    <w:abstractNumId w:val="48"/>
  </w:num>
  <w:num w:numId="33">
    <w:abstractNumId w:val="46"/>
  </w:num>
  <w:num w:numId="34">
    <w:abstractNumId w:val="30"/>
  </w:num>
  <w:num w:numId="35">
    <w:abstractNumId w:val="40"/>
  </w:num>
  <w:num w:numId="36">
    <w:abstractNumId w:val="22"/>
  </w:num>
  <w:num w:numId="37">
    <w:abstractNumId w:val="3"/>
  </w:num>
  <w:num w:numId="38">
    <w:abstractNumId w:val="47"/>
  </w:num>
  <w:num w:numId="39">
    <w:abstractNumId w:val="4"/>
  </w:num>
  <w:num w:numId="40">
    <w:abstractNumId w:val="36"/>
  </w:num>
  <w:num w:numId="41">
    <w:abstractNumId w:val="0"/>
  </w:num>
  <w:num w:numId="42">
    <w:abstractNumId w:val="1"/>
  </w:num>
  <w:num w:numId="43">
    <w:abstractNumId w:val="33"/>
  </w:num>
  <w:num w:numId="44">
    <w:abstractNumId w:val="24"/>
  </w:num>
  <w:num w:numId="45">
    <w:abstractNumId w:val="14"/>
  </w:num>
  <w:num w:numId="46">
    <w:abstractNumId w:val="41"/>
  </w:num>
  <w:num w:numId="47">
    <w:abstractNumId w:val="20"/>
  </w:num>
  <w:num w:numId="48">
    <w:abstractNumId w:val="4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ocumentProtection w:edit="forms" w:enforcement="1" w:cryptProviderType="rsaAES" w:cryptAlgorithmClass="hash" w:cryptAlgorithmType="typeAny" w:cryptAlgorithmSid="14" w:cryptSpinCount="100000" w:hash="p1zMNkO+qF7/Ti4Z8f18mTutOiF0DqpePmkkpNvyIPcMewAmmjupp0QzxQ5lSmCyEosZoim6hRuUyNQP2mTD3Q==" w:salt="s8lvJ/foI84yAUAZgAv9Kg=="/>
  <w:defaultTabStop w:val="60"/>
  <w:drawingGridHorizontalSpacing w:val="323"/>
  <w:drawingGridVerticalSpacing w:val="207"/>
  <w:displayVerticalDrawingGridEvery w:val="2"/>
  <w:characterSpacingControl w:val="compressPunctuation"/>
  <w:hdrShapeDefaults>
    <o:shapedefaults v:ext="edit" spidmax="2049"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29"/>
    <w:rsid w:val="00005B07"/>
    <w:rsid w:val="00024038"/>
    <w:rsid w:val="00024717"/>
    <w:rsid w:val="00026F7C"/>
    <w:rsid w:val="00027F2E"/>
    <w:rsid w:val="00046429"/>
    <w:rsid w:val="00047614"/>
    <w:rsid w:val="0005358C"/>
    <w:rsid w:val="00075C94"/>
    <w:rsid w:val="0008522B"/>
    <w:rsid w:val="000B5113"/>
    <w:rsid w:val="000B7AFD"/>
    <w:rsid w:val="000C6C6C"/>
    <w:rsid w:val="000C72F1"/>
    <w:rsid w:val="000D2E57"/>
    <w:rsid w:val="000E1FE0"/>
    <w:rsid w:val="000E5E8E"/>
    <w:rsid w:val="000F0FB7"/>
    <w:rsid w:val="000F1945"/>
    <w:rsid w:val="000F1F5F"/>
    <w:rsid w:val="00114B9E"/>
    <w:rsid w:val="00116131"/>
    <w:rsid w:val="0012213C"/>
    <w:rsid w:val="00153DC0"/>
    <w:rsid w:val="0016023C"/>
    <w:rsid w:val="00192CBD"/>
    <w:rsid w:val="001A47D2"/>
    <w:rsid w:val="001B49B5"/>
    <w:rsid w:val="001D196E"/>
    <w:rsid w:val="001F6B36"/>
    <w:rsid w:val="00203D35"/>
    <w:rsid w:val="0022055E"/>
    <w:rsid w:val="00222A3B"/>
    <w:rsid w:val="0022323D"/>
    <w:rsid w:val="00225317"/>
    <w:rsid w:val="00245740"/>
    <w:rsid w:val="00252521"/>
    <w:rsid w:val="002703E5"/>
    <w:rsid w:val="002804EC"/>
    <w:rsid w:val="002840CA"/>
    <w:rsid w:val="002A6F8D"/>
    <w:rsid w:val="002C02D9"/>
    <w:rsid w:val="002C498F"/>
    <w:rsid w:val="002D23E2"/>
    <w:rsid w:val="002F2F3C"/>
    <w:rsid w:val="003041F1"/>
    <w:rsid w:val="0031626D"/>
    <w:rsid w:val="003315A9"/>
    <w:rsid w:val="003359FA"/>
    <w:rsid w:val="003571AA"/>
    <w:rsid w:val="003A379F"/>
    <w:rsid w:val="003B1993"/>
    <w:rsid w:val="003B64CD"/>
    <w:rsid w:val="003B6E5C"/>
    <w:rsid w:val="003E21DF"/>
    <w:rsid w:val="003E3907"/>
    <w:rsid w:val="004121F2"/>
    <w:rsid w:val="00433ED8"/>
    <w:rsid w:val="0045119D"/>
    <w:rsid w:val="004529C4"/>
    <w:rsid w:val="0046334D"/>
    <w:rsid w:val="004640DB"/>
    <w:rsid w:val="004651C7"/>
    <w:rsid w:val="004669FA"/>
    <w:rsid w:val="004739B6"/>
    <w:rsid w:val="00480C14"/>
    <w:rsid w:val="00493A98"/>
    <w:rsid w:val="00496BEB"/>
    <w:rsid w:val="004A59EB"/>
    <w:rsid w:val="004B2BFD"/>
    <w:rsid w:val="004B7D12"/>
    <w:rsid w:val="004C0FF0"/>
    <w:rsid w:val="004C300D"/>
    <w:rsid w:val="004D0C30"/>
    <w:rsid w:val="004E2F68"/>
    <w:rsid w:val="004E65DD"/>
    <w:rsid w:val="004F612B"/>
    <w:rsid w:val="00503DB1"/>
    <w:rsid w:val="0051021F"/>
    <w:rsid w:val="00512E25"/>
    <w:rsid w:val="00516607"/>
    <w:rsid w:val="00523AFF"/>
    <w:rsid w:val="00524C67"/>
    <w:rsid w:val="00530953"/>
    <w:rsid w:val="005416E2"/>
    <w:rsid w:val="00546440"/>
    <w:rsid w:val="005661A4"/>
    <w:rsid w:val="005664C9"/>
    <w:rsid w:val="00566689"/>
    <w:rsid w:val="00582A9C"/>
    <w:rsid w:val="0059314C"/>
    <w:rsid w:val="005A66E4"/>
    <w:rsid w:val="005B258A"/>
    <w:rsid w:val="005B434B"/>
    <w:rsid w:val="005C0D79"/>
    <w:rsid w:val="005C629F"/>
    <w:rsid w:val="005E0A1A"/>
    <w:rsid w:val="006068D4"/>
    <w:rsid w:val="0060737A"/>
    <w:rsid w:val="00623719"/>
    <w:rsid w:val="006301E5"/>
    <w:rsid w:val="00630778"/>
    <w:rsid w:val="006337FC"/>
    <w:rsid w:val="00655B12"/>
    <w:rsid w:val="00664AB3"/>
    <w:rsid w:val="00680A0F"/>
    <w:rsid w:val="006A15EC"/>
    <w:rsid w:val="006A7196"/>
    <w:rsid w:val="006C0507"/>
    <w:rsid w:val="006D4D6A"/>
    <w:rsid w:val="006E08EC"/>
    <w:rsid w:val="006E5B0C"/>
    <w:rsid w:val="006F0DC7"/>
    <w:rsid w:val="006F2151"/>
    <w:rsid w:val="006F5E9D"/>
    <w:rsid w:val="007047AB"/>
    <w:rsid w:val="007076EA"/>
    <w:rsid w:val="007102FE"/>
    <w:rsid w:val="007108C1"/>
    <w:rsid w:val="00717069"/>
    <w:rsid w:val="0072399E"/>
    <w:rsid w:val="007344A4"/>
    <w:rsid w:val="007625C1"/>
    <w:rsid w:val="00775EB2"/>
    <w:rsid w:val="00794E59"/>
    <w:rsid w:val="00796DB0"/>
    <w:rsid w:val="007B4256"/>
    <w:rsid w:val="007C0787"/>
    <w:rsid w:val="007C678B"/>
    <w:rsid w:val="007F009C"/>
    <w:rsid w:val="007F3230"/>
    <w:rsid w:val="007F76CC"/>
    <w:rsid w:val="0080630F"/>
    <w:rsid w:val="0080680A"/>
    <w:rsid w:val="008211A6"/>
    <w:rsid w:val="0083010A"/>
    <w:rsid w:val="008408DB"/>
    <w:rsid w:val="008524A8"/>
    <w:rsid w:val="00854B64"/>
    <w:rsid w:val="00855D16"/>
    <w:rsid w:val="00861D3A"/>
    <w:rsid w:val="00865A02"/>
    <w:rsid w:val="00865B5C"/>
    <w:rsid w:val="00874455"/>
    <w:rsid w:val="00874FC5"/>
    <w:rsid w:val="00883D7D"/>
    <w:rsid w:val="00885ED8"/>
    <w:rsid w:val="008A0590"/>
    <w:rsid w:val="008C46C6"/>
    <w:rsid w:val="008E5D87"/>
    <w:rsid w:val="008F5FB1"/>
    <w:rsid w:val="008F6827"/>
    <w:rsid w:val="009120ED"/>
    <w:rsid w:val="00921C3E"/>
    <w:rsid w:val="00950C4E"/>
    <w:rsid w:val="009861D7"/>
    <w:rsid w:val="009B4896"/>
    <w:rsid w:val="009B7C83"/>
    <w:rsid w:val="009C793A"/>
    <w:rsid w:val="009E491C"/>
    <w:rsid w:val="00A07E4D"/>
    <w:rsid w:val="00A11E1F"/>
    <w:rsid w:val="00A13C37"/>
    <w:rsid w:val="00A462A1"/>
    <w:rsid w:val="00A538A8"/>
    <w:rsid w:val="00A6201B"/>
    <w:rsid w:val="00A72370"/>
    <w:rsid w:val="00A74D16"/>
    <w:rsid w:val="00A90944"/>
    <w:rsid w:val="00AA5FAC"/>
    <w:rsid w:val="00AB7EFA"/>
    <w:rsid w:val="00AC36FD"/>
    <w:rsid w:val="00AC581C"/>
    <w:rsid w:val="00AD3AB5"/>
    <w:rsid w:val="00AE1505"/>
    <w:rsid w:val="00AE7D2A"/>
    <w:rsid w:val="00AF2F15"/>
    <w:rsid w:val="00AF654F"/>
    <w:rsid w:val="00AF7D6B"/>
    <w:rsid w:val="00B03057"/>
    <w:rsid w:val="00B07EE4"/>
    <w:rsid w:val="00B3438C"/>
    <w:rsid w:val="00B53F4D"/>
    <w:rsid w:val="00B603CE"/>
    <w:rsid w:val="00B66E1B"/>
    <w:rsid w:val="00B74478"/>
    <w:rsid w:val="00B84720"/>
    <w:rsid w:val="00B871BC"/>
    <w:rsid w:val="00B87BA3"/>
    <w:rsid w:val="00B90C7E"/>
    <w:rsid w:val="00BA13DB"/>
    <w:rsid w:val="00BA6469"/>
    <w:rsid w:val="00BC375F"/>
    <w:rsid w:val="00BD6FDC"/>
    <w:rsid w:val="00BE01DE"/>
    <w:rsid w:val="00BE0FD8"/>
    <w:rsid w:val="00BE77F7"/>
    <w:rsid w:val="00BF40A5"/>
    <w:rsid w:val="00BF798C"/>
    <w:rsid w:val="00C134E1"/>
    <w:rsid w:val="00C13C7F"/>
    <w:rsid w:val="00C154CC"/>
    <w:rsid w:val="00C17F9D"/>
    <w:rsid w:val="00C22CAD"/>
    <w:rsid w:val="00C2760D"/>
    <w:rsid w:val="00C3234E"/>
    <w:rsid w:val="00C41DF7"/>
    <w:rsid w:val="00C43EF2"/>
    <w:rsid w:val="00C66287"/>
    <w:rsid w:val="00C67165"/>
    <w:rsid w:val="00C827AE"/>
    <w:rsid w:val="00C871D7"/>
    <w:rsid w:val="00C924DF"/>
    <w:rsid w:val="00C93B60"/>
    <w:rsid w:val="00CA0D54"/>
    <w:rsid w:val="00CA5608"/>
    <w:rsid w:val="00CB39E7"/>
    <w:rsid w:val="00CC600C"/>
    <w:rsid w:val="00CD128D"/>
    <w:rsid w:val="00CE180E"/>
    <w:rsid w:val="00D07ECD"/>
    <w:rsid w:val="00D12C97"/>
    <w:rsid w:val="00D21C9C"/>
    <w:rsid w:val="00D40A70"/>
    <w:rsid w:val="00D4158B"/>
    <w:rsid w:val="00D4615E"/>
    <w:rsid w:val="00D508BC"/>
    <w:rsid w:val="00D86206"/>
    <w:rsid w:val="00D967E5"/>
    <w:rsid w:val="00DA3219"/>
    <w:rsid w:val="00DA6A9D"/>
    <w:rsid w:val="00DB2D0E"/>
    <w:rsid w:val="00DC67D9"/>
    <w:rsid w:val="00DC6B81"/>
    <w:rsid w:val="00DF52B1"/>
    <w:rsid w:val="00E06763"/>
    <w:rsid w:val="00E12EF5"/>
    <w:rsid w:val="00E35250"/>
    <w:rsid w:val="00E369D4"/>
    <w:rsid w:val="00E36E3B"/>
    <w:rsid w:val="00E44A9B"/>
    <w:rsid w:val="00E574EA"/>
    <w:rsid w:val="00E575B5"/>
    <w:rsid w:val="00E914E2"/>
    <w:rsid w:val="00E92317"/>
    <w:rsid w:val="00EA44CA"/>
    <w:rsid w:val="00EA61B8"/>
    <w:rsid w:val="00ED319C"/>
    <w:rsid w:val="00ED4381"/>
    <w:rsid w:val="00F041DA"/>
    <w:rsid w:val="00F06840"/>
    <w:rsid w:val="00F15D18"/>
    <w:rsid w:val="00F25865"/>
    <w:rsid w:val="00F26922"/>
    <w:rsid w:val="00F3184A"/>
    <w:rsid w:val="00F345B0"/>
    <w:rsid w:val="00F35419"/>
    <w:rsid w:val="00F45727"/>
    <w:rsid w:val="00F7062A"/>
    <w:rsid w:val="00F81BCD"/>
    <w:rsid w:val="00F8274D"/>
    <w:rsid w:val="00F82A44"/>
    <w:rsid w:val="00F95332"/>
    <w:rsid w:val="00FD5913"/>
    <w:rsid w:val="00FD5957"/>
    <w:rsid w:val="00FF2347"/>
    <w:rsid w:val="00FF3031"/>
    <w:rsid w:val="00FF5AB5"/>
    <w:rsid w:val="00FF6073"/>
    <w:rsid w:val="1ADC0670"/>
    <w:rsid w:val="2035624B"/>
    <w:rsid w:val="20B41493"/>
    <w:rsid w:val="30E30616"/>
    <w:rsid w:val="365E05F2"/>
    <w:rsid w:val="4824126F"/>
    <w:rsid w:val="4B9E5404"/>
    <w:rsid w:val="4C8D4010"/>
    <w:rsid w:val="4D7B219B"/>
    <w:rsid w:val="4DB34B13"/>
    <w:rsid w:val="59922323"/>
    <w:rsid w:val="728752B8"/>
    <w:rsid w:val="74233661"/>
    <w:rsid w:val="7CE8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5F056A"/>
  <w15:docId w15:val="{70F178CB-7538-421E-AD3D-80058176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uiPriority="0" w:unhideWhenUsed="1"/>
    <w:lsdException w:name="annotation text" w:uiPriority="0"/>
    <w:lsdException w:name="header" w:uiPriority="0" w:unhideWhenUsed="1" w:qFormat="1"/>
    <w:lsdException w:name="footer" w:unhideWhenUsed="1" w:qFormat="1"/>
    <w:lsdException w:name="index heading" w:semiHidden="1"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lsdException w:name="line number" w:semiHidden="1" w:unhideWhenUsed="1"/>
    <w:lsdException w:name="page number" w:semiHidden="1"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0"/>
    <w:lsdException w:name="Emphasis" w:uiPriority="20"/>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pPr>
      <w:widowControl w:val="0"/>
      <w:spacing w:line="588" w:lineRule="exact"/>
      <w:ind w:firstLineChars="200" w:firstLine="600"/>
      <w:jc w:val="both"/>
    </w:pPr>
    <w:rPr>
      <w:rFonts w:ascii="Times New Roman" w:eastAsia="方正仿宋_GBK" w:hAnsi="Times New Roman" w:cs="宋体"/>
      <w:kern w:val="2"/>
      <w:sz w:val="30"/>
      <w:szCs w:val="28"/>
    </w:rPr>
  </w:style>
  <w:style w:type="paragraph" w:styleId="1">
    <w:name w:val="heading 1"/>
    <w:basedOn w:val="a0"/>
    <w:next w:val="a0"/>
    <w:link w:val="11"/>
    <w:qFormat/>
    <w:rsid w:val="008408DB"/>
    <w:pPr>
      <w:spacing w:line="360" w:lineRule="auto"/>
      <w:ind w:firstLineChars="0" w:firstLine="0"/>
      <w:jc w:val="center"/>
      <w:outlineLvl w:val="0"/>
    </w:pPr>
    <w:rPr>
      <w:rFonts w:ascii="黑体" w:eastAsia="黑体" w:hAnsi="黑体" w:cs="方正小标宋_GBK"/>
      <w:color w:val="000000"/>
      <w:sz w:val="44"/>
      <w:szCs w:val="44"/>
    </w:rPr>
  </w:style>
  <w:style w:type="paragraph" w:styleId="2">
    <w:name w:val="heading 2"/>
    <w:basedOn w:val="a0"/>
    <w:next w:val="a0"/>
    <w:link w:val="20"/>
    <w:unhideWhenUsed/>
    <w:qFormat/>
    <w:pPr>
      <w:keepNext/>
      <w:keepLines/>
      <w:adjustRightInd w:val="0"/>
      <w:spacing w:before="240" w:after="240" w:line="480" w:lineRule="exact"/>
      <w:ind w:firstLine="200"/>
      <w:outlineLvl w:val="1"/>
    </w:pPr>
    <w:rPr>
      <w:rFonts w:eastAsia="黑体" w:cs="黑体"/>
      <w:color w:val="000000"/>
      <w:kern w:val="0"/>
      <w:sz w:val="24"/>
      <w:szCs w:val="24"/>
      <w:lang w:val="zh-CN"/>
    </w:rPr>
  </w:style>
  <w:style w:type="paragraph" w:styleId="3">
    <w:name w:val="heading 3"/>
    <w:basedOn w:val="a0"/>
    <w:next w:val="a0"/>
    <w:link w:val="30"/>
    <w:unhideWhenUsed/>
    <w:qFormat/>
    <w:pPr>
      <w:keepNext/>
      <w:spacing w:beforeLines="80" w:before="80" w:afterLines="100" w:after="100" w:line="240" w:lineRule="auto"/>
      <w:ind w:firstLine="200"/>
      <w:outlineLvl w:val="2"/>
    </w:pPr>
    <w:rPr>
      <w:rFonts w:eastAsia="楷体_GB2312"/>
      <w:color w:val="000000"/>
      <w:kern w:val="0"/>
      <w:sz w:val="24"/>
      <w:szCs w:val="24"/>
      <w:lang w:val="zh-CN"/>
    </w:rPr>
  </w:style>
  <w:style w:type="paragraph" w:styleId="4">
    <w:name w:val="heading 4"/>
    <w:basedOn w:val="a0"/>
    <w:next w:val="a0"/>
    <w:link w:val="41"/>
    <w:qFormat/>
    <w:pPr>
      <w:adjustRightInd w:val="0"/>
      <w:spacing w:line="360" w:lineRule="auto"/>
      <w:ind w:firstLine="480"/>
      <w:outlineLvl w:val="3"/>
    </w:pPr>
    <w:rPr>
      <w:rFonts w:ascii="楷体" w:eastAsia="楷体" w:hAnsi="楷体" w:cs="方正仿宋_GBK"/>
      <w:sz w:val="24"/>
      <w:szCs w:val="24"/>
    </w:rPr>
  </w:style>
  <w:style w:type="paragraph" w:styleId="5">
    <w:name w:val="heading 5"/>
    <w:basedOn w:val="a0"/>
    <w:next w:val="a0"/>
    <w:link w:val="50"/>
    <w:pPr>
      <w:keepNext/>
      <w:keepLines/>
      <w:numPr>
        <w:ilvl w:val="4"/>
        <w:numId w:val="1"/>
      </w:numPr>
      <w:adjustRightInd w:val="0"/>
      <w:spacing w:beforeLines="50" w:before="50" w:afterLines="50" w:after="50" w:line="560" w:lineRule="exact"/>
      <w:ind w:firstLineChars="0" w:firstLine="0"/>
      <w:jc w:val="left"/>
      <w:textAlignment w:val="baseline"/>
      <w:outlineLvl w:val="4"/>
    </w:pPr>
    <w:rPr>
      <w:rFonts w:ascii="仿宋_GB2312" w:eastAsia="仿宋_GB2312" w:cs="Times New Roman"/>
      <w:bCs/>
      <w:kern w:val="0"/>
      <w:sz w:val="32"/>
    </w:rPr>
  </w:style>
  <w:style w:type="paragraph" w:styleId="6">
    <w:name w:val="heading 6"/>
    <w:basedOn w:val="a0"/>
    <w:next w:val="a0"/>
    <w:link w:val="60"/>
    <w:semiHidden/>
    <w:unhideWhenUsed/>
    <w:pPr>
      <w:keepNext/>
      <w:spacing w:beforeLines="100" w:afterLines="100" w:line="240" w:lineRule="auto"/>
      <w:ind w:firstLineChars="0" w:firstLine="0"/>
      <w:jc w:val="center"/>
      <w:outlineLvl w:val="5"/>
    </w:pPr>
    <w:rPr>
      <w:rFonts w:ascii="Calibri" w:eastAsia="黑体" w:hAnsi="Calibri" w:cs="Times New Roman"/>
      <w:b/>
      <w:bCs/>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style>
  <w:style w:type="paragraph" w:styleId="TOC7">
    <w:name w:val="toc 7"/>
    <w:basedOn w:val="a0"/>
    <w:next w:val="a0"/>
    <w:uiPriority w:val="39"/>
    <w:unhideWhenUsed/>
    <w:qFormat/>
    <w:pPr>
      <w:spacing w:line="240" w:lineRule="auto"/>
      <w:ind w:leftChars="1200" w:left="2520" w:firstLineChars="0" w:firstLine="0"/>
    </w:pPr>
    <w:rPr>
      <w:rFonts w:asciiTheme="minorHAnsi" w:eastAsiaTheme="minorEastAsia" w:hAnsiTheme="minorHAnsi" w:cstheme="minorBidi"/>
      <w:sz w:val="21"/>
      <w:szCs w:val="22"/>
    </w:rPr>
  </w:style>
  <w:style w:type="paragraph" w:styleId="a5">
    <w:name w:val="caption"/>
    <w:basedOn w:val="a0"/>
    <w:next w:val="a0"/>
    <w:unhideWhenUsed/>
    <w:pPr>
      <w:spacing w:line="240" w:lineRule="auto"/>
      <w:ind w:firstLineChars="0" w:firstLine="0"/>
    </w:pPr>
    <w:rPr>
      <w:rFonts w:ascii="Arial" w:eastAsia="黑体" w:hAnsi="Arial" w:cs="Arial"/>
      <w:sz w:val="20"/>
      <w:szCs w:val="20"/>
    </w:rPr>
  </w:style>
  <w:style w:type="paragraph" w:styleId="a6">
    <w:name w:val="Document Map"/>
    <w:basedOn w:val="a0"/>
    <w:link w:val="a7"/>
    <w:uiPriority w:val="99"/>
    <w:unhideWhenUsed/>
    <w:qFormat/>
    <w:pPr>
      <w:spacing w:line="240" w:lineRule="auto"/>
      <w:ind w:firstLineChars="0" w:firstLine="0"/>
    </w:pPr>
    <w:rPr>
      <w:rFonts w:ascii="宋体" w:eastAsia="宋体" w:cs="Times New Roman"/>
      <w:sz w:val="18"/>
      <w:szCs w:val="18"/>
    </w:rPr>
  </w:style>
  <w:style w:type="paragraph" w:styleId="a8">
    <w:name w:val="annotation text"/>
    <w:basedOn w:val="a0"/>
    <w:link w:val="10"/>
    <w:pPr>
      <w:adjustRightInd w:val="0"/>
      <w:spacing w:line="560" w:lineRule="exact"/>
      <w:ind w:firstLineChars="0" w:firstLine="0"/>
      <w:jc w:val="left"/>
      <w:textAlignment w:val="baseline"/>
    </w:pPr>
    <w:rPr>
      <w:rFonts w:ascii="仿宋_GB2312" w:eastAsia="仿宋_GB2312" w:cs="Times New Roman"/>
      <w:kern w:val="0"/>
      <w:sz w:val="32"/>
      <w:szCs w:val="32"/>
    </w:rPr>
  </w:style>
  <w:style w:type="paragraph" w:styleId="a9">
    <w:name w:val="Body Text"/>
    <w:basedOn w:val="a0"/>
    <w:link w:val="aa"/>
    <w:qFormat/>
    <w:pPr>
      <w:spacing w:after="120" w:line="240" w:lineRule="auto"/>
    </w:pPr>
    <w:rPr>
      <w:rFonts w:eastAsia="宋体" w:cs="Times New Roman"/>
      <w:sz w:val="24"/>
      <w:szCs w:val="24"/>
    </w:rPr>
  </w:style>
  <w:style w:type="paragraph" w:styleId="ab">
    <w:name w:val="Body Text Indent"/>
    <w:basedOn w:val="a0"/>
    <w:link w:val="ac"/>
    <w:qFormat/>
    <w:pPr>
      <w:adjustRightInd w:val="0"/>
      <w:spacing w:line="360" w:lineRule="auto"/>
      <w:ind w:firstLineChars="0" w:firstLine="555"/>
      <w:jc w:val="left"/>
      <w:textAlignment w:val="baseline"/>
    </w:pPr>
    <w:rPr>
      <w:rFonts w:ascii="楷体_GB2312" w:eastAsia="楷体_GB2312" w:cs="Times New Roman"/>
      <w:kern w:val="0"/>
      <w:sz w:val="28"/>
      <w:szCs w:val="20"/>
    </w:rPr>
  </w:style>
  <w:style w:type="paragraph" w:styleId="TOC5">
    <w:name w:val="toc 5"/>
    <w:basedOn w:val="a0"/>
    <w:next w:val="a0"/>
    <w:uiPriority w:val="39"/>
    <w:unhideWhenUsed/>
    <w:qFormat/>
    <w:pPr>
      <w:spacing w:line="240" w:lineRule="auto"/>
      <w:ind w:leftChars="800" w:left="1680" w:firstLineChars="0" w:firstLine="0"/>
    </w:pPr>
    <w:rPr>
      <w:rFonts w:asciiTheme="minorHAnsi" w:eastAsiaTheme="minorEastAsia" w:hAnsiTheme="minorHAnsi" w:cstheme="minorBidi"/>
      <w:sz w:val="21"/>
      <w:szCs w:val="22"/>
    </w:rPr>
  </w:style>
  <w:style w:type="paragraph" w:styleId="TOC3">
    <w:name w:val="toc 3"/>
    <w:basedOn w:val="a0"/>
    <w:next w:val="a0"/>
    <w:uiPriority w:val="39"/>
    <w:pPr>
      <w:adjustRightInd w:val="0"/>
      <w:spacing w:line="560" w:lineRule="exact"/>
      <w:ind w:leftChars="400" w:left="840" w:firstLineChars="0" w:firstLine="0"/>
      <w:jc w:val="left"/>
      <w:textAlignment w:val="baseline"/>
    </w:pPr>
    <w:rPr>
      <w:rFonts w:ascii="仿宋_GB2312" w:eastAsia="仿宋_GB2312" w:cs="Times New Roman"/>
      <w:kern w:val="0"/>
      <w:sz w:val="32"/>
      <w:szCs w:val="32"/>
    </w:rPr>
  </w:style>
  <w:style w:type="paragraph" w:styleId="ad">
    <w:name w:val="Plain Text"/>
    <w:basedOn w:val="a0"/>
    <w:link w:val="ae"/>
    <w:pPr>
      <w:spacing w:line="240" w:lineRule="auto"/>
      <w:ind w:firstLineChars="0" w:firstLine="0"/>
      <w:jc w:val="center"/>
    </w:pPr>
    <w:rPr>
      <w:rFonts w:ascii="宋体" w:eastAsia="宋体" w:hAnsi="Courier New" w:cs="Courier New"/>
      <w:sz w:val="21"/>
      <w:szCs w:val="21"/>
    </w:rPr>
  </w:style>
  <w:style w:type="paragraph" w:styleId="TOC8">
    <w:name w:val="toc 8"/>
    <w:basedOn w:val="a0"/>
    <w:next w:val="a0"/>
    <w:uiPriority w:val="39"/>
    <w:unhideWhenUsed/>
    <w:qFormat/>
    <w:pPr>
      <w:spacing w:line="240" w:lineRule="auto"/>
      <w:ind w:leftChars="1400" w:left="2940" w:firstLineChars="0" w:firstLine="0"/>
    </w:pPr>
    <w:rPr>
      <w:rFonts w:asciiTheme="minorHAnsi" w:eastAsiaTheme="minorEastAsia" w:hAnsiTheme="minorHAnsi" w:cstheme="minorBidi"/>
      <w:sz w:val="21"/>
      <w:szCs w:val="22"/>
    </w:rPr>
  </w:style>
  <w:style w:type="paragraph" w:styleId="af">
    <w:name w:val="Date"/>
    <w:basedOn w:val="a0"/>
    <w:next w:val="a0"/>
    <w:link w:val="af0"/>
    <w:uiPriority w:val="99"/>
    <w:semiHidden/>
    <w:unhideWhenUsed/>
    <w:qFormat/>
    <w:pPr>
      <w:spacing w:line="240" w:lineRule="auto"/>
      <w:ind w:leftChars="2500" w:left="100" w:firstLineChars="0" w:firstLine="0"/>
    </w:pPr>
    <w:rPr>
      <w:rFonts w:asciiTheme="minorHAnsi" w:eastAsiaTheme="minorEastAsia" w:hAnsiTheme="minorHAnsi" w:cstheme="minorBidi"/>
      <w:sz w:val="21"/>
      <w:szCs w:val="22"/>
    </w:rPr>
  </w:style>
  <w:style w:type="paragraph" w:styleId="af1">
    <w:name w:val="endnote text"/>
    <w:basedOn w:val="a0"/>
    <w:link w:val="12"/>
    <w:uiPriority w:val="99"/>
    <w:unhideWhenUsed/>
    <w:qFormat/>
    <w:pPr>
      <w:snapToGrid w:val="0"/>
      <w:spacing w:line="240" w:lineRule="auto"/>
      <w:ind w:firstLineChars="0" w:firstLine="0"/>
      <w:jc w:val="left"/>
    </w:pPr>
    <w:rPr>
      <w:rFonts w:ascii="Calibri" w:eastAsia="宋体" w:hAnsi="Calibri" w:cs="Times New Roman"/>
      <w:sz w:val="21"/>
      <w:szCs w:val="24"/>
    </w:rPr>
  </w:style>
  <w:style w:type="paragraph" w:styleId="af2">
    <w:name w:val="Balloon Text"/>
    <w:basedOn w:val="a0"/>
    <w:link w:val="af3"/>
    <w:uiPriority w:val="99"/>
    <w:unhideWhenUsed/>
    <w:qFormat/>
    <w:pPr>
      <w:spacing w:line="240" w:lineRule="auto"/>
      <w:ind w:firstLine="200"/>
    </w:pPr>
    <w:rPr>
      <w:rFonts w:eastAsia="宋体" w:cs="Times New Roman"/>
      <w:sz w:val="18"/>
      <w:szCs w:val="18"/>
    </w:rPr>
  </w:style>
  <w:style w:type="paragraph" w:styleId="af4">
    <w:name w:val="footer"/>
    <w:basedOn w:val="a0"/>
    <w:link w:val="21"/>
    <w:uiPriority w:val="99"/>
    <w:unhideWhenUsed/>
    <w:qFormat/>
    <w:pPr>
      <w:tabs>
        <w:tab w:val="center" w:pos="4153"/>
        <w:tab w:val="right" w:pos="8306"/>
      </w:tabs>
      <w:snapToGrid w:val="0"/>
      <w:spacing w:line="240" w:lineRule="atLeast"/>
      <w:jc w:val="left"/>
    </w:pPr>
    <w:rPr>
      <w:sz w:val="18"/>
      <w:szCs w:val="18"/>
    </w:rPr>
  </w:style>
  <w:style w:type="paragraph" w:styleId="af5">
    <w:name w:val="header"/>
    <w:basedOn w:val="a0"/>
    <w:link w:val="13"/>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0"/>
    <w:next w:val="a0"/>
    <w:uiPriority w:val="39"/>
    <w:qFormat/>
    <w:rsid w:val="00433ED8"/>
    <w:pPr>
      <w:adjustRightInd w:val="0"/>
      <w:spacing w:line="500" w:lineRule="exact"/>
      <w:ind w:firstLineChars="0" w:firstLine="0"/>
      <w:jc w:val="left"/>
      <w:textAlignment w:val="baseline"/>
    </w:pPr>
    <w:rPr>
      <w:rFonts w:eastAsia="宋体" w:cs="Times New Roman"/>
      <w:b/>
      <w:kern w:val="0"/>
      <w:sz w:val="24"/>
      <w:szCs w:val="32"/>
    </w:rPr>
  </w:style>
  <w:style w:type="paragraph" w:styleId="TOC4">
    <w:name w:val="toc 4"/>
    <w:basedOn w:val="a0"/>
    <w:next w:val="a0"/>
    <w:uiPriority w:val="39"/>
    <w:unhideWhenUsed/>
    <w:pPr>
      <w:spacing w:line="240" w:lineRule="auto"/>
      <w:ind w:leftChars="600" w:left="1260" w:firstLineChars="0" w:firstLine="0"/>
    </w:pPr>
    <w:rPr>
      <w:rFonts w:asciiTheme="minorHAnsi" w:eastAsiaTheme="minorEastAsia" w:hAnsiTheme="minorHAnsi" w:cstheme="minorBidi"/>
      <w:sz w:val="21"/>
      <w:szCs w:val="22"/>
    </w:rPr>
  </w:style>
  <w:style w:type="paragraph" w:styleId="af6">
    <w:name w:val="Subtitle"/>
    <w:basedOn w:val="a0"/>
    <w:link w:val="af7"/>
    <w:pPr>
      <w:snapToGrid w:val="0"/>
      <w:spacing w:beforeLines="50" w:before="156" w:afterLines="50" w:after="156" w:line="240" w:lineRule="auto"/>
      <w:ind w:firstLineChars="0" w:firstLine="0"/>
      <w:jc w:val="center"/>
    </w:pPr>
    <w:rPr>
      <w:rFonts w:eastAsia="黑体" w:cs="Times New Roman"/>
      <w:sz w:val="36"/>
      <w:szCs w:val="36"/>
    </w:rPr>
  </w:style>
  <w:style w:type="paragraph" w:styleId="af8">
    <w:name w:val="footnote text"/>
    <w:basedOn w:val="a0"/>
    <w:link w:val="22"/>
    <w:unhideWhenUsed/>
    <w:pPr>
      <w:snapToGrid w:val="0"/>
      <w:spacing w:line="240" w:lineRule="auto"/>
      <w:ind w:firstLineChars="0" w:firstLine="0"/>
      <w:jc w:val="left"/>
    </w:pPr>
    <w:rPr>
      <w:rFonts w:ascii="Calibri" w:eastAsia="宋体" w:hAnsi="Calibri" w:cs="Times New Roman"/>
      <w:sz w:val="18"/>
      <w:szCs w:val="24"/>
    </w:rPr>
  </w:style>
  <w:style w:type="paragraph" w:styleId="TOC6">
    <w:name w:val="toc 6"/>
    <w:basedOn w:val="a0"/>
    <w:next w:val="a0"/>
    <w:uiPriority w:val="39"/>
    <w:unhideWhenUsed/>
    <w:qFormat/>
    <w:pPr>
      <w:spacing w:line="240" w:lineRule="auto"/>
      <w:ind w:leftChars="1000" w:left="2100" w:firstLineChars="0" w:firstLine="0"/>
    </w:pPr>
    <w:rPr>
      <w:rFonts w:asciiTheme="minorHAnsi" w:eastAsiaTheme="minorEastAsia" w:hAnsiTheme="minorHAnsi" w:cstheme="minorBidi"/>
      <w:sz w:val="21"/>
      <w:szCs w:val="22"/>
    </w:rPr>
  </w:style>
  <w:style w:type="paragraph" w:styleId="TOC2">
    <w:name w:val="toc 2"/>
    <w:basedOn w:val="a0"/>
    <w:next w:val="a0"/>
    <w:link w:val="TOC20"/>
    <w:uiPriority w:val="39"/>
    <w:qFormat/>
    <w:rsid w:val="00433ED8"/>
    <w:pPr>
      <w:spacing w:line="500" w:lineRule="exact"/>
      <w:ind w:leftChars="200" w:left="200" w:firstLineChars="0" w:firstLine="0"/>
      <w:jc w:val="left"/>
    </w:pPr>
    <w:rPr>
      <w:rFonts w:eastAsia="宋体" w:cs="Times New Roman"/>
      <w:smallCaps/>
      <w:kern w:val="0"/>
      <w:sz w:val="24"/>
      <w:szCs w:val="24"/>
    </w:rPr>
  </w:style>
  <w:style w:type="paragraph" w:styleId="TOC9">
    <w:name w:val="toc 9"/>
    <w:basedOn w:val="a0"/>
    <w:next w:val="a0"/>
    <w:uiPriority w:val="39"/>
    <w:unhideWhenUsed/>
    <w:pPr>
      <w:spacing w:line="240" w:lineRule="auto"/>
      <w:ind w:leftChars="1600" w:left="3360" w:firstLineChars="0" w:firstLine="0"/>
    </w:pPr>
    <w:rPr>
      <w:rFonts w:asciiTheme="minorHAnsi" w:eastAsiaTheme="minorEastAsia" w:hAnsiTheme="minorHAnsi" w:cstheme="minorBidi"/>
      <w:sz w:val="21"/>
      <w:szCs w:val="22"/>
    </w:rPr>
  </w:style>
  <w:style w:type="paragraph" w:styleId="af9">
    <w:name w:val="Normal (Web)"/>
    <w:basedOn w:val="a0"/>
    <w:uiPriority w:val="99"/>
    <w:qFormat/>
    <w:pPr>
      <w:spacing w:after="150" w:line="240" w:lineRule="auto"/>
      <w:ind w:firstLineChars="0" w:firstLine="0"/>
      <w:jc w:val="left"/>
    </w:pPr>
    <w:rPr>
      <w:rFonts w:ascii="Calibri" w:eastAsia="宋体" w:hAnsi="Calibri" w:cs="Times New Roman"/>
      <w:kern w:val="0"/>
      <w:sz w:val="24"/>
      <w:szCs w:val="24"/>
    </w:rPr>
  </w:style>
  <w:style w:type="paragraph" w:styleId="afa">
    <w:name w:val="Title"/>
    <w:basedOn w:val="a0"/>
    <w:next w:val="a0"/>
    <w:link w:val="afb"/>
    <w:uiPriority w:val="10"/>
    <w:pPr>
      <w:spacing w:before="240" w:after="60" w:line="720" w:lineRule="auto"/>
      <w:ind w:firstLine="200"/>
      <w:jc w:val="center"/>
      <w:outlineLvl w:val="0"/>
    </w:pPr>
    <w:rPr>
      <w:rFonts w:asciiTheme="majorHAnsi" w:eastAsia="黑体" w:hAnsiTheme="majorHAnsi" w:cstheme="majorBidi"/>
      <w:b/>
      <w:bCs/>
      <w:sz w:val="32"/>
      <w:szCs w:val="32"/>
    </w:rPr>
  </w:style>
  <w:style w:type="paragraph" w:styleId="afc">
    <w:name w:val="annotation subject"/>
    <w:basedOn w:val="a8"/>
    <w:next w:val="a8"/>
    <w:link w:val="afd"/>
    <w:uiPriority w:val="99"/>
    <w:unhideWhenUsed/>
    <w:pPr>
      <w:adjustRightInd/>
      <w:spacing w:line="240" w:lineRule="auto"/>
      <w:textAlignment w:val="auto"/>
    </w:pPr>
    <w:rPr>
      <w:rFonts w:ascii="Calibri" w:eastAsia="宋体" w:hAnsi="Calibri"/>
      <w:b/>
      <w:bCs/>
      <w:kern w:val="2"/>
      <w:sz w:val="21"/>
      <w:szCs w:val="22"/>
    </w:rPr>
  </w:style>
  <w:style w:type="paragraph" w:styleId="23">
    <w:name w:val="Body Text First Indent 2"/>
    <w:basedOn w:val="ab"/>
    <w:link w:val="24"/>
    <w:pPr>
      <w:adjustRightInd/>
      <w:spacing w:after="120" w:line="240" w:lineRule="auto"/>
      <w:ind w:leftChars="200" w:left="420" w:firstLineChars="200" w:firstLine="420"/>
      <w:jc w:val="both"/>
      <w:textAlignment w:val="auto"/>
    </w:pPr>
    <w:rPr>
      <w:rFonts w:ascii="Calibri" w:eastAsia="宋体" w:hAnsi="Calibri"/>
      <w:kern w:val="2"/>
      <w:sz w:val="21"/>
      <w:szCs w:val="24"/>
    </w:rPr>
  </w:style>
  <w:style w:type="table" w:styleId="afe">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2"/>
    <w:rPr>
      <w:b/>
      <w:bCs/>
    </w:rPr>
  </w:style>
  <w:style w:type="character" w:styleId="aff0">
    <w:name w:val="endnote reference"/>
    <w:basedOn w:val="a2"/>
    <w:uiPriority w:val="99"/>
    <w:unhideWhenUsed/>
    <w:qFormat/>
    <w:rPr>
      <w:vertAlign w:val="superscript"/>
    </w:rPr>
  </w:style>
  <w:style w:type="character" w:styleId="aff1">
    <w:name w:val="FollowedHyperlink"/>
    <w:basedOn w:val="a2"/>
    <w:unhideWhenUsed/>
    <w:rPr>
      <w:color w:val="337AB7"/>
      <w:u w:val="none"/>
    </w:rPr>
  </w:style>
  <w:style w:type="character" w:styleId="aff2">
    <w:name w:val="Emphasis"/>
    <w:basedOn w:val="a2"/>
    <w:uiPriority w:val="20"/>
  </w:style>
  <w:style w:type="character" w:styleId="HTML">
    <w:name w:val="HTML Variable"/>
    <w:basedOn w:val="a2"/>
    <w:uiPriority w:val="99"/>
    <w:semiHidden/>
    <w:unhideWhenUsed/>
    <w:qFormat/>
  </w:style>
  <w:style w:type="character" w:styleId="aff3">
    <w:name w:val="Hyperlink"/>
    <w:basedOn w:val="a2"/>
    <w:uiPriority w:val="99"/>
    <w:unhideWhenUsed/>
    <w:qFormat/>
    <w:rPr>
      <w:color w:val="337AB7"/>
      <w:u w:val="none"/>
    </w:rPr>
  </w:style>
  <w:style w:type="character" w:styleId="HTML0">
    <w:name w:val="HTML Code"/>
    <w:basedOn w:val="a2"/>
    <w:uiPriority w:val="99"/>
    <w:semiHidden/>
    <w:unhideWhenUsed/>
    <w:qFormat/>
    <w:rPr>
      <w:rFonts w:ascii="Consolas" w:eastAsia="Consolas" w:hAnsi="Consolas" w:cs="Consolas" w:hint="default"/>
      <w:color w:val="C7254E"/>
      <w:sz w:val="21"/>
      <w:szCs w:val="21"/>
      <w:shd w:val="clear" w:color="auto" w:fill="F9F2F4"/>
    </w:rPr>
  </w:style>
  <w:style w:type="character" w:styleId="aff4">
    <w:name w:val="annotation reference"/>
    <w:basedOn w:val="a2"/>
    <w:rPr>
      <w:sz w:val="21"/>
      <w:szCs w:val="21"/>
    </w:rPr>
  </w:style>
  <w:style w:type="character" w:styleId="HTML1">
    <w:name w:val="HTML Cite"/>
    <w:basedOn w:val="a2"/>
    <w:uiPriority w:val="99"/>
    <w:semiHidden/>
    <w:unhideWhenUsed/>
    <w:qFormat/>
  </w:style>
  <w:style w:type="character" w:styleId="aff5">
    <w:name w:val="footnote reference"/>
    <w:basedOn w:val="a2"/>
    <w:unhideWhenUsed/>
    <w:rPr>
      <w:vertAlign w:val="superscript"/>
    </w:rPr>
  </w:style>
  <w:style w:type="character" w:styleId="HTML2">
    <w:name w:val="HTML Keyboard"/>
    <w:basedOn w:val="a2"/>
    <w:uiPriority w:val="99"/>
    <w:semiHidden/>
    <w:unhideWhenUsed/>
    <w:qFormat/>
    <w:rPr>
      <w:rFonts w:ascii="Consolas" w:eastAsia="Consolas" w:hAnsi="Consolas" w:cs="Consolas"/>
      <w:color w:val="FFFFFF"/>
      <w:sz w:val="21"/>
      <w:szCs w:val="21"/>
      <w:shd w:val="clear" w:color="auto" w:fill="333333"/>
    </w:rPr>
  </w:style>
  <w:style w:type="character" w:styleId="HTML3">
    <w:name w:val="HTML Sample"/>
    <w:basedOn w:val="a2"/>
    <w:uiPriority w:val="99"/>
    <w:semiHidden/>
    <w:unhideWhenUsed/>
    <w:qFormat/>
    <w:rPr>
      <w:rFonts w:ascii="Consolas" w:eastAsia="Consolas" w:hAnsi="Consolas" w:cs="Consolas" w:hint="default"/>
      <w:sz w:val="21"/>
      <w:szCs w:val="21"/>
    </w:rPr>
  </w:style>
  <w:style w:type="paragraph" w:customStyle="1" w:styleId="aff6">
    <w:name w:val="文档正文"/>
    <w:basedOn w:val="a0"/>
    <w:pPr>
      <w:adjustRightInd w:val="0"/>
      <w:spacing w:line="560" w:lineRule="exact"/>
      <w:ind w:firstLine="640"/>
      <w:jc w:val="left"/>
      <w:textAlignment w:val="baseline"/>
    </w:pPr>
    <w:rPr>
      <w:rFonts w:ascii="仿宋_GB2312" w:eastAsia="仿宋_GB2312" w:cs="Times New Roman"/>
      <w:kern w:val="0"/>
      <w:sz w:val="32"/>
      <w:szCs w:val="32"/>
    </w:rPr>
  </w:style>
  <w:style w:type="character" w:customStyle="1" w:styleId="af7">
    <w:name w:val="副标题 字符"/>
    <w:basedOn w:val="a2"/>
    <w:link w:val="af6"/>
    <w:rPr>
      <w:rFonts w:ascii="Times New Roman" w:eastAsia="黑体" w:hAnsi="Times New Roman" w:cs="Times New Roman"/>
      <w:sz w:val="36"/>
      <w:szCs w:val="36"/>
    </w:rPr>
  </w:style>
  <w:style w:type="character" w:customStyle="1" w:styleId="11">
    <w:name w:val="标题 1 字符1"/>
    <w:basedOn w:val="a2"/>
    <w:link w:val="1"/>
    <w:qFormat/>
    <w:rsid w:val="008408DB"/>
    <w:rPr>
      <w:rFonts w:ascii="黑体" w:eastAsia="黑体" w:hAnsi="黑体" w:cs="方正小标宋_GBK"/>
      <w:color w:val="000000"/>
      <w:kern w:val="2"/>
      <w:sz w:val="44"/>
      <w:szCs w:val="44"/>
    </w:rPr>
  </w:style>
  <w:style w:type="character" w:customStyle="1" w:styleId="20">
    <w:name w:val="标题 2 字符"/>
    <w:basedOn w:val="a2"/>
    <w:link w:val="2"/>
    <w:qFormat/>
    <w:rPr>
      <w:rFonts w:ascii="Times New Roman" w:eastAsia="黑体" w:hAnsi="Times New Roman" w:cs="黑体"/>
      <w:color w:val="000000"/>
      <w:sz w:val="24"/>
      <w:szCs w:val="24"/>
      <w:lang w:val="zh-CN"/>
    </w:rPr>
  </w:style>
  <w:style w:type="character" w:customStyle="1" w:styleId="30">
    <w:name w:val="标题 3 字符"/>
    <w:basedOn w:val="a2"/>
    <w:link w:val="3"/>
    <w:qFormat/>
    <w:rPr>
      <w:rFonts w:ascii="Times New Roman" w:eastAsia="楷体_GB2312" w:hAnsi="Times New Roman" w:cs="宋体"/>
      <w:color w:val="000000"/>
      <w:sz w:val="24"/>
      <w:szCs w:val="24"/>
      <w:lang w:val="zh-CN"/>
    </w:rPr>
  </w:style>
  <w:style w:type="character" w:customStyle="1" w:styleId="41">
    <w:name w:val="标题 4 字符1"/>
    <w:basedOn w:val="a2"/>
    <w:link w:val="4"/>
    <w:qFormat/>
    <w:rPr>
      <w:rFonts w:ascii="楷体" w:eastAsia="楷体" w:hAnsi="楷体" w:cs="方正仿宋_GBK"/>
      <w:kern w:val="2"/>
      <w:sz w:val="24"/>
      <w:szCs w:val="24"/>
    </w:rPr>
  </w:style>
  <w:style w:type="character" w:customStyle="1" w:styleId="50">
    <w:name w:val="标题 5 字符"/>
    <w:basedOn w:val="a2"/>
    <w:link w:val="5"/>
    <w:qFormat/>
    <w:rPr>
      <w:rFonts w:ascii="仿宋_GB2312" w:eastAsia="仿宋_GB2312" w:hAnsi="Times New Roman" w:cs="Times New Roman"/>
      <w:bCs/>
      <w:kern w:val="0"/>
      <w:sz w:val="32"/>
      <w:szCs w:val="28"/>
    </w:rPr>
  </w:style>
  <w:style w:type="character" w:customStyle="1" w:styleId="60">
    <w:name w:val="标题 6 字符"/>
    <w:basedOn w:val="a2"/>
    <w:link w:val="6"/>
    <w:semiHidden/>
    <w:rPr>
      <w:rFonts w:ascii="Calibri" w:eastAsia="黑体" w:hAnsi="Calibri" w:cs="Times New Roman"/>
      <w:b/>
      <w:bCs/>
      <w:szCs w:val="24"/>
    </w:rPr>
  </w:style>
  <w:style w:type="character" w:customStyle="1" w:styleId="13">
    <w:name w:val="页眉 字符1"/>
    <w:basedOn w:val="a2"/>
    <w:link w:val="af5"/>
    <w:qFormat/>
    <w:rPr>
      <w:rFonts w:ascii="Times New Roman" w:eastAsia="方正仿宋_GBK" w:hAnsi="Times New Roman" w:cs="宋体"/>
      <w:sz w:val="18"/>
      <w:szCs w:val="18"/>
    </w:rPr>
  </w:style>
  <w:style w:type="character" w:customStyle="1" w:styleId="21">
    <w:name w:val="页脚 字符2"/>
    <w:basedOn w:val="a2"/>
    <w:link w:val="af4"/>
    <w:uiPriority w:val="99"/>
    <w:qFormat/>
    <w:rPr>
      <w:rFonts w:ascii="Times New Roman" w:eastAsia="方正仿宋_GBK" w:hAnsi="Times New Roman" w:cs="宋体"/>
      <w:sz w:val="18"/>
      <w:szCs w:val="18"/>
    </w:rPr>
  </w:style>
  <w:style w:type="character" w:customStyle="1" w:styleId="10">
    <w:name w:val="批注文字 字符1"/>
    <w:basedOn w:val="a2"/>
    <w:link w:val="a8"/>
    <w:qFormat/>
    <w:rPr>
      <w:rFonts w:ascii="仿宋_GB2312" w:eastAsia="仿宋_GB2312" w:hAnsi="Times New Roman" w:cs="Times New Roman"/>
      <w:kern w:val="0"/>
      <w:sz w:val="32"/>
      <w:szCs w:val="32"/>
    </w:rPr>
  </w:style>
  <w:style w:type="character" w:customStyle="1" w:styleId="ac">
    <w:name w:val="正文文本缩进 字符"/>
    <w:basedOn w:val="a2"/>
    <w:link w:val="ab"/>
    <w:qFormat/>
    <w:rPr>
      <w:rFonts w:ascii="楷体_GB2312" w:eastAsia="楷体_GB2312" w:hAnsi="Times New Roman" w:cs="Times New Roman"/>
      <w:kern w:val="0"/>
      <w:sz w:val="28"/>
      <w:szCs w:val="20"/>
    </w:rPr>
  </w:style>
  <w:style w:type="character" w:customStyle="1" w:styleId="ae">
    <w:name w:val="纯文本 字符"/>
    <w:basedOn w:val="a2"/>
    <w:link w:val="ad"/>
    <w:qFormat/>
    <w:rPr>
      <w:rFonts w:ascii="宋体" w:eastAsia="宋体" w:hAnsi="Courier New" w:cs="Courier New"/>
      <w:szCs w:val="21"/>
    </w:rPr>
  </w:style>
  <w:style w:type="character" w:customStyle="1" w:styleId="12">
    <w:name w:val="尾注文本 字符1"/>
    <w:basedOn w:val="a2"/>
    <w:link w:val="af1"/>
    <w:uiPriority w:val="99"/>
    <w:qFormat/>
    <w:rPr>
      <w:rFonts w:ascii="Calibri" w:eastAsia="宋体" w:hAnsi="Calibri" w:cs="Times New Roman"/>
      <w:szCs w:val="24"/>
    </w:rPr>
  </w:style>
  <w:style w:type="character" w:customStyle="1" w:styleId="22">
    <w:name w:val="脚注文本 字符2"/>
    <w:basedOn w:val="a2"/>
    <w:link w:val="af8"/>
    <w:qFormat/>
    <w:rPr>
      <w:rFonts w:ascii="Calibri" w:eastAsia="宋体" w:hAnsi="Calibri" w:cs="Times New Roman"/>
      <w:sz w:val="18"/>
      <w:szCs w:val="24"/>
    </w:rPr>
  </w:style>
  <w:style w:type="paragraph" w:styleId="aff7">
    <w:name w:val="List Paragraph"/>
    <w:basedOn w:val="a0"/>
    <w:uiPriority w:val="34"/>
    <w:qFormat/>
    <w:pPr>
      <w:spacing w:line="240" w:lineRule="auto"/>
      <w:ind w:firstLine="420"/>
    </w:pPr>
    <w:rPr>
      <w:rFonts w:ascii="Calibri" w:eastAsia="宋体" w:hAnsi="Calibri" w:cs="Times New Roman"/>
      <w:sz w:val="21"/>
      <w:szCs w:val="24"/>
    </w:rPr>
  </w:style>
  <w:style w:type="paragraph" w:customStyle="1" w:styleId="WPSOffice1">
    <w:name w:val="WPSOffice手动目录 1"/>
    <w:rPr>
      <w:rFonts w:ascii="Times New Roman" w:eastAsia="宋体" w:hAnsi="Times New Roman" w:cs="Times New Roman"/>
    </w:rPr>
  </w:style>
  <w:style w:type="paragraph" w:customStyle="1" w:styleId="WPSOffice2">
    <w:name w:val="WPSOffice手动目录 2"/>
    <w:pPr>
      <w:ind w:leftChars="200" w:left="200"/>
    </w:pPr>
    <w:rPr>
      <w:rFonts w:ascii="Times New Roman" w:eastAsia="宋体" w:hAnsi="Times New Roman" w:cs="Times New Roman"/>
    </w:rPr>
  </w:style>
  <w:style w:type="paragraph" w:customStyle="1" w:styleId="WPSOffice3">
    <w:name w:val="WPSOffice手动目录 3"/>
    <w:pPr>
      <w:ind w:leftChars="400" w:left="400"/>
    </w:pPr>
    <w:rPr>
      <w:rFonts w:ascii="Times New Roman" w:eastAsia="宋体" w:hAnsi="Times New Roman" w:cs="Times New Roman"/>
    </w:rPr>
  </w:style>
  <w:style w:type="character" w:customStyle="1" w:styleId="s1">
    <w:name w:val="s1"/>
    <w:basedOn w:val="a2"/>
  </w:style>
  <w:style w:type="character" w:customStyle="1" w:styleId="cur">
    <w:name w:val="cur"/>
    <w:basedOn w:val="a2"/>
    <w:rPr>
      <w:shd w:val="clear" w:color="auto" w:fill="FF0000"/>
    </w:rPr>
  </w:style>
  <w:style w:type="character" w:customStyle="1" w:styleId="active2">
    <w:name w:val="active2"/>
    <w:basedOn w:val="a2"/>
    <w:rPr>
      <w:color w:val="FFFFFF"/>
      <w:shd w:val="clear" w:color="auto" w:fill="CC0001"/>
    </w:rPr>
  </w:style>
  <w:style w:type="character" w:customStyle="1" w:styleId="text">
    <w:name w:val="text"/>
    <w:basedOn w:val="a2"/>
    <w:rPr>
      <w:color w:val="333333"/>
      <w:bdr w:val="single" w:sz="6" w:space="0" w:color="DDDDDD"/>
    </w:rPr>
  </w:style>
  <w:style w:type="character" w:customStyle="1" w:styleId="fontstrikethrough">
    <w:name w:val="fontstrikethrough"/>
    <w:basedOn w:val="a2"/>
    <w:rPr>
      <w:strike/>
    </w:rPr>
  </w:style>
  <w:style w:type="character" w:customStyle="1" w:styleId="fontborder">
    <w:name w:val="fontborder"/>
    <w:basedOn w:val="a2"/>
    <w:rPr>
      <w:bdr w:val="single" w:sz="6" w:space="0" w:color="000000"/>
    </w:rPr>
  </w:style>
  <w:style w:type="character" w:customStyle="1" w:styleId="active4">
    <w:name w:val="active4"/>
    <w:basedOn w:val="a2"/>
    <w:rPr>
      <w:color w:val="FFFFFF"/>
      <w:shd w:val="clear" w:color="auto" w:fill="CC0001"/>
    </w:rPr>
  </w:style>
  <w:style w:type="paragraph" w:customStyle="1" w:styleId="TOC10">
    <w:name w:val="TOC 标题1"/>
    <w:basedOn w:val="1"/>
    <w:next w:val="a0"/>
    <w:uiPriority w:val="39"/>
    <w:unhideWhenUsed/>
    <w:qFormat/>
    <w:pPr>
      <w:widowControl/>
      <w:spacing w:before="240" w:line="259" w:lineRule="auto"/>
      <w:jc w:val="left"/>
      <w:outlineLvl w:val="9"/>
    </w:pPr>
    <w:rPr>
      <w:rFonts w:asciiTheme="majorHAnsi" w:eastAsiaTheme="majorEastAsia" w:hAnsiTheme="majorHAnsi" w:cstheme="majorBidi"/>
      <w:b/>
      <w:color w:val="2F5496" w:themeColor="accent1" w:themeShade="BF"/>
      <w:kern w:val="0"/>
      <w:szCs w:val="32"/>
    </w:rPr>
  </w:style>
  <w:style w:type="paragraph" w:customStyle="1" w:styleId="a">
    <w:name w:val="参考文献"/>
    <w:basedOn w:val="a0"/>
    <w:pPr>
      <w:numPr>
        <w:numId w:val="2"/>
      </w:numPr>
      <w:spacing w:line="240" w:lineRule="auto"/>
      <w:ind w:firstLineChars="0" w:firstLine="0"/>
    </w:pPr>
    <w:rPr>
      <w:rFonts w:ascii="Calibri" w:eastAsia="宋体" w:hAnsi="Calibri" w:cs="Times New Roman"/>
      <w:sz w:val="18"/>
      <w:szCs w:val="18"/>
    </w:rPr>
  </w:style>
  <w:style w:type="paragraph" w:customStyle="1" w:styleId="14">
    <w:name w:val="修订1"/>
    <w:hidden/>
    <w:uiPriority w:val="99"/>
    <w:semiHidden/>
    <w:rPr>
      <w:rFonts w:ascii="Calibri" w:eastAsia="宋体" w:hAnsi="Calibri" w:cs="Times New Roman"/>
      <w:kern w:val="2"/>
      <w:sz w:val="21"/>
      <w:szCs w:val="24"/>
    </w:rPr>
  </w:style>
  <w:style w:type="paragraph" w:customStyle="1" w:styleId="aff8">
    <w:name w:val="作者"/>
    <w:basedOn w:val="a0"/>
    <w:pPr>
      <w:widowControl/>
      <w:spacing w:line="240" w:lineRule="auto"/>
      <w:ind w:firstLineChars="0" w:firstLine="0"/>
      <w:jc w:val="center"/>
    </w:pPr>
    <w:rPr>
      <w:rFonts w:eastAsia="宋体" w:cs="Times New Roman"/>
      <w:kern w:val="0"/>
      <w:sz w:val="24"/>
      <w:szCs w:val="24"/>
      <w:lang w:eastAsia="en-US"/>
    </w:rPr>
  </w:style>
  <w:style w:type="character" w:customStyle="1" w:styleId="af0">
    <w:name w:val="日期 字符"/>
    <w:basedOn w:val="a2"/>
    <w:link w:val="af"/>
    <w:uiPriority w:val="99"/>
    <w:semiHidden/>
    <w:qFormat/>
  </w:style>
  <w:style w:type="character" w:customStyle="1" w:styleId="Char1">
    <w:name w:val="日期 Char1"/>
    <w:basedOn w:val="a2"/>
    <w:uiPriority w:val="99"/>
    <w:semiHidden/>
    <w:rPr>
      <w:rFonts w:ascii="Times New Roman" w:eastAsia="方正仿宋_GBK" w:hAnsi="Times New Roman" w:cs="宋体"/>
      <w:sz w:val="30"/>
      <w:szCs w:val="28"/>
    </w:rPr>
  </w:style>
  <w:style w:type="character" w:customStyle="1" w:styleId="Char">
    <w:name w:val="图标题 Char"/>
    <w:link w:val="aff9"/>
    <w:locked/>
    <w:rPr>
      <w:rFonts w:ascii="Times New Roman" w:eastAsia="黑体" w:hAnsi="Times New Roman" w:cs="Times New Roman"/>
      <w:bCs/>
      <w:sz w:val="28"/>
      <w:szCs w:val="28"/>
    </w:rPr>
  </w:style>
  <w:style w:type="paragraph" w:customStyle="1" w:styleId="aff9">
    <w:name w:val="图标题"/>
    <w:basedOn w:val="4"/>
    <w:next w:val="a0"/>
    <w:link w:val="Char"/>
    <w:pPr>
      <w:wordWrap w:val="0"/>
      <w:ind w:firstLineChars="0" w:firstLine="0"/>
      <w:jc w:val="center"/>
    </w:pPr>
    <w:rPr>
      <w:rFonts w:eastAsia="黑体"/>
      <w:sz w:val="28"/>
    </w:rPr>
  </w:style>
  <w:style w:type="character" w:customStyle="1" w:styleId="affa">
    <w:name w:val="二级标题 字符"/>
    <w:basedOn w:val="a2"/>
    <w:link w:val="affb"/>
    <w:qFormat/>
    <w:locked/>
    <w:rPr>
      <w:rFonts w:ascii="Times New Roman" w:eastAsia="楷体_GB2312" w:hAnsi="Times New Roman" w:cs="Times New Roman"/>
      <w:spacing w:val="6"/>
      <w:sz w:val="32"/>
      <w:szCs w:val="21"/>
    </w:rPr>
  </w:style>
  <w:style w:type="paragraph" w:customStyle="1" w:styleId="affb">
    <w:name w:val="二级标题"/>
    <w:basedOn w:val="a0"/>
    <w:next w:val="a0"/>
    <w:link w:val="affa"/>
    <w:pPr>
      <w:topLinePunct/>
      <w:autoSpaceDN w:val="0"/>
      <w:spacing w:line="560" w:lineRule="atLeast"/>
      <w:ind w:firstLine="200"/>
      <w:outlineLvl w:val="1"/>
    </w:pPr>
    <w:rPr>
      <w:rFonts w:eastAsia="楷体_GB2312" w:cs="Times New Roman"/>
      <w:spacing w:val="6"/>
      <w:sz w:val="32"/>
      <w:szCs w:val="21"/>
    </w:rPr>
  </w:style>
  <w:style w:type="paragraph" w:customStyle="1" w:styleId="TOC21">
    <w:name w:val="TOC 标题2"/>
    <w:basedOn w:val="1"/>
    <w:next w:val="a0"/>
    <w:uiPriority w:val="39"/>
    <w:unhideWhenUsed/>
    <w:qFormat/>
    <w:pPr>
      <w:widowControl/>
      <w:spacing w:before="240" w:line="259" w:lineRule="auto"/>
      <w:jc w:val="left"/>
      <w:outlineLvl w:val="9"/>
    </w:pPr>
    <w:rPr>
      <w:rFonts w:asciiTheme="majorHAnsi" w:eastAsiaTheme="majorEastAsia" w:hAnsiTheme="majorHAnsi" w:cstheme="majorBidi"/>
      <w:b/>
      <w:bCs/>
      <w:color w:val="2F5496" w:themeColor="accent1" w:themeShade="BF"/>
      <w:kern w:val="0"/>
      <w:sz w:val="32"/>
      <w:szCs w:val="32"/>
    </w:rPr>
  </w:style>
  <w:style w:type="paragraph" w:customStyle="1" w:styleId="affc">
    <w:name w:val="图题"/>
    <w:basedOn w:val="a0"/>
    <w:link w:val="Char0"/>
    <w:qFormat/>
    <w:pPr>
      <w:adjustRightInd w:val="0"/>
      <w:snapToGrid w:val="0"/>
      <w:spacing w:beforeLines="50" w:before="120" w:afterLines="50" w:after="120" w:line="240" w:lineRule="auto"/>
      <w:ind w:firstLineChars="0" w:firstLine="0"/>
      <w:jc w:val="center"/>
    </w:pPr>
    <w:rPr>
      <w:rFonts w:eastAsia="宋体" w:cs="Times New Roman"/>
      <w:b/>
      <w:bCs/>
      <w:kern w:val="0"/>
      <w:sz w:val="24"/>
      <w:szCs w:val="21"/>
    </w:rPr>
  </w:style>
  <w:style w:type="character" w:customStyle="1" w:styleId="Char0">
    <w:name w:val="图题 Char"/>
    <w:basedOn w:val="a2"/>
    <w:link w:val="affc"/>
    <w:rPr>
      <w:rFonts w:ascii="Times New Roman" w:eastAsia="宋体" w:hAnsi="Times New Roman" w:cs="Times New Roman"/>
      <w:b/>
      <w:bCs/>
      <w:sz w:val="24"/>
      <w:szCs w:val="21"/>
    </w:rPr>
  </w:style>
  <w:style w:type="paragraph" w:customStyle="1" w:styleId="affd">
    <w:name w:val="图行"/>
    <w:basedOn w:val="affe"/>
    <w:link w:val="Char2"/>
    <w:qFormat/>
    <w:rsid w:val="00FF5AB5"/>
  </w:style>
  <w:style w:type="character" w:customStyle="1" w:styleId="Char2">
    <w:name w:val="图行 Char"/>
    <w:basedOn w:val="a2"/>
    <w:link w:val="affd"/>
    <w:rsid w:val="00FF5AB5"/>
    <w:rPr>
      <w:rFonts w:ascii="Times New Roman" w:eastAsia="宋体" w:hAnsi="Times New Roman" w:cs="Times New Roman"/>
      <w:b/>
      <w:bCs/>
      <w:sz w:val="24"/>
      <w:szCs w:val="21"/>
    </w:rPr>
  </w:style>
  <w:style w:type="paragraph" w:customStyle="1" w:styleId="affe">
    <w:name w:val="表题"/>
    <w:basedOn w:val="affc"/>
    <w:link w:val="Char3"/>
    <w:qFormat/>
  </w:style>
  <w:style w:type="character" w:customStyle="1" w:styleId="Char3">
    <w:name w:val="表题 Char"/>
    <w:basedOn w:val="Char0"/>
    <w:link w:val="affe"/>
    <w:rPr>
      <w:rFonts w:ascii="Times New Roman" w:eastAsia="宋体" w:hAnsi="Times New Roman" w:cs="Times New Roman"/>
      <w:b/>
      <w:bCs/>
      <w:sz w:val="24"/>
      <w:szCs w:val="21"/>
    </w:rPr>
  </w:style>
  <w:style w:type="character" w:customStyle="1" w:styleId="aa">
    <w:name w:val="正文文本 字符"/>
    <w:basedOn w:val="a2"/>
    <w:link w:val="a9"/>
    <w:qFormat/>
    <w:rPr>
      <w:rFonts w:ascii="Times New Roman" w:eastAsia="宋体" w:hAnsi="Times New Roman" w:cs="Times New Roman"/>
      <w:sz w:val="24"/>
      <w:szCs w:val="24"/>
    </w:rPr>
  </w:style>
  <w:style w:type="table" w:customStyle="1" w:styleId="3-51">
    <w:name w:val="网格表 3 - 着色 51"/>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
    <w:name w:val="无格式表格 31"/>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
    <w:name w:val="网格表 3 - 着色 61"/>
    <w:basedOn w:val="a3"/>
    <w:uiPriority w:val="48"/>
    <w:qFormat/>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
    <w:name w:val="网格表 3 - 着色 21"/>
    <w:basedOn w:val="a3"/>
    <w:uiPriority w:val="48"/>
    <w:qFormat/>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
    <w:name w:val="无格式表格 32"/>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
    <w:name w:val="网格表 3 - 着色 52"/>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24">
    <w:name w:val="正文文本首行缩进 2 字符"/>
    <w:basedOn w:val="ac"/>
    <w:link w:val="23"/>
    <w:rPr>
      <w:rFonts w:ascii="Calibri" w:eastAsia="宋体" w:hAnsi="Calibri" w:cs="Times New Roman"/>
      <w:kern w:val="0"/>
      <w:sz w:val="28"/>
      <w:szCs w:val="24"/>
    </w:rPr>
  </w:style>
  <w:style w:type="paragraph" w:customStyle="1" w:styleId="15">
    <w:name w:val="普通(网站)1"/>
    <w:basedOn w:val="a0"/>
    <w:pPr>
      <w:spacing w:line="240" w:lineRule="auto"/>
      <w:ind w:firstLineChars="0" w:firstLine="0"/>
      <w:jc w:val="left"/>
    </w:pPr>
    <w:rPr>
      <w:rFonts w:eastAsia="宋体" w:cs="Times New Roman"/>
      <w:kern w:val="0"/>
      <w:sz w:val="24"/>
      <w:szCs w:val="24"/>
    </w:rPr>
  </w:style>
  <w:style w:type="character" w:customStyle="1" w:styleId="a7">
    <w:name w:val="文档结构图 字符"/>
    <w:link w:val="a6"/>
    <w:uiPriority w:val="99"/>
    <w:rPr>
      <w:rFonts w:ascii="宋体" w:eastAsia="宋体" w:hAnsi="Times New Roman" w:cs="Times New Roman"/>
      <w:sz w:val="18"/>
      <w:szCs w:val="18"/>
    </w:rPr>
  </w:style>
  <w:style w:type="character" w:customStyle="1" w:styleId="Char4">
    <w:name w:val="文档结构图 Char"/>
    <w:basedOn w:val="a2"/>
    <w:uiPriority w:val="99"/>
    <w:qFormat/>
    <w:rPr>
      <w:rFonts w:ascii="Microsoft YaHei UI" w:eastAsia="Microsoft YaHei UI" w:hAnsi="Times New Roman" w:cs="宋体"/>
      <w:sz w:val="18"/>
      <w:szCs w:val="18"/>
    </w:rPr>
  </w:style>
  <w:style w:type="character" w:customStyle="1" w:styleId="af3">
    <w:name w:val="批注框文本 字符"/>
    <w:link w:val="af2"/>
    <w:uiPriority w:val="99"/>
    <w:qFormat/>
    <w:rPr>
      <w:rFonts w:ascii="Times New Roman" w:eastAsia="宋体" w:hAnsi="Times New Roman" w:cs="Times New Roman"/>
      <w:sz w:val="18"/>
      <w:szCs w:val="18"/>
    </w:rPr>
  </w:style>
  <w:style w:type="character" w:customStyle="1" w:styleId="Char5">
    <w:name w:val="批注框文本 Char"/>
    <w:basedOn w:val="a2"/>
    <w:uiPriority w:val="99"/>
    <w:qFormat/>
    <w:rPr>
      <w:rFonts w:ascii="Times New Roman" w:eastAsia="方正仿宋_GBK" w:hAnsi="Times New Roman" w:cs="宋体"/>
      <w:sz w:val="18"/>
      <w:szCs w:val="18"/>
    </w:rPr>
  </w:style>
  <w:style w:type="character" w:customStyle="1" w:styleId="afd">
    <w:name w:val="批注主题 字符"/>
    <w:link w:val="afc"/>
    <w:uiPriority w:val="99"/>
    <w:rPr>
      <w:rFonts w:ascii="Calibri" w:eastAsia="宋体" w:hAnsi="Calibri" w:cs="Times New Roman"/>
      <w:b/>
      <w:bCs/>
    </w:rPr>
  </w:style>
  <w:style w:type="character" w:customStyle="1" w:styleId="Char6">
    <w:name w:val="批注主题 Char"/>
    <w:basedOn w:val="10"/>
    <w:uiPriority w:val="99"/>
    <w:rPr>
      <w:rFonts w:ascii="Times New Roman" w:eastAsia="方正仿宋_GBK" w:hAnsi="Times New Roman" w:cs="宋体"/>
      <w:b/>
      <w:bCs/>
      <w:kern w:val="0"/>
      <w:sz w:val="30"/>
      <w:szCs w:val="28"/>
    </w:rPr>
  </w:style>
  <w:style w:type="paragraph" w:styleId="afff">
    <w:name w:val="No Spacing"/>
    <w:link w:val="afff0"/>
    <w:uiPriority w:val="1"/>
    <w:pPr>
      <w:widowControl w:val="0"/>
      <w:ind w:firstLineChars="200" w:firstLine="200"/>
      <w:jc w:val="both"/>
    </w:pPr>
    <w:rPr>
      <w:rFonts w:ascii="Times New Roman" w:eastAsia="宋体" w:hAnsi="Times New Roman" w:cs="Times New Roman"/>
      <w:kern w:val="2"/>
      <w:sz w:val="21"/>
      <w:szCs w:val="22"/>
    </w:rPr>
  </w:style>
  <w:style w:type="character" w:customStyle="1" w:styleId="afff0">
    <w:name w:val="无间隔 字符"/>
    <w:link w:val="afff"/>
    <w:uiPriority w:val="1"/>
    <w:rPr>
      <w:rFonts w:ascii="Times New Roman" w:eastAsia="宋体" w:hAnsi="Times New Roman" w:cs="Times New Roman"/>
    </w:rPr>
  </w:style>
  <w:style w:type="character" w:customStyle="1" w:styleId="16">
    <w:name w:val="标题 1 字符"/>
    <w:uiPriority w:val="9"/>
    <w:rPr>
      <w:b/>
      <w:bCs/>
      <w:kern w:val="44"/>
      <w:sz w:val="44"/>
      <w:szCs w:val="44"/>
    </w:rPr>
  </w:style>
  <w:style w:type="character" w:customStyle="1" w:styleId="40">
    <w:name w:val="标题 4 字符"/>
    <w:uiPriority w:val="9"/>
    <w:rPr>
      <w:rFonts w:ascii="Cambria" w:hAnsi="Cambria"/>
      <w:b/>
      <w:bCs/>
      <w:kern w:val="2"/>
      <w:sz w:val="28"/>
      <w:szCs w:val="28"/>
    </w:rPr>
  </w:style>
  <w:style w:type="paragraph" w:customStyle="1" w:styleId="Style101">
    <w:name w:val="_Style 101"/>
    <w:basedOn w:val="a0"/>
    <w:next w:val="aff7"/>
    <w:uiPriority w:val="34"/>
    <w:qFormat/>
    <w:pPr>
      <w:spacing w:line="400" w:lineRule="exact"/>
      <w:ind w:firstLine="420"/>
    </w:pPr>
    <w:rPr>
      <w:rFonts w:eastAsia="宋体" w:cs="Times New Roman"/>
      <w:sz w:val="21"/>
      <w:szCs w:val="22"/>
    </w:rPr>
  </w:style>
  <w:style w:type="character" w:customStyle="1" w:styleId="afff1">
    <w:name w:val="批注文字 字符"/>
    <w:uiPriority w:val="99"/>
    <w:rPr>
      <w:rFonts w:ascii="Calibri" w:hAnsi="Calibri"/>
      <w:kern w:val="2"/>
      <w:sz w:val="21"/>
      <w:szCs w:val="22"/>
    </w:rPr>
  </w:style>
  <w:style w:type="character" w:customStyle="1" w:styleId="afff2">
    <w:name w:val="尾注文本 字符"/>
    <w:uiPriority w:val="99"/>
    <w:rPr>
      <w:kern w:val="2"/>
      <w:sz w:val="21"/>
      <w:szCs w:val="22"/>
    </w:rPr>
  </w:style>
  <w:style w:type="character" w:customStyle="1" w:styleId="17">
    <w:name w:val="页脚 字符1"/>
    <w:uiPriority w:val="99"/>
    <w:qFormat/>
    <w:rPr>
      <w:rFonts w:ascii="Calibri" w:hAnsi="Calibri"/>
      <w:kern w:val="2"/>
      <w:sz w:val="18"/>
      <w:szCs w:val="18"/>
    </w:rPr>
  </w:style>
  <w:style w:type="character" w:customStyle="1" w:styleId="afff3">
    <w:name w:val="页眉 字符"/>
    <w:uiPriority w:val="99"/>
    <w:rPr>
      <w:rFonts w:ascii="Calibri" w:hAnsi="Calibri"/>
      <w:kern w:val="2"/>
      <w:sz w:val="18"/>
      <w:szCs w:val="18"/>
    </w:rPr>
  </w:style>
  <w:style w:type="character" w:customStyle="1" w:styleId="18">
    <w:name w:val="脚注文本 字符1"/>
    <w:rPr>
      <w:rFonts w:ascii="Calibri" w:hAnsi="Calibri"/>
      <w:kern w:val="2"/>
      <w:sz w:val="18"/>
      <w:szCs w:val="18"/>
    </w:rPr>
  </w:style>
  <w:style w:type="table" w:customStyle="1" w:styleId="19">
    <w:name w:val="网格型1"/>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inary-span-edit2">
    <w:name w:val="ordinary-span-edit2"/>
  </w:style>
  <w:style w:type="character" w:customStyle="1" w:styleId="high-light-bg4">
    <w:name w:val="high-light-bg4"/>
  </w:style>
  <w:style w:type="character" w:customStyle="1" w:styleId="apple-converted-space">
    <w:name w:val="apple-converted-space"/>
  </w:style>
  <w:style w:type="character" w:customStyle="1" w:styleId="highlight">
    <w:name w:val="highlight"/>
  </w:style>
  <w:style w:type="character" w:customStyle="1" w:styleId="contenttitle3">
    <w:name w:val="contenttitle3"/>
    <w:rPr>
      <w:b/>
      <w:bCs/>
      <w:color w:val="35A1D4"/>
    </w:rPr>
  </w:style>
  <w:style w:type="character" w:customStyle="1" w:styleId="titlefont">
    <w:name w:val="titlefont"/>
  </w:style>
  <w:style w:type="paragraph" w:customStyle="1" w:styleId="tgt1">
    <w:name w:val="tgt1"/>
    <w:basedOn w:val="a0"/>
    <w:pPr>
      <w:widowControl/>
      <w:spacing w:after="150" w:line="360" w:lineRule="auto"/>
      <w:ind w:firstLineChars="0" w:firstLine="0"/>
      <w:jc w:val="left"/>
    </w:pPr>
    <w:rPr>
      <w:rFonts w:ascii="宋体" w:eastAsia="宋体" w:hAnsi="宋体"/>
      <w:kern w:val="0"/>
      <w:sz w:val="24"/>
      <w:szCs w:val="24"/>
    </w:rPr>
  </w:style>
  <w:style w:type="character" w:customStyle="1" w:styleId="afff4">
    <w:name w:val="脚注文本 字符"/>
    <w:rPr>
      <w:sz w:val="18"/>
      <w:szCs w:val="18"/>
    </w:rPr>
  </w:style>
  <w:style w:type="character" w:customStyle="1" w:styleId="1a">
    <w:name w:val="未处理的提及1"/>
    <w:uiPriority w:val="99"/>
    <w:unhideWhenUsed/>
    <w:rPr>
      <w:color w:val="605E5C"/>
      <w:shd w:val="clear" w:color="auto" w:fill="E1DFDD"/>
    </w:rPr>
  </w:style>
  <w:style w:type="character" w:customStyle="1" w:styleId="afff5">
    <w:name w:val="页脚 字符"/>
    <w:uiPriority w:val="99"/>
  </w:style>
  <w:style w:type="table" w:customStyle="1" w:styleId="110">
    <w:name w:val="网格型1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uiPriority w:val="99"/>
    <w:semiHidden/>
    <w:rPr>
      <w:color w:val="808080"/>
    </w:rPr>
  </w:style>
  <w:style w:type="paragraph" w:customStyle="1" w:styleId="afff7">
    <w:name w:val="预测正文"/>
    <w:pPr>
      <w:widowControl w:val="0"/>
      <w:adjustRightInd w:val="0"/>
      <w:snapToGrid w:val="0"/>
      <w:spacing w:line="510" w:lineRule="exact"/>
      <w:ind w:firstLineChars="200" w:firstLine="598"/>
      <w:jc w:val="both"/>
    </w:pPr>
    <w:rPr>
      <w:rFonts w:ascii="仿宋_GB2312" w:eastAsia="仿宋_GB2312" w:hAnsi="仿宋_GB2312" w:cs="Times New Roman"/>
      <w:kern w:val="2"/>
      <w:sz w:val="28"/>
      <w:szCs w:val="28"/>
    </w:rPr>
  </w:style>
  <w:style w:type="paragraph" w:customStyle="1" w:styleId="25">
    <w:name w:val="预测标题2"/>
    <w:pPr>
      <w:widowControl w:val="0"/>
      <w:adjustRightInd w:val="0"/>
      <w:snapToGrid w:val="0"/>
      <w:spacing w:beforeLines="50" w:before="240" w:afterLines="50" w:after="240" w:line="510" w:lineRule="exact"/>
      <w:ind w:firstLineChars="200" w:firstLine="599"/>
      <w:jc w:val="both"/>
    </w:pPr>
    <w:rPr>
      <w:rFonts w:ascii="黑体" w:eastAsia="黑体" w:hAnsi="黑体" w:cs="Times New Roman"/>
      <w:b/>
      <w:kern w:val="2"/>
      <w:sz w:val="28"/>
      <w:szCs w:val="28"/>
    </w:rPr>
  </w:style>
  <w:style w:type="paragraph" w:customStyle="1" w:styleId="afff8">
    <w:name w:val="预测表头"/>
    <w:pPr>
      <w:widowControl w:val="0"/>
      <w:adjustRightInd w:val="0"/>
      <w:snapToGrid w:val="0"/>
      <w:spacing w:beforeLines="50" w:before="240" w:line="360" w:lineRule="exact"/>
      <w:jc w:val="center"/>
    </w:pPr>
    <w:rPr>
      <w:rFonts w:ascii="宋体" w:eastAsia="宋体" w:hAnsi="宋体" w:cs="Times New Roman"/>
      <w:b/>
      <w:kern w:val="2"/>
      <w:sz w:val="24"/>
      <w:szCs w:val="24"/>
    </w:rPr>
  </w:style>
  <w:style w:type="paragraph" w:customStyle="1" w:styleId="afff9">
    <w:name w:val="预测表格"/>
    <w:pPr>
      <w:widowControl w:val="0"/>
      <w:adjustRightInd w:val="0"/>
      <w:snapToGrid w:val="0"/>
      <w:jc w:val="both"/>
    </w:pPr>
    <w:rPr>
      <w:rFonts w:ascii="仿宋_GB2312" w:eastAsia="宋体" w:hAnsi="仿宋_GB2312" w:cs="Times New Roman" w:hint="eastAsia"/>
      <w:kern w:val="2"/>
      <w:sz w:val="21"/>
      <w:szCs w:val="28"/>
    </w:rPr>
  </w:style>
  <w:style w:type="character" w:customStyle="1" w:styleId="afb">
    <w:name w:val="标题 字符"/>
    <w:basedOn w:val="a2"/>
    <w:link w:val="afa"/>
    <w:uiPriority w:val="10"/>
    <w:qFormat/>
    <w:rPr>
      <w:rFonts w:asciiTheme="majorHAnsi" w:eastAsia="黑体" w:hAnsiTheme="majorHAnsi" w:cstheme="majorBidi"/>
      <w:b/>
      <w:bCs/>
      <w:sz w:val="32"/>
      <w:szCs w:val="32"/>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0"/>
    <w:uiPriority w:val="1"/>
    <w:pPr>
      <w:autoSpaceDE w:val="0"/>
      <w:autoSpaceDN w:val="0"/>
      <w:spacing w:before="76" w:line="240" w:lineRule="auto"/>
      <w:ind w:firstLineChars="0" w:firstLine="0"/>
      <w:jc w:val="center"/>
    </w:pPr>
    <w:rPr>
      <w:rFonts w:ascii="Arial Unicode MS" w:eastAsia="Arial Unicode MS" w:hAnsi="Arial Unicode MS" w:cs="Arial Unicode MS"/>
      <w:kern w:val="0"/>
      <w:sz w:val="22"/>
      <w:szCs w:val="22"/>
      <w:lang w:val="zh-CN" w:bidi="zh-CN"/>
    </w:rPr>
  </w:style>
  <w:style w:type="paragraph" w:customStyle="1" w:styleId="afffa">
    <w:name w:val="脚注"/>
    <w:basedOn w:val="a0"/>
    <w:pPr>
      <w:spacing w:line="360" w:lineRule="auto"/>
      <w:ind w:firstLine="420"/>
    </w:pPr>
    <w:rPr>
      <w:rFonts w:ascii="黑体" w:eastAsia="黑体" w:hAnsi="黑体" w:cstheme="minorBidi"/>
      <w:sz w:val="21"/>
      <w:szCs w:val="21"/>
    </w:rPr>
  </w:style>
  <w:style w:type="paragraph" w:customStyle="1" w:styleId="111">
    <w:name w:val="修订11"/>
    <w:hidden/>
    <w:uiPriority w:val="99"/>
    <w:semiHidden/>
    <w:rPr>
      <w:kern w:val="2"/>
      <w:sz w:val="21"/>
      <w:szCs w:val="24"/>
    </w:rPr>
  </w:style>
  <w:style w:type="character" w:customStyle="1" w:styleId="1b">
    <w:name w:val="纯文本 字符1"/>
    <w:basedOn w:val="a2"/>
    <w:rPr>
      <w:rFonts w:asciiTheme="minorEastAsia" w:eastAsiaTheme="minorEastAsia" w:hAnsi="Courier New" w:cs="Courier New"/>
      <w:kern w:val="2"/>
      <w:sz w:val="21"/>
      <w:szCs w:val="24"/>
    </w:rPr>
  </w:style>
  <w:style w:type="paragraph" w:customStyle="1" w:styleId="afffb">
    <w:name w:val="摘要"/>
    <w:basedOn w:val="a0"/>
    <w:link w:val="Char7"/>
    <w:qFormat/>
    <w:pPr>
      <w:spacing w:afterLines="50" w:after="120" w:line="360" w:lineRule="auto"/>
      <w:ind w:firstLineChars="0" w:firstLine="0"/>
      <w:jc w:val="center"/>
    </w:pPr>
    <w:rPr>
      <w:rFonts w:ascii="黑体" w:eastAsia="黑体" w:hAnsi="黑体"/>
      <w:bCs/>
      <w:sz w:val="24"/>
      <w:szCs w:val="24"/>
    </w:rPr>
  </w:style>
  <w:style w:type="character" w:customStyle="1" w:styleId="Char7">
    <w:name w:val="摘要 Char"/>
    <w:basedOn w:val="a2"/>
    <w:link w:val="afffb"/>
    <w:rPr>
      <w:rFonts w:ascii="黑体" w:eastAsia="黑体" w:hAnsi="黑体" w:cs="宋体"/>
      <w:bCs/>
      <w:sz w:val="24"/>
      <w:szCs w:val="24"/>
    </w:rPr>
  </w:style>
  <w:style w:type="paragraph" w:customStyle="1" w:styleId="afffc">
    <w:name w:val="空行"/>
    <w:link w:val="Char8"/>
    <w:qFormat/>
    <w:pPr>
      <w:snapToGrid w:val="0"/>
    </w:pPr>
    <w:rPr>
      <w:rFonts w:ascii="Times New Roman" w:eastAsia="楷体_GB2312" w:hAnsi="Times New Roman" w:cs="宋体"/>
      <w:color w:val="000000"/>
      <w:sz w:val="24"/>
      <w:szCs w:val="24"/>
      <w:lang w:val="zh-CN"/>
    </w:rPr>
  </w:style>
  <w:style w:type="paragraph" w:customStyle="1" w:styleId="afffd">
    <w:name w:val="专栏"/>
    <w:basedOn w:val="a0"/>
    <w:link w:val="Char9"/>
    <w:pPr>
      <w:snapToGrid w:val="0"/>
      <w:spacing w:beforeLines="100" w:before="240" w:after="120" w:line="360" w:lineRule="auto"/>
      <w:ind w:firstLineChars="0" w:firstLine="0"/>
      <w:jc w:val="center"/>
    </w:pPr>
    <w:rPr>
      <w:rFonts w:ascii="仿宋" w:eastAsia="仿宋" w:hAnsi="仿宋" w:cs="Times New Roman"/>
      <w:b/>
      <w:bCs/>
      <w:sz w:val="24"/>
      <w:szCs w:val="24"/>
    </w:rPr>
  </w:style>
  <w:style w:type="character" w:customStyle="1" w:styleId="TOC20">
    <w:name w:val="TOC 2 字符"/>
    <w:basedOn w:val="a2"/>
    <w:link w:val="TOC2"/>
    <w:rsid w:val="00433ED8"/>
    <w:rPr>
      <w:rFonts w:ascii="Times New Roman" w:eastAsia="宋体" w:hAnsi="Times New Roman" w:cs="Times New Roman"/>
      <w:smallCaps/>
      <w:sz w:val="24"/>
      <w:szCs w:val="24"/>
    </w:rPr>
  </w:style>
  <w:style w:type="character" w:customStyle="1" w:styleId="Char8">
    <w:name w:val="空行 Char"/>
    <w:basedOn w:val="TOC20"/>
    <w:link w:val="afffc"/>
    <w:rPr>
      <w:rFonts w:ascii="Times New Roman" w:eastAsia="楷体_GB2312" w:hAnsi="Times New Roman" w:cs="宋体"/>
      <w:smallCaps w:val="0"/>
      <w:color w:val="000000"/>
      <w:sz w:val="24"/>
      <w:szCs w:val="24"/>
      <w:lang w:val="zh-CN"/>
    </w:rPr>
  </w:style>
  <w:style w:type="paragraph" w:customStyle="1" w:styleId="afffe">
    <w:name w:val="图注"/>
    <w:basedOn w:val="a0"/>
    <w:link w:val="Chara"/>
    <w:qFormat/>
    <w:pPr>
      <w:snapToGrid w:val="0"/>
      <w:spacing w:beforeLines="50" w:before="120" w:line="360" w:lineRule="auto"/>
      <w:ind w:firstLine="420"/>
    </w:pPr>
    <w:rPr>
      <w:rFonts w:eastAsia="宋体" w:cs="楷体_GB2312"/>
      <w:sz w:val="21"/>
      <w:szCs w:val="21"/>
    </w:rPr>
  </w:style>
  <w:style w:type="character" w:customStyle="1" w:styleId="Char9">
    <w:name w:val="专栏 Char"/>
    <w:basedOn w:val="a2"/>
    <w:link w:val="afffd"/>
    <w:rPr>
      <w:rFonts w:ascii="仿宋" w:eastAsia="仿宋" w:hAnsi="仿宋" w:cs="Times New Roman"/>
      <w:b/>
      <w:bCs/>
      <w:kern w:val="2"/>
      <w:sz w:val="24"/>
      <w:szCs w:val="24"/>
    </w:rPr>
  </w:style>
  <w:style w:type="character" w:customStyle="1" w:styleId="Chara">
    <w:name w:val="图注 Char"/>
    <w:basedOn w:val="a2"/>
    <w:link w:val="afffe"/>
    <w:rPr>
      <w:rFonts w:ascii="Times New Roman" w:eastAsia="宋体" w:hAnsi="Times New Roman" w:cs="楷体_GB2312"/>
      <w:kern w:val="2"/>
      <w:sz w:val="21"/>
      <w:szCs w:val="21"/>
    </w:rPr>
  </w:style>
  <w:style w:type="character" w:customStyle="1" w:styleId="150">
    <w:name w:val="15"/>
    <w:rPr>
      <w:rFonts w:ascii="Times New Roman" w:hAnsi="Times New Roman" w:cs="Times New Roman" w:hint="default"/>
      <w:sz w:val="21"/>
      <w:szCs w:val="21"/>
    </w:rPr>
  </w:style>
  <w:style w:type="character" w:customStyle="1" w:styleId="definedword">
    <w:name w:val="definedword"/>
    <w:basedOn w:val="a2"/>
    <w:rPr>
      <w:rFonts w:ascii="Times New Roman" w:hAnsi="Times New Roman" w:cs="Times New Roman" w:hint="default"/>
    </w:rPr>
  </w:style>
  <w:style w:type="character" w:customStyle="1" w:styleId="Charb">
    <w:name w:val="我的正文 Char"/>
    <w:basedOn w:val="a2"/>
    <w:link w:val="affff"/>
    <w:locked/>
    <w:rPr>
      <w:rFonts w:ascii="宋体" w:eastAsia="宋体" w:hAnsi="宋体"/>
      <w:szCs w:val="24"/>
    </w:rPr>
  </w:style>
  <w:style w:type="paragraph" w:customStyle="1" w:styleId="affff">
    <w:name w:val="我的正文"/>
    <w:basedOn w:val="a0"/>
    <w:link w:val="Charb"/>
    <w:pPr>
      <w:adjustRightInd w:val="0"/>
      <w:spacing w:before="240" w:line="240" w:lineRule="auto"/>
      <w:ind w:firstLine="475"/>
    </w:pPr>
    <w:rPr>
      <w:rFonts w:ascii="宋体" w:eastAsia="宋体" w:hAnsi="宋体" w:cstheme="minorBidi"/>
      <w:kern w:val="0"/>
      <w:sz w:val="20"/>
      <w:szCs w:val="24"/>
    </w:rPr>
  </w:style>
  <w:style w:type="character" w:customStyle="1" w:styleId="2Char">
    <w:name w:val="标题2 Char"/>
    <w:basedOn w:val="a2"/>
    <w:link w:val="26"/>
    <w:locked/>
    <w:rPr>
      <w:sz w:val="28"/>
      <w:szCs w:val="24"/>
    </w:rPr>
  </w:style>
  <w:style w:type="paragraph" w:customStyle="1" w:styleId="26">
    <w:name w:val="标题2"/>
    <w:basedOn w:val="a0"/>
    <w:link w:val="2Char"/>
    <w:pPr>
      <w:adjustRightInd w:val="0"/>
      <w:spacing w:line="240" w:lineRule="auto"/>
      <w:ind w:firstLineChars="0" w:firstLine="0"/>
      <w:jc w:val="left"/>
      <w:outlineLvl w:val="2"/>
    </w:pPr>
    <w:rPr>
      <w:rFonts w:asciiTheme="minorHAnsi" w:eastAsiaTheme="minorEastAsia" w:hAnsiTheme="minorHAnsi" w:cstheme="minorBidi"/>
      <w:kern w:val="0"/>
      <w:sz w:val="28"/>
      <w:szCs w:val="24"/>
    </w:rPr>
  </w:style>
  <w:style w:type="character" w:customStyle="1" w:styleId="Charc">
    <w:name w:val="表格 Char"/>
    <w:basedOn w:val="a2"/>
    <w:link w:val="affff0"/>
    <w:locked/>
    <w:rPr>
      <w:rFonts w:ascii="宋体" w:eastAsia="宋体" w:hAnsi="宋体" w:cs="宋体"/>
      <w:szCs w:val="24"/>
    </w:rPr>
  </w:style>
  <w:style w:type="paragraph" w:customStyle="1" w:styleId="affff0">
    <w:name w:val="表格"/>
    <w:basedOn w:val="a0"/>
    <w:link w:val="Charc"/>
    <w:pPr>
      <w:spacing w:line="400" w:lineRule="exact"/>
      <w:ind w:firstLineChars="0" w:firstLine="0"/>
      <w:jc w:val="center"/>
    </w:pPr>
    <w:rPr>
      <w:rFonts w:ascii="宋体" w:eastAsia="宋体" w:hAnsi="宋体"/>
      <w:kern w:val="0"/>
      <w:sz w:val="20"/>
      <w:szCs w:val="24"/>
    </w:rPr>
  </w:style>
  <w:style w:type="paragraph" w:customStyle="1" w:styleId="Normal-TableGrid-BR2">
    <w:name w:val="Normal-TableGrid-BR2"/>
    <w:rPr>
      <w:rFonts w:eastAsiaTheme="minorHAnsi"/>
      <w:sz w:val="22"/>
      <w:szCs w:val="22"/>
    </w:rPr>
  </w:style>
  <w:style w:type="character" w:customStyle="1" w:styleId="font11">
    <w:name w:val="font11"/>
    <w:basedOn w:val="a2"/>
    <w:rPr>
      <w:rFonts w:ascii="方正仿宋_GBK" w:eastAsia="方正仿宋_GBK" w:hAnsi="方正仿宋_GBK" w:cs="方正仿宋_GBK"/>
      <w:color w:val="000000"/>
      <w:sz w:val="22"/>
      <w:szCs w:val="22"/>
      <w:u w:val="none"/>
    </w:rPr>
  </w:style>
  <w:style w:type="character" w:customStyle="1" w:styleId="font21">
    <w:name w:val="font21"/>
    <w:basedOn w:val="a2"/>
    <w:rPr>
      <w:rFonts w:ascii="Times New Roman" w:hAnsi="Times New Roman" w:cs="Times New Roman" w:hint="default"/>
      <w:color w:val="000000"/>
      <w:sz w:val="20"/>
      <w:szCs w:val="20"/>
      <w:u w:val="none"/>
    </w:rPr>
  </w:style>
  <w:style w:type="character" w:customStyle="1" w:styleId="font31">
    <w:name w:val="font31"/>
    <w:basedOn w:val="a2"/>
    <w:rPr>
      <w:rFonts w:ascii="宋体" w:eastAsia="宋体" w:hAnsi="宋体" w:cs="宋体" w:hint="eastAsia"/>
      <w:color w:val="000000"/>
      <w:sz w:val="20"/>
      <w:szCs w:val="20"/>
      <w:u w:val="none"/>
    </w:rPr>
  </w:style>
  <w:style w:type="character" w:customStyle="1" w:styleId="font61">
    <w:name w:val="font61"/>
    <w:basedOn w:val="a2"/>
    <w:rPr>
      <w:rFonts w:ascii="方正仿宋_GBK" w:eastAsia="方正仿宋_GBK" w:hAnsi="方正仿宋_GBK" w:cs="方正仿宋_GBK"/>
      <w:b/>
      <w:color w:val="000000"/>
      <w:sz w:val="22"/>
      <w:szCs w:val="22"/>
      <w:u w:val="none"/>
    </w:rPr>
  </w:style>
  <w:style w:type="character" w:customStyle="1" w:styleId="font51">
    <w:name w:val="font51"/>
    <w:basedOn w:val="a2"/>
    <w:rPr>
      <w:rFonts w:ascii="方正仿宋_GBK" w:eastAsia="方正仿宋_GBK" w:hAnsi="方正仿宋_GBK" w:cs="方正仿宋_GBK" w:hint="eastAsia"/>
      <w:color w:val="000000"/>
      <w:sz w:val="20"/>
      <w:szCs w:val="20"/>
      <w:u w:val="none"/>
    </w:rPr>
  </w:style>
  <w:style w:type="paragraph" w:customStyle="1" w:styleId="Bodytext1">
    <w:name w:val="Body text|1"/>
    <w:basedOn w:val="a0"/>
    <w:pPr>
      <w:spacing w:line="350" w:lineRule="auto"/>
      <w:ind w:firstLineChars="0" w:firstLine="400"/>
    </w:pPr>
    <w:rPr>
      <w:rFonts w:ascii="宋体" w:eastAsia="宋体" w:hAnsi="宋体"/>
      <w:sz w:val="20"/>
      <w:szCs w:val="20"/>
      <w:lang w:val="zh-TW" w:eastAsia="zh-TW" w:bidi="zh-TW"/>
    </w:rPr>
  </w:style>
  <w:style w:type="character" w:customStyle="1" w:styleId="Char10">
    <w:name w:val="纯文本 Char1"/>
    <w:basedOn w:val="a2"/>
    <w:uiPriority w:val="99"/>
    <w:semiHidden/>
    <w:rPr>
      <w:rFonts w:ascii="宋体" w:eastAsia="宋体" w:hAnsi="Courier New" w:cs="Courier New"/>
      <w:kern w:val="2"/>
      <w:sz w:val="21"/>
      <w:szCs w:val="21"/>
    </w:rPr>
  </w:style>
  <w:style w:type="table" w:customStyle="1" w:styleId="27">
    <w:name w:val="网格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uiPriority w:val="99"/>
    <w:semiHidden/>
    <w:rPr>
      <w:rFonts w:ascii="Times New Roman" w:eastAsia="宋体" w:hAnsi="Times New Roman" w:cs="Times New Roman"/>
      <w:kern w:val="2"/>
      <w:sz w:val="21"/>
      <w:szCs w:val="22"/>
    </w:rPr>
  </w:style>
  <w:style w:type="table" w:customStyle="1" w:styleId="120">
    <w:name w:val="网格型12"/>
    <w:basedOn w:val="a3"/>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3"/>
    <w:qFormat/>
    <w:pPr>
      <w:widowControl w:val="0"/>
      <w:jc w:val="both"/>
    </w:pPr>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
    <w:trPr>
      <w:jc w:val="center"/>
    </w:trPr>
  </w:style>
  <w:style w:type="paragraph" w:customStyle="1" w:styleId="affff1">
    <w:name w:val="封皮一行"/>
    <w:basedOn w:val="a0"/>
    <w:link w:val="affff2"/>
    <w:pPr>
      <w:adjustRightInd w:val="0"/>
      <w:ind w:firstLineChars="0" w:firstLine="0"/>
      <w:textAlignment w:val="baseline"/>
    </w:pPr>
    <w:rPr>
      <w:rFonts w:ascii="黑体" w:eastAsia="黑体" w:hAnsi="黑体" w:cs="Times New Roman"/>
      <w:snapToGrid w:val="0"/>
      <w:kern w:val="0"/>
      <w:sz w:val="28"/>
    </w:rPr>
  </w:style>
  <w:style w:type="paragraph" w:customStyle="1" w:styleId="29">
    <w:name w:val="封皮2行"/>
    <w:basedOn w:val="a0"/>
    <w:link w:val="2a"/>
    <w:pPr>
      <w:snapToGrid w:val="0"/>
      <w:spacing w:beforeLines="50" w:before="50" w:afterLines="50" w:after="50" w:line="480" w:lineRule="exact"/>
      <w:ind w:firstLineChars="0" w:firstLine="0"/>
      <w:jc w:val="center"/>
    </w:pPr>
    <w:rPr>
      <w:rFonts w:eastAsia="黑体" w:cs="Times New Roman"/>
      <w:sz w:val="44"/>
      <w:szCs w:val="44"/>
    </w:rPr>
  </w:style>
  <w:style w:type="character" w:customStyle="1" w:styleId="affff2">
    <w:name w:val="封皮一行 字符"/>
    <w:basedOn w:val="a2"/>
    <w:link w:val="affff1"/>
    <w:qFormat/>
    <w:rPr>
      <w:rFonts w:ascii="黑体" w:eastAsia="黑体" w:hAnsi="黑体" w:cs="Times New Roman"/>
      <w:snapToGrid w:val="0"/>
      <w:sz w:val="28"/>
      <w:szCs w:val="28"/>
    </w:rPr>
  </w:style>
  <w:style w:type="paragraph" w:customStyle="1" w:styleId="affff3">
    <w:name w:val="封皮三四行"/>
    <w:basedOn w:val="a0"/>
    <w:link w:val="affff4"/>
    <w:pPr>
      <w:spacing w:line="480" w:lineRule="exact"/>
      <w:ind w:firstLineChars="0" w:firstLine="0"/>
      <w:jc w:val="center"/>
    </w:pPr>
    <w:rPr>
      <w:rFonts w:ascii="楷体" w:eastAsia="楷体" w:hAnsi="楷体" w:cs="Times New Roman"/>
      <w:snapToGrid w:val="0"/>
      <w:kern w:val="0"/>
      <w:szCs w:val="30"/>
    </w:rPr>
  </w:style>
  <w:style w:type="character" w:customStyle="1" w:styleId="2a">
    <w:name w:val="封皮2行 字符"/>
    <w:basedOn w:val="a2"/>
    <w:link w:val="29"/>
    <w:qFormat/>
    <w:rPr>
      <w:rFonts w:ascii="Times New Roman" w:eastAsia="黑体" w:hAnsi="Times New Roman" w:cs="Times New Roman"/>
      <w:kern w:val="2"/>
      <w:sz w:val="44"/>
      <w:szCs w:val="44"/>
    </w:rPr>
  </w:style>
  <w:style w:type="paragraph" w:customStyle="1" w:styleId="affff5">
    <w:name w:val="摘要首行"/>
    <w:basedOn w:val="a0"/>
    <w:link w:val="affff6"/>
    <w:pPr>
      <w:snapToGrid w:val="0"/>
      <w:spacing w:beforeLines="50" w:before="50" w:afterLines="50" w:after="50" w:line="240" w:lineRule="auto"/>
      <w:ind w:firstLineChars="0" w:firstLine="0"/>
      <w:jc w:val="center"/>
    </w:pPr>
    <w:rPr>
      <w:rFonts w:eastAsia="黑体" w:cs="Times New Roman"/>
      <w:sz w:val="36"/>
      <w:szCs w:val="36"/>
    </w:rPr>
  </w:style>
  <w:style w:type="character" w:customStyle="1" w:styleId="affff4">
    <w:name w:val="封皮三四行 字符"/>
    <w:basedOn w:val="a2"/>
    <w:link w:val="affff3"/>
    <w:qFormat/>
    <w:rPr>
      <w:rFonts w:ascii="楷体" w:eastAsia="楷体" w:hAnsi="楷体" w:cs="Times New Roman"/>
      <w:snapToGrid w:val="0"/>
      <w:sz w:val="30"/>
      <w:szCs w:val="30"/>
    </w:rPr>
  </w:style>
  <w:style w:type="paragraph" w:customStyle="1" w:styleId="affff7">
    <w:name w:val="摘要二行"/>
    <w:basedOn w:val="a0"/>
    <w:link w:val="affff8"/>
    <w:pPr>
      <w:adjustRightInd w:val="0"/>
      <w:spacing w:line="480" w:lineRule="exact"/>
      <w:ind w:firstLine="200"/>
      <w:jc w:val="center"/>
    </w:pPr>
    <w:rPr>
      <w:rFonts w:eastAsia="黑体" w:cs="Times New Roman"/>
      <w:b/>
      <w:bCs/>
      <w:kern w:val="0"/>
      <w:sz w:val="24"/>
      <w:szCs w:val="24"/>
    </w:rPr>
  </w:style>
  <w:style w:type="character" w:customStyle="1" w:styleId="affff6">
    <w:name w:val="摘要首行 字符"/>
    <w:basedOn w:val="a2"/>
    <w:link w:val="affff5"/>
    <w:qFormat/>
    <w:rPr>
      <w:rFonts w:ascii="Times New Roman" w:eastAsia="黑体" w:hAnsi="Times New Roman" w:cs="Times New Roman"/>
      <w:kern w:val="2"/>
      <w:sz w:val="36"/>
      <w:szCs w:val="36"/>
    </w:rPr>
  </w:style>
  <w:style w:type="paragraph" w:customStyle="1" w:styleId="affff9">
    <w:name w:val="摘要正文"/>
    <w:basedOn w:val="a0"/>
    <w:link w:val="affffa"/>
    <w:pPr>
      <w:adjustRightInd w:val="0"/>
      <w:spacing w:line="480" w:lineRule="exact"/>
      <w:ind w:firstLine="480"/>
    </w:pPr>
    <w:rPr>
      <w:rFonts w:eastAsia="楷体_GB2312" w:cs="Times New Roman"/>
      <w:kern w:val="0"/>
      <w:sz w:val="24"/>
      <w:szCs w:val="24"/>
    </w:rPr>
  </w:style>
  <w:style w:type="character" w:customStyle="1" w:styleId="affff8">
    <w:name w:val="摘要二行 字符"/>
    <w:basedOn w:val="a2"/>
    <w:link w:val="affff7"/>
    <w:qFormat/>
    <w:rPr>
      <w:rFonts w:ascii="Times New Roman" w:eastAsia="黑体" w:hAnsi="Times New Roman" w:cs="Times New Roman"/>
      <w:b/>
      <w:bCs/>
      <w:sz w:val="24"/>
      <w:szCs w:val="24"/>
    </w:rPr>
  </w:style>
  <w:style w:type="paragraph" w:customStyle="1" w:styleId="affffb">
    <w:name w:val="表头"/>
    <w:basedOn w:val="a0"/>
    <w:link w:val="affffc"/>
    <w:pPr>
      <w:spacing w:line="300" w:lineRule="auto"/>
      <w:ind w:firstLineChars="0" w:firstLine="0"/>
      <w:jc w:val="center"/>
    </w:pPr>
    <w:rPr>
      <w:rFonts w:eastAsia="宋体" w:cs="Times New Roman"/>
      <w:b/>
      <w:sz w:val="21"/>
      <w:szCs w:val="24"/>
      <w:lang w:val="zh-CN"/>
    </w:rPr>
  </w:style>
  <w:style w:type="character" w:customStyle="1" w:styleId="affffa">
    <w:name w:val="摘要正文 字符"/>
    <w:basedOn w:val="a2"/>
    <w:link w:val="affff9"/>
    <w:qFormat/>
    <w:rPr>
      <w:rFonts w:ascii="Times New Roman" w:eastAsia="楷体_GB2312" w:hAnsi="Times New Roman" w:cs="Times New Roman"/>
      <w:sz w:val="24"/>
      <w:szCs w:val="24"/>
    </w:rPr>
  </w:style>
  <w:style w:type="paragraph" w:customStyle="1" w:styleId="affffd">
    <w:name w:val="表内"/>
    <w:basedOn w:val="a0"/>
    <w:link w:val="affffe"/>
    <w:pPr>
      <w:adjustRightInd w:val="0"/>
      <w:snapToGrid w:val="0"/>
      <w:spacing w:line="300" w:lineRule="auto"/>
      <w:ind w:firstLineChars="0" w:firstLine="0"/>
      <w:jc w:val="center"/>
    </w:pPr>
    <w:rPr>
      <w:rFonts w:ascii="宋体" w:eastAsia="宋体" w:hAnsi="宋体"/>
      <w:sz w:val="21"/>
      <w:szCs w:val="24"/>
    </w:rPr>
  </w:style>
  <w:style w:type="character" w:customStyle="1" w:styleId="affffc">
    <w:name w:val="表头 字符"/>
    <w:basedOn w:val="a2"/>
    <w:link w:val="affffb"/>
    <w:qFormat/>
    <w:rPr>
      <w:rFonts w:ascii="Times New Roman" w:eastAsia="宋体" w:hAnsi="Times New Roman" w:cs="Times New Roman"/>
      <w:b/>
      <w:kern w:val="2"/>
      <w:sz w:val="21"/>
      <w:szCs w:val="24"/>
      <w:lang w:val="zh-CN"/>
    </w:rPr>
  </w:style>
  <w:style w:type="paragraph" w:customStyle="1" w:styleId="afffff">
    <w:name w:val="数据来源"/>
    <w:basedOn w:val="a0"/>
    <w:link w:val="afffff0"/>
    <w:pPr>
      <w:adjustRightInd w:val="0"/>
      <w:snapToGrid w:val="0"/>
      <w:spacing w:line="300" w:lineRule="auto"/>
      <w:ind w:firstLineChars="0" w:firstLine="0"/>
    </w:pPr>
    <w:rPr>
      <w:rFonts w:eastAsia="楷体" w:cs="Times New Roman"/>
      <w:sz w:val="21"/>
      <w:szCs w:val="24"/>
    </w:rPr>
  </w:style>
  <w:style w:type="character" w:customStyle="1" w:styleId="affffe">
    <w:name w:val="表内 字符"/>
    <w:basedOn w:val="a2"/>
    <w:link w:val="affffd"/>
    <w:qFormat/>
    <w:rPr>
      <w:rFonts w:ascii="宋体" w:eastAsia="宋体" w:hAnsi="宋体" w:cs="宋体"/>
      <w:kern w:val="2"/>
      <w:sz w:val="21"/>
      <w:szCs w:val="24"/>
    </w:rPr>
  </w:style>
  <w:style w:type="paragraph" w:customStyle="1" w:styleId="afffff1">
    <w:name w:val="图片"/>
    <w:basedOn w:val="a0"/>
    <w:link w:val="afffff2"/>
    <w:pPr>
      <w:widowControl/>
      <w:shd w:val="clear" w:color="auto" w:fill="FFFFFF"/>
      <w:adjustRightInd w:val="0"/>
      <w:snapToGrid w:val="0"/>
      <w:spacing w:line="300" w:lineRule="auto"/>
      <w:ind w:firstLineChars="0" w:firstLine="0"/>
      <w:jc w:val="center"/>
    </w:pPr>
    <w:rPr>
      <w:rFonts w:eastAsia="方正楷体_GBK" w:cs="Times New Roman"/>
      <w:sz w:val="24"/>
      <w:szCs w:val="24"/>
    </w:rPr>
  </w:style>
  <w:style w:type="character" w:customStyle="1" w:styleId="afffff0">
    <w:name w:val="数据来源 字符"/>
    <w:basedOn w:val="a2"/>
    <w:link w:val="afffff"/>
    <w:qFormat/>
    <w:rPr>
      <w:rFonts w:ascii="Times New Roman" w:eastAsia="楷体" w:hAnsi="Times New Roman" w:cs="Times New Roman"/>
      <w:kern w:val="2"/>
      <w:sz w:val="21"/>
      <w:szCs w:val="24"/>
    </w:rPr>
  </w:style>
  <w:style w:type="character" w:customStyle="1" w:styleId="afffff2">
    <w:name w:val="图片 字符"/>
    <w:basedOn w:val="a2"/>
    <w:link w:val="afffff1"/>
    <w:qFormat/>
    <w:rPr>
      <w:rFonts w:ascii="Times New Roman" w:eastAsia="方正楷体_GBK" w:hAnsi="Times New Roman" w:cs="Times New Roman"/>
      <w:kern w:val="2"/>
      <w:sz w:val="24"/>
      <w:szCs w:val="24"/>
      <w:shd w:val="clear" w:color="auto" w:fill="FFFFFF"/>
    </w:rPr>
  </w:style>
  <w:style w:type="paragraph" w:customStyle="1" w:styleId="afffff3">
    <w:name w:val="参考文献头"/>
    <w:basedOn w:val="a0"/>
    <w:link w:val="afffff4"/>
    <w:pPr>
      <w:spacing w:beforeLines="100" w:before="100" w:afterLines="100" w:after="100" w:line="240" w:lineRule="auto"/>
      <w:ind w:firstLineChars="0" w:firstLine="0"/>
      <w:jc w:val="center"/>
    </w:pPr>
    <w:rPr>
      <w:rFonts w:ascii="黑体" w:eastAsia="黑体" w:hAnsi="黑体" w:cs="Times New Roman"/>
      <w:kern w:val="0"/>
      <w:sz w:val="24"/>
      <w:szCs w:val="24"/>
    </w:rPr>
  </w:style>
  <w:style w:type="paragraph" w:customStyle="1" w:styleId="afffff5">
    <w:name w:val="专栏正文"/>
    <w:basedOn w:val="a9"/>
    <w:link w:val="afffff6"/>
    <w:qFormat/>
    <w:pPr>
      <w:adjustRightInd w:val="0"/>
      <w:snapToGrid w:val="0"/>
      <w:spacing w:after="0" w:line="300" w:lineRule="auto"/>
      <w:ind w:firstLine="200"/>
    </w:pPr>
    <w:rPr>
      <w:rFonts w:ascii="方正楷体_GBK" w:eastAsia="方正楷体_GBK" w:hAnsi="方正楷体_GBK" w:cs="方正楷体_GBK"/>
    </w:rPr>
  </w:style>
  <w:style w:type="character" w:customStyle="1" w:styleId="afffff4">
    <w:name w:val="参考文献头 字符"/>
    <w:basedOn w:val="a2"/>
    <w:link w:val="afffff3"/>
    <w:qFormat/>
    <w:rPr>
      <w:rFonts w:ascii="黑体" w:eastAsia="黑体" w:hAnsi="黑体" w:cs="Times New Roman"/>
      <w:sz w:val="24"/>
      <w:szCs w:val="24"/>
    </w:rPr>
  </w:style>
  <w:style w:type="paragraph" w:customStyle="1" w:styleId="afffff7">
    <w:name w:val="专栏标题"/>
    <w:basedOn w:val="afffff5"/>
    <w:link w:val="afffff8"/>
    <w:qFormat/>
    <w:pPr>
      <w:spacing w:beforeLines="50" w:before="50"/>
      <w:ind w:firstLineChars="0" w:firstLine="0"/>
      <w:jc w:val="center"/>
    </w:pPr>
  </w:style>
  <w:style w:type="character" w:customStyle="1" w:styleId="afffff6">
    <w:name w:val="专栏正文 字符"/>
    <w:basedOn w:val="aa"/>
    <w:link w:val="afffff5"/>
    <w:qFormat/>
    <w:rPr>
      <w:rFonts w:ascii="方正楷体_GBK" w:eastAsia="方正楷体_GBK" w:hAnsi="方正楷体_GBK" w:cs="方正楷体_GBK"/>
      <w:kern w:val="2"/>
      <w:sz w:val="24"/>
      <w:szCs w:val="24"/>
    </w:rPr>
  </w:style>
  <w:style w:type="character" w:customStyle="1" w:styleId="afffff8">
    <w:name w:val="专栏标题 字符"/>
    <w:basedOn w:val="afffff6"/>
    <w:link w:val="afffff7"/>
    <w:qFormat/>
    <w:rPr>
      <w:rFonts w:ascii="方正楷体_GBK" w:eastAsia="方正楷体_GBK" w:hAnsi="方正楷体_GBK" w:cs="方正楷体_GBK"/>
      <w:kern w:val="2"/>
      <w:sz w:val="24"/>
      <w:szCs w:val="24"/>
    </w:rPr>
  </w:style>
  <w:style w:type="paragraph" w:customStyle="1" w:styleId="afffff9">
    <w:name w:val="参考文献正文"/>
    <w:basedOn w:val="a0"/>
    <w:link w:val="afffffa"/>
    <w:pPr>
      <w:adjustRightInd w:val="0"/>
      <w:snapToGrid w:val="0"/>
      <w:spacing w:line="240" w:lineRule="auto"/>
      <w:ind w:left="340" w:hanging="340"/>
    </w:pPr>
    <w:rPr>
      <w:rFonts w:eastAsia="宋体" w:cs="Times New Roman"/>
      <w:sz w:val="24"/>
      <w:szCs w:val="30"/>
    </w:rPr>
  </w:style>
  <w:style w:type="character" w:customStyle="1" w:styleId="afffffa">
    <w:name w:val="参考文献正文 字符"/>
    <w:basedOn w:val="a2"/>
    <w:link w:val="afffff9"/>
    <w:qFormat/>
    <w:rPr>
      <w:rFonts w:ascii="Times New Roman" w:eastAsia="宋体" w:hAnsi="Times New Roman" w:cs="Times New Roman"/>
      <w:kern w:val="2"/>
      <w:sz w:val="24"/>
      <w:szCs w:val="30"/>
    </w:rPr>
  </w:style>
  <w:style w:type="paragraph" w:customStyle="1" w:styleId="TOC30">
    <w:name w:val="TOC 标题3"/>
    <w:basedOn w:val="1"/>
    <w:next w:val="a0"/>
    <w:uiPriority w:val="39"/>
    <w:unhideWhenUsed/>
    <w:qFormat/>
    <w:pPr>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1c">
    <w:name w:val="正文1"/>
    <w:basedOn w:val="a0"/>
    <w:link w:val="1d"/>
    <w:qFormat/>
    <w:pPr>
      <w:spacing w:line="640" w:lineRule="exact"/>
    </w:pPr>
    <w:rPr>
      <w:sz w:val="36"/>
    </w:rPr>
  </w:style>
  <w:style w:type="character" w:customStyle="1" w:styleId="afffffb">
    <w:name w:val="文中强调 字符"/>
    <w:basedOn w:val="1d"/>
    <w:link w:val="afffffc"/>
    <w:qFormat/>
    <w:rPr>
      <w:rFonts w:ascii="方正黑体_GBK" w:eastAsia="方正黑体_GBK" w:hAnsi="黑体"/>
      <w:color w:val="000000" w:themeColor="text1"/>
      <w:sz w:val="36"/>
    </w:rPr>
  </w:style>
  <w:style w:type="character" w:customStyle="1" w:styleId="1d">
    <w:name w:val="正文1 字符"/>
    <w:basedOn w:val="a2"/>
    <w:link w:val="1c"/>
    <w:qFormat/>
    <w:rPr>
      <w:rFonts w:eastAsia="方正仿宋_GBK"/>
      <w:sz w:val="36"/>
    </w:rPr>
  </w:style>
  <w:style w:type="paragraph" w:customStyle="1" w:styleId="afffffc">
    <w:name w:val="文中强调"/>
    <w:basedOn w:val="1c"/>
    <w:link w:val="afffffb"/>
    <w:rPr>
      <w:rFonts w:ascii="方正黑体_GBK" w:eastAsia="方正黑体_GBK" w:hAnsi="黑体"/>
      <w:color w:val="000000" w:themeColor="text1"/>
    </w:rPr>
  </w:style>
  <w:style w:type="paragraph" w:customStyle="1" w:styleId="afffffd">
    <w:name w:val="表标题"/>
    <w:basedOn w:val="a0"/>
    <w:pPr>
      <w:widowControl/>
      <w:spacing w:beforeLines="50" w:before="50"/>
      <w:jc w:val="center"/>
      <w:outlineLvl w:val="3"/>
    </w:pPr>
    <w:rPr>
      <w:rFonts w:ascii="黑体" w:eastAsia="黑体"/>
      <w:bCs/>
      <w:kern w:val="0"/>
      <w:sz w:val="28"/>
    </w:rPr>
  </w:style>
  <w:style w:type="paragraph" w:customStyle="1" w:styleId="43">
    <w:name w:val="4.图标题"/>
    <w:basedOn w:val="a0"/>
    <w:pPr>
      <w:adjustRightInd w:val="0"/>
      <w:spacing w:line="300" w:lineRule="auto"/>
      <w:jc w:val="center"/>
    </w:pPr>
    <w:rPr>
      <w:rFonts w:eastAsia="宋体" w:hAnsi="宋体" w:cs="Times New Roman"/>
      <w:b/>
      <w:kern w:val="0"/>
      <w:szCs w:val="21"/>
      <w:lang w:val="zh-CN"/>
    </w:rPr>
  </w:style>
  <w:style w:type="table" w:customStyle="1" w:styleId="61">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ffe">
    <w:name w:val="图表标题"/>
    <w:basedOn w:val="afff"/>
    <w:pPr>
      <w:spacing w:afterLines="50" w:after="50"/>
      <w:ind w:firstLineChars="0" w:firstLine="0"/>
      <w:jc w:val="center"/>
    </w:pPr>
    <w:rPr>
      <w:rFonts w:eastAsia="黑体"/>
      <w:sz w:val="28"/>
    </w:rPr>
  </w:style>
  <w:style w:type="paragraph" w:customStyle="1" w:styleId="affffff">
    <w:name w:val="图下标"/>
    <w:basedOn w:val="a0"/>
    <w:pPr>
      <w:ind w:firstLine="560"/>
      <w:jc w:val="center"/>
    </w:pPr>
    <w:rPr>
      <w:b/>
      <w:bCs/>
      <w:sz w:val="21"/>
    </w:rPr>
  </w:style>
  <w:style w:type="paragraph" w:customStyle="1" w:styleId="affffff0">
    <w:name w:val="图例"/>
    <w:basedOn w:val="a0"/>
    <w:pPr>
      <w:ind w:firstLineChars="0" w:firstLine="0"/>
      <w:jc w:val="center"/>
    </w:pPr>
    <w:rPr>
      <w:rFonts w:eastAsia="黑体"/>
      <w:sz w:val="28"/>
      <w:szCs w:val="32"/>
    </w:rPr>
  </w:style>
  <w:style w:type="paragraph" w:customStyle="1" w:styleId="affffff1">
    <w:name w:val="表内容"/>
    <w:basedOn w:val="a0"/>
    <w:pPr>
      <w:ind w:firstLineChars="0" w:firstLine="0"/>
      <w:jc w:val="center"/>
    </w:pPr>
    <w:rPr>
      <w:sz w:val="21"/>
    </w:rPr>
  </w:style>
  <w:style w:type="table" w:customStyle="1" w:styleId="210">
    <w:name w:val="无格式表格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ff2">
    <w:name w:val="附内"/>
    <w:basedOn w:val="affffff3"/>
    <w:pPr>
      <w:spacing w:line="400" w:lineRule="exact"/>
      <w:jc w:val="left"/>
    </w:pPr>
    <w:rPr>
      <w:b w:val="0"/>
      <w:bCs w:val="0"/>
      <w:sz w:val="24"/>
      <w:szCs w:val="24"/>
    </w:rPr>
  </w:style>
  <w:style w:type="paragraph" w:customStyle="1" w:styleId="affffff3">
    <w:name w:val="附件"/>
    <w:basedOn w:val="a0"/>
    <w:rPr>
      <w:rFonts w:ascii="Calibri" w:hAnsi="Calibri"/>
      <w:b/>
      <w:bCs/>
      <w:sz w:val="28"/>
    </w:rPr>
  </w:style>
  <w:style w:type="table" w:customStyle="1" w:styleId="1-31">
    <w:name w:val="网格表 1 浅色 - 着色 31"/>
    <w:basedOn w:val="a3"/>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51">
    <w:name w:val="网格型5"/>
    <w:basedOn w:val="a3"/>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未处理的提及2"/>
    <w:basedOn w:val="a2"/>
    <w:uiPriority w:val="99"/>
    <w:semiHidden/>
    <w:unhideWhenUsed/>
    <w:rPr>
      <w:color w:val="605E5C"/>
      <w:shd w:val="clear" w:color="auto" w:fill="E1DFDD"/>
    </w:rPr>
  </w:style>
  <w:style w:type="paragraph" w:customStyle="1" w:styleId="affffff4">
    <w:name w:val="脚注格式"/>
    <w:basedOn w:val="a0"/>
    <w:link w:val="Chard"/>
    <w:qFormat/>
    <w:pPr>
      <w:snapToGrid w:val="0"/>
      <w:spacing w:line="276" w:lineRule="auto"/>
      <w:ind w:left="357" w:hangingChars="170" w:hanging="357"/>
      <w:jc w:val="left"/>
    </w:pPr>
    <w:rPr>
      <w:rFonts w:eastAsia="宋体" w:cs="Times New Roman"/>
      <w:sz w:val="21"/>
      <w:szCs w:val="21"/>
    </w:rPr>
  </w:style>
  <w:style w:type="character" w:customStyle="1" w:styleId="Chard">
    <w:name w:val="脚注格式 Char"/>
    <w:basedOn w:val="a2"/>
    <w:link w:val="affffff4"/>
    <w:rPr>
      <w:rFonts w:ascii="Times New Roman" w:eastAsia="宋体" w:hAnsi="Times New Roman" w:cs="Times New Roman"/>
      <w:kern w:val="2"/>
      <w:sz w:val="21"/>
      <w:szCs w:val="21"/>
    </w:rPr>
  </w:style>
  <w:style w:type="table" w:customStyle="1" w:styleId="62">
    <w:name w:val="网格型6"/>
    <w:basedOn w:val="a3"/>
    <w:next w:val="afe"/>
    <w:uiPriority w:val="39"/>
    <w:qFormat/>
    <w:rsid w:val="003B64C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表 1 浅色 - 着色 311"/>
    <w:basedOn w:val="a3"/>
    <w:uiPriority w:val="46"/>
    <w:qFormat/>
    <w:rsid w:val="003B64CD"/>
    <w:rPr>
      <w:rFonts w:ascii="Times New Roman" w:eastAsia="宋体" w:hAnsi="Times New Roman" w:cs="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1e">
    <w:name w:val="无列表1"/>
    <w:next w:val="a4"/>
    <w:uiPriority w:val="99"/>
    <w:semiHidden/>
    <w:unhideWhenUsed/>
    <w:rsid w:val="00F8274D"/>
  </w:style>
  <w:style w:type="table" w:customStyle="1" w:styleId="7">
    <w:name w:val="网格型7"/>
    <w:basedOn w:val="a3"/>
    <w:next w:val="afe"/>
    <w:uiPriority w:val="59"/>
    <w:qFormat/>
    <w:rsid w:val="00F8274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表 3 - 着色 511"/>
    <w:basedOn w:val="a3"/>
    <w:uiPriority w:val="48"/>
    <w:qFormat/>
    <w:rsid w:val="00F8274D"/>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1">
    <w:name w:val="无格式表格 311"/>
    <w:basedOn w:val="a3"/>
    <w:uiPriority w:val="43"/>
    <w:qFormat/>
    <w:rsid w:val="00F8274D"/>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1">
    <w:name w:val="网格表 3 - 着色 611"/>
    <w:basedOn w:val="a3"/>
    <w:uiPriority w:val="48"/>
    <w:qFormat/>
    <w:rsid w:val="00F8274D"/>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1">
    <w:name w:val="网格表 3 - 着色 211"/>
    <w:basedOn w:val="a3"/>
    <w:uiPriority w:val="48"/>
    <w:qFormat/>
    <w:rsid w:val="00F8274D"/>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1">
    <w:name w:val="无格式表格 321"/>
    <w:basedOn w:val="a3"/>
    <w:uiPriority w:val="43"/>
    <w:qFormat/>
    <w:rsid w:val="00F8274D"/>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1">
    <w:name w:val="网格表 3 - 着色 521"/>
    <w:basedOn w:val="a3"/>
    <w:uiPriority w:val="48"/>
    <w:qFormat/>
    <w:rsid w:val="00F8274D"/>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130">
    <w:name w:val="网格型13"/>
    <w:basedOn w:val="a3"/>
    <w:uiPriority w:val="59"/>
    <w:rsid w:val="00F8274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uiPriority w:val="59"/>
    <w:rsid w:val="00F8274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74D"/>
    <w:pPr>
      <w:widowControl w:val="0"/>
      <w:autoSpaceDE w:val="0"/>
      <w:autoSpaceDN w:val="0"/>
    </w:pPr>
    <w:rPr>
      <w:sz w:val="22"/>
      <w:lang w:eastAsia="en-US"/>
    </w:rPr>
    <w:tblPr>
      <w:tblCellMar>
        <w:top w:w="0" w:type="dxa"/>
        <w:left w:w="0" w:type="dxa"/>
        <w:bottom w:w="0" w:type="dxa"/>
        <w:right w:w="0" w:type="dxa"/>
      </w:tblCellMar>
    </w:tblPr>
  </w:style>
  <w:style w:type="table" w:customStyle="1" w:styleId="211">
    <w:name w:val="网格型21"/>
    <w:basedOn w:val="a3"/>
    <w:uiPriority w:val="59"/>
    <w:rsid w:val="00F8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uiPriority w:val="59"/>
    <w:rsid w:val="00F8274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3"/>
    <w:uiPriority w:val="59"/>
    <w:rsid w:val="00F8274D"/>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F8274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无格式表格 11"/>
    <w:basedOn w:val="a3"/>
    <w:uiPriority w:val="41"/>
    <w:rsid w:val="00F827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ff5">
    <w:name w:val="公式"/>
    <w:basedOn w:val="a0"/>
    <w:link w:val="Chare"/>
    <w:qFormat/>
    <w:rsid w:val="00F8274D"/>
    <w:pPr>
      <w:snapToGrid w:val="0"/>
      <w:spacing w:beforeLines="50" w:before="120" w:afterLines="50" w:after="120" w:line="240" w:lineRule="auto"/>
      <w:ind w:firstLineChars="0" w:firstLine="0"/>
      <w:jc w:val="center"/>
    </w:pPr>
    <w:rPr>
      <w:rFonts w:eastAsia="宋体" w:cs="Times New Roman"/>
      <w:sz w:val="24"/>
      <w:szCs w:val="24"/>
    </w:rPr>
  </w:style>
  <w:style w:type="character" w:customStyle="1" w:styleId="Chare">
    <w:name w:val="公式 Char"/>
    <w:basedOn w:val="a2"/>
    <w:link w:val="affffff5"/>
    <w:rsid w:val="00F8274D"/>
    <w:rPr>
      <w:rFonts w:ascii="Times New Roman" w:eastAsia="宋体" w:hAnsi="Times New Roman" w:cs="Times New Roman"/>
      <w:kern w:val="2"/>
      <w:sz w:val="24"/>
      <w:szCs w:val="24"/>
    </w:rPr>
  </w:style>
  <w:style w:type="paragraph" w:styleId="TOC">
    <w:name w:val="TOC Heading"/>
    <w:basedOn w:val="1"/>
    <w:next w:val="a0"/>
    <w:uiPriority w:val="39"/>
    <w:unhideWhenUsed/>
    <w:qFormat/>
    <w:rsid w:val="00F45727"/>
    <w:pPr>
      <w:keepNext/>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334E55B0-647D-440b-865C-3EC943EB4CBC-1">
      <extobjdata type="334E55B0-647D-440b-865C-3EC943EB4CBC" data="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"/>
    </extobj>
    <extobj name="334E55B0-647D-440b-865C-3EC943EB4CBC-2">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3">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4">
      <extobjdata type="334E55B0-647D-440b-865C-3EC943EB4CBC" data="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"/>
    </extobj>
    <extobj name="334E55B0-647D-440b-865C-3EC943EB4CBC-5">
      <extobjdata type="334E55B0-647D-440b-865C-3EC943EB4CBC" data="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"/>
    </extobj>
    <extobj name="334E55B0-647D-440b-865C-3EC943EB4CBC-6">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7">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8">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9">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10">
      <extobjdata type="334E55B0-647D-440b-865C-3EC943EB4CBC" data="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"/>
    </extobj>
    <extobj name="334E55B0-647D-440b-865C-3EC943EB4CBC-11">
      <extobjdata type="334E55B0-647D-440b-865C-3EC943EB4CBC" data="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"/>
    </extobj>
    <extobj name="334E55B0-647D-440b-865C-3EC943EB4CBC-12">
      <extobjdata type="334E55B0-647D-440b-865C-3EC943EB4CBC" data="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"/>
    </extobj>
    <extobj name="334E55B0-647D-440b-865C-3EC943EB4CBC-13">
      <extobjdata type="334E55B0-647D-440b-865C-3EC943EB4CBC" data="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"/>
    </extobj>
    <extobj name="334E55B0-647D-440b-865C-3EC943EB4CBC-14">
      <extobjdata type="334E55B0-647D-440b-865C-3EC943EB4CBC" data="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"/>
    </extobj>
    <extobj name="334E55B0-647D-440b-865C-3EC943EB4CBC-15">
      <extobjdata type="334E55B0-647D-440b-865C-3EC943EB4CBC" data="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"/>
    </extobj>
    <extobj name="334E55B0-647D-440b-865C-3EC943EB4CBC-16">
      <extobjdata type="334E55B0-647D-440b-865C-3EC943EB4CBC" data="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"/>
    </extobj>
    <extobj name="334E55B0-647D-440b-865C-3EC943EB4CBC-17">
      <extobjdata type="334E55B0-647D-440b-865C-3EC943EB4CBC" data="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"/>
    </extobj>
    <extobj name="334E55B0-647D-440b-865C-3EC943EB4CBC-18">
      <extobjdata type="334E55B0-647D-440b-865C-3EC943EB4CBC" data="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"/>
    </extobj>
    <extobj name="334E55B0-647D-440b-865C-3EC943EB4CBC-19">
      <extobjdata type="334E55B0-647D-440b-865C-3EC943EB4CBC" data="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"/>
    </extobj>
    <extobj name="334E55B0-647D-440b-865C-3EC943EB4CBC-20">
      <extobjdata type="334E55B0-647D-440b-865C-3EC943EB4CBC" data="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"/>
    </extobj>
    <extobj name="334E55B0-647D-440b-865C-3EC943EB4CBC-21">
      <extobjdata type="334E55B0-647D-440b-865C-3EC943EB4CBC" data="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"/>
    </extobj>
    <extobj name="334E55B0-647D-440b-865C-3EC943EB4CBC-22">
      <extobjdata type="334E55B0-647D-440b-865C-3EC943EB4CBC" data="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"/>
    </extobj>
    <extobj name="334E55B0-647D-440b-865C-3EC943EB4CBC-23">
      <extobjdata type="334E55B0-647D-440b-865C-3EC943EB4CBC" data="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56289-661A-4073-8871-055A5842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5819</Words>
  <Characters>33172</Characters>
  <Application>Microsoft Office Word</Application>
  <DocSecurity>0</DocSecurity>
  <Lines>276</Lines>
  <Paragraphs>77</Paragraphs>
  <ScaleCrop>false</ScaleCrop>
  <Company>Home</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幼迟</dc:creator>
  <cp:lastModifiedBy>Administrator</cp:lastModifiedBy>
  <cp:revision>183</cp:revision>
  <cp:lastPrinted>2022-01-23T10:46:00Z</cp:lastPrinted>
  <dcterms:created xsi:type="dcterms:W3CDTF">2022-01-17T02:25:00Z</dcterms:created>
  <dcterms:modified xsi:type="dcterms:W3CDTF">2022-01-29T00:45:00Z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682463830AD24A22AA2559755F3BB05F</vt:lpwstr>
  </property>
</Properties>
</file>