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EB142" w14:textId="6BB7F111" w:rsidR="0067797A" w:rsidRDefault="0067797A" w:rsidP="0067797A">
      <w:pPr>
        <w:adjustRightInd w:val="0"/>
        <w:spacing w:line="360" w:lineRule="auto"/>
        <w:ind w:firstLineChars="0" w:firstLine="0"/>
        <w:textAlignment w:val="baseline"/>
        <w:rPr>
          <w:rFonts w:eastAsia="黑体"/>
          <w:snapToGrid w:val="0"/>
          <w:kern w:val="0"/>
          <w:sz w:val="28"/>
        </w:rPr>
      </w:pPr>
      <w:bookmarkStart w:id="0" w:name="_GoBack"/>
      <w:bookmarkEnd w:id="0"/>
      <w:r>
        <w:rPr>
          <w:rFonts w:eastAsia="仿宋" w:hint="eastAsia"/>
          <w:snapToGrid w:val="0"/>
          <w:kern w:val="0"/>
          <w:sz w:val="24"/>
          <w:szCs w:val="24"/>
        </w:rPr>
        <w:t xml:space="preserve"> </w:t>
      </w:r>
      <w:r>
        <w:rPr>
          <w:rFonts w:eastAsia="仿宋"/>
          <w:snapToGrid w:val="0"/>
          <w:kern w:val="0"/>
          <w:sz w:val="24"/>
          <w:szCs w:val="24"/>
        </w:rPr>
        <w:t xml:space="preserve">                                                        </w:t>
      </w:r>
    </w:p>
    <w:p w14:paraId="1D7884E4" w14:textId="0F4F0ED0" w:rsidR="006B10D9" w:rsidRPr="00E93BD1" w:rsidRDefault="005E6E70" w:rsidP="005E6E70">
      <w:pPr>
        <w:pStyle w:val="ab"/>
        <w:ind w:firstLine="0"/>
        <w:rPr>
          <w:rFonts w:eastAsia="黑体"/>
          <w:snapToGrid w:val="0"/>
        </w:rPr>
      </w:pPr>
      <w:bookmarkStart w:id="1" w:name="_Hlk94043612"/>
      <w:bookmarkStart w:id="2" w:name="_Hlk94043409"/>
      <w:r>
        <w:rPr>
          <w:rFonts w:ascii="Times New Roman" w:eastAsia="仿宋" w:hint="eastAsia"/>
          <w:snapToGrid w:val="0"/>
          <w:sz w:val="24"/>
          <w:szCs w:val="24"/>
        </w:rPr>
        <w:t>编号：</w:t>
      </w:r>
      <w:r>
        <w:rPr>
          <w:rFonts w:ascii="Times New Roman" w:eastAsia="仿宋" w:hint="eastAsia"/>
          <w:snapToGrid w:val="0"/>
          <w:sz w:val="24"/>
          <w:szCs w:val="24"/>
        </w:rPr>
        <w:t>0</w:t>
      </w:r>
      <w:r w:rsidR="002D115C">
        <w:rPr>
          <w:rFonts w:ascii="Times New Roman" w:eastAsia="仿宋"/>
          <w:snapToGrid w:val="0"/>
          <w:sz w:val="24"/>
          <w:szCs w:val="24"/>
        </w:rPr>
        <w:t>2</w:t>
      </w:r>
      <w:r>
        <w:rPr>
          <w:rFonts w:ascii="Times New Roman" w:eastAsia="仿宋"/>
          <w:snapToGrid w:val="0"/>
          <w:sz w:val="24"/>
          <w:szCs w:val="24"/>
        </w:rPr>
        <w:t xml:space="preserve">                                              </w:t>
      </w:r>
      <w:r w:rsidRPr="004074D8">
        <w:rPr>
          <w:rFonts w:ascii="Times New Roman" w:eastAsia="仿宋" w:hint="eastAsia"/>
          <w:snapToGrid w:val="0"/>
          <w:sz w:val="24"/>
          <w:szCs w:val="24"/>
        </w:rPr>
        <w:t>未经许可不得它用</w:t>
      </w:r>
      <w:bookmarkEnd w:id="1"/>
      <w:r w:rsidR="00E93BD1" w:rsidRPr="00E93BD1">
        <w:rPr>
          <w:rFonts w:eastAsia="黑体"/>
          <w:snapToGrid w:val="0"/>
        </w:rPr>
        <w:t xml:space="preserve">       </w:t>
      </w:r>
      <w:bookmarkEnd w:id="2"/>
      <w:r w:rsidR="00E93BD1" w:rsidRPr="00E93BD1">
        <w:rPr>
          <w:rFonts w:eastAsia="黑体"/>
          <w:snapToGrid w:val="0"/>
        </w:rPr>
        <w:t xml:space="preserve">                              </w:t>
      </w:r>
    </w:p>
    <w:p w14:paraId="038009A9" w14:textId="77777777" w:rsidR="00814F04" w:rsidRDefault="00814F04">
      <w:pPr>
        <w:adjustRightInd w:val="0"/>
        <w:spacing w:line="360" w:lineRule="auto"/>
        <w:ind w:firstLineChars="0" w:firstLine="0"/>
        <w:textAlignment w:val="baseline"/>
        <w:rPr>
          <w:rFonts w:eastAsia="黑体"/>
          <w:snapToGrid w:val="0"/>
          <w:kern w:val="0"/>
          <w:sz w:val="28"/>
        </w:rPr>
      </w:pPr>
    </w:p>
    <w:p w14:paraId="338ED899" w14:textId="30353005" w:rsidR="006B10D9" w:rsidRPr="00E93BD1" w:rsidRDefault="00BE6472">
      <w:pPr>
        <w:adjustRightInd w:val="0"/>
        <w:spacing w:line="360" w:lineRule="auto"/>
        <w:ind w:firstLineChars="0" w:firstLine="0"/>
        <w:textAlignment w:val="baseline"/>
        <w:rPr>
          <w:rFonts w:eastAsia="黑体"/>
          <w:snapToGrid w:val="0"/>
          <w:kern w:val="0"/>
          <w:sz w:val="24"/>
          <w:szCs w:val="24"/>
        </w:rPr>
      </w:pPr>
      <w:r>
        <w:rPr>
          <w:rFonts w:eastAsia="黑体"/>
          <w:snapToGrid w:val="0"/>
          <w:kern w:val="0"/>
          <w:sz w:val="28"/>
        </w:rPr>
        <w:t>国家信息中心</w:t>
      </w:r>
      <w:r>
        <w:rPr>
          <w:rFonts w:eastAsia="黑体"/>
          <w:snapToGrid w:val="0"/>
          <w:kern w:val="0"/>
          <w:sz w:val="28"/>
        </w:rPr>
        <w:t>2021</w:t>
      </w:r>
      <w:r>
        <w:rPr>
          <w:rFonts w:eastAsia="黑体"/>
          <w:snapToGrid w:val="0"/>
          <w:kern w:val="0"/>
          <w:sz w:val="28"/>
        </w:rPr>
        <w:t>年度青年人才基础研究项目</w:t>
      </w:r>
      <w:r>
        <w:rPr>
          <w:rFonts w:eastAsia="黑体" w:hint="eastAsia"/>
          <w:snapToGrid w:val="0"/>
          <w:kern w:val="0"/>
          <w:sz w:val="28"/>
        </w:rPr>
        <w:t>成果</w:t>
      </w:r>
      <w:r w:rsidR="0067797A">
        <w:rPr>
          <w:rFonts w:eastAsia="黑体" w:hint="eastAsia"/>
          <w:snapToGrid w:val="0"/>
          <w:kern w:val="0"/>
          <w:sz w:val="28"/>
        </w:rPr>
        <w:t xml:space="preserve"> </w:t>
      </w:r>
      <w:r w:rsidR="0067797A">
        <w:rPr>
          <w:rFonts w:eastAsia="黑体"/>
          <w:snapToGrid w:val="0"/>
          <w:kern w:val="0"/>
          <w:sz w:val="28"/>
        </w:rPr>
        <w:t xml:space="preserve">   </w:t>
      </w:r>
    </w:p>
    <w:p w14:paraId="0A184126" w14:textId="77777777" w:rsidR="006B10D9" w:rsidRDefault="00BE6472">
      <w:pPr>
        <w:tabs>
          <w:tab w:val="left" w:pos="1041"/>
        </w:tabs>
        <w:adjustRightInd w:val="0"/>
        <w:spacing w:line="360" w:lineRule="auto"/>
        <w:ind w:firstLineChars="0" w:firstLine="0"/>
        <w:textAlignment w:val="baseline"/>
        <w:rPr>
          <w:rFonts w:eastAsia="仿宋"/>
          <w:kern w:val="0"/>
          <w:sz w:val="24"/>
          <w:szCs w:val="24"/>
        </w:rPr>
      </w:pPr>
      <w:r>
        <w:rPr>
          <w:rFonts w:eastAsia="仿宋"/>
          <w:kern w:val="0"/>
          <w:sz w:val="24"/>
          <w:szCs w:val="24"/>
        </w:rPr>
        <w:tab/>
      </w:r>
    </w:p>
    <w:p w14:paraId="5F8800EE" w14:textId="77777777" w:rsidR="006B10D9" w:rsidRDefault="006B10D9">
      <w:pPr>
        <w:tabs>
          <w:tab w:val="left" w:pos="1041"/>
        </w:tabs>
        <w:adjustRightInd w:val="0"/>
        <w:spacing w:line="360" w:lineRule="auto"/>
        <w:ind w:firstLineChars="0" w:firstLine="0"/>
        <w:textAlignment w:val="baseline"/>
        <w:rPr>
          <w:rFonts w:eastAsia="仿宋"/>
          <w:kern w:val="0"/>
          <w:sz w:val="24"/>
          <w:szCs w:val="24"/>
        </w:rPr>
      </w:pPr>
    </w:p>
    <w:p w14:paraId="7F989827" w14:textId="77777777" w:rsidR="006B10D9" w:rsidRDefault="006B10D9">
      <w:pPr>
        <w:tabs>
          <w:tab w:val="left" w:pos="1041"/>
        </w:tabs>
        <w:adjustRightInd w:val="0"/>
        <w:spacing w:line="360" w:lineRule="auto"/>
        <w:ind w:firstLineChars="0" w:firstLine="0"/>
        <w:textAlignment w:val="baseline"/>
        <w:rPr>
          <w:rFonts w:eastAsia="仿宋"/>
          <w:kern w:val="0"/>
          <w:sz w:val="24"/>
          <w:szCs w:val="24"/>
        </w:rPr>
      </w:pPr>
    </w:p>
    <w:p w14:paraId="1C120D60" w14:textId="77777777" w:rsidR="006B10D9" w:rsidRDefault="006B10D9">
      <w:pPr>
        <w:tabs>
          <w:tab w:val="left" w:pos="1041"/>
        </w:tabs>
        <w:adjustRightInd w:val="0"/>
        <w:spacing w:line="360" w:lineRule="auto"/>
        <w:ind w:firstLineChars="0" w:firstLine="0"/>
        <w:textAlignment w:val="baseline"/>
        <w:rPr>
          <w:rFonts w:eastAsia="仿宋"/>
          <w:kern w:val="0"/>
          <w:sz w:val="24"/>
          <w:szCs w:val="24"/>
        </w:rPr>
      </w:pPr>
    </w:p>
    <w:p w14:paraId="7B97E36E" w14:textId="77777777" w:rsidR="006B10D9" w:rsidRDefault="006B10D9">
      <w:pPr>
        <w:tabs>
          <w:tab w:val="left" w:pos="1041"/>
        </w:tabs>
        <w:adjustRightInd w:val="0"/>
        <w:spacing w:line="360" w:lineRule="auto"/>
        <w:ind w:firstLineChars="0" w:firstLine="0"/>
        <w:textAlignment w:val="baseline"/>
        <w:rPr>
          <w:rFonts w:eastAsia="仿宋"/>
          <w:kern w:val="0"/>
          <w:sz w:val="24"/>
          <w:szCs w:val="24"/>
        </w:rPr>
      </w:pPr>
    </w:p>
    <w:p w14:paraId="0CFCDEB6" w14:textId="72801C99" w:rsidR="006B10D9" w:rsidRDefault="00BE6472">
      <w:pPr>
        <w:pStyle w:val="1"/>
      </w:pPr>
      <w:bookmarkStart w:id="3" w:name="_Toc93846691"/>
      <w:bookmarkStart w:id="4" w:name="_Toc93922375"/>
      <w:r>
        <w:rPr>
          <w:rFonts w:hint="eastAsia"/>
        </w:rPr>
        <w:t>后疫情时代中国企业走出去投资和</w:t>
      </w:r>
      <w:r>
        <w:rPr>
          <w:rFonts w:hint="eastAsia"/>
        </w:rPr>
        <w:t xml:space="preserve">        </w:t>
      </w:r>
      <w:r>
        <w:rPr>
          <w:rFonts w:hint="eastAsia"/>
        </w:rPr>
        <w:t>产业链供应链风险研究</w:t>
      </w:r>
      <w:bookmarkEnd w:id="3"/>
      <w:bookmarkEnd w:id="4"/>
    </w:p>
    <w:p w14:paraId="5BF8A762"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6D3A4E70"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70E017D8"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5FFFAEBB"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6EDF201C"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00DFCCC2"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24BEE840"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4AE09473" w14:textId="77777777" w:rsidR="006B10D9" w:rsidRDefault="006B10D9">
      <w:pPr>
        <w:tabs>
          <w:tab w:val="left" w:pos="1041"/>
        </w:tabs>
        <w:adjustRightInd w:val="0"/>
        <w:spacing w:line="360" w:lineRule="auto"/>
        <w:ind w:firstLineChars="0" w:firstLine="0"/>
        <w:jc w:val="center"/>
        <w:textAlignment w:val="baseline"/>
        <w:rPr>
          <w:rFonts w:eastAsia="仿宋"/>
          <w:kern w:val="0"/>
          <w:sz w:val="24"/>
          <w:szCs w:val="24"/>
        </w:rPr>
      </w:pPr>
    </w:p>
    <w:p w14:paraId="24ABE3C5" w14:textId="77777777" w:rsidR="006B10D9" w:rsidRDefault="006B10D9">
      <w:pPr>
        <w:spacing w:line="360" w:lineRule="auto"/>
        <w:ind w:firstLineChars="0" w:firstLine="0"/>
        <w:rPr>
          <w:rFonts w:eastAsia="仿宋"/>
          <w:snapToGrid w:val="0"/>
          <w:kern w:val="0"/>
          <w:sz w:val="24"/>
          <w:szCs w:val="24"/>
        </w:rPr>
      </w:pPr>
    </w:p>
    <w:p w14:paraId="714DD295" w14:textId="77777777" w:rsidR="006B10D9" w:rsidRDefault="006B10D9">
      <w:pPr>
        <w:spacing w:line="360" w:lineRule="auto"/>
        <w:ind w:firstLineChars="0" w:firstLine="0"/>
        <w:rPr>
          <w:rFonts w:eastAsia="仿宋"/>
          <w:snapToGrid w:val="0"/>
          <w:kern w:val="0"/>
          <w:sz w:val="24"/>
          <w:szCs w:val="24"/>
        </w:rPr>
      </w:pPr>
    </w:p>
    <w:p w14:paraId="51948C0C" w14:textId="77777777" w:rsidR="006B10D9" w:rsidRDefault="006B10D9">
      <w:pPr>
        <w:spacing w:line="360" w:lineRule="auto"/>
        <w:ind w:firstLineChars="0" w:firstLine="0"/>
        <w:rPr>
          <w:rFonts w:eastAsia="仿宋"/>
          <w:snapToGrid w:val="0"/>
          <w:kern w:val="0"/>
          <w:sz w:val="24"/>
          <w:szCs w:val="24"/>
        </w:rPr>
      </w:pPr>
    </w:p>
    <w:p w14:paraId="4ACD942E" w14:textId="77777777" w:rsidR="006B10D9" w:rsidRDefault="006B10D9">
      <w:pPr>
        <w:spacing w:line="360" w:lineRule="auto"/>
        <w:ind w:firstLineChars="0" w:firstLine="0"/>
        <w:rPr>
          <w:rFonts w:eastAsia="仿宋"/>
          <w:snapToGrid w:val="0"/>
          <w:kern w:val="0"/>
          <w:sz w:val="24"/>
          <w:szCs w:val="24"/>
        </w:rPr>
      </w:pPr>
    </w:p>
    <w:p w14:paraId="4BBA9129" w14:textId="77777777" w:rsidR="006B10D9" w:rsidRDefault="006B10D9">
      <w:pPr>
        <w:spacing w:line="360" w:lineRule="auto"/>
        <w:ind w:firstLineChars="0" w:firstLine="0"/>
        <w:rPr>
          <w:rFonts w:eastAsia="仿宋"/>
          <w:snapToGrid w:val="0"/>
          <w:kern w:val="0"/>
          <w:sz w:val="24"/>
          <w:szCs w:val="24"/>
        </w:rPr>
      </w:pPr>
    </w:p>
    <w:p w14:paraId="4F5FB3AD" w14:textId="77777777" w:rsidR="006B10D9" w:rsidRDefault="00BE6472">
      <w:pPr>
        <w:spacing w:line="360" w:lineRule="auto"/>
        <w:ind w:leftChars="500" w:left="1500" w:firstLineChars="0" w:firstLine="0"/>
        <w:rPr>
          <w:rFonts w:ascii="楷体_GB2312" w:eastAsia="楷体_GB2312"/>
          <w:snapToGrid w:val="0"/>
          <w:kern w:val="0"/>
          <w:sz w:val="32"/>
          <w:szCs w:val="32"/>
        </w:rPr>
      </w:pPr>
      <w:r>
        <w:rPr>
          <w:rFonts w:ascii="楷体_GB2312" w:eastAsia="楷体_GB2312" w:hint="eastAsia"/>
          <w:snapToGrid w:val="0"/>
          <w:kern w:val="0"/>
          <w:sz w:val="32"/>
          <w:szCs w:val="32"/>
        </w:rPr>
        <w:t>部      门：</w:t>
      </w:r>
      <w:r w:rsidRPr="00E93BD1">
        <w:rPr>
          <w:rFonts w:ascii="黑体" w:eastAsia="黑体" w:hAnsi="黑体" w:hint="eastAsia"/>
          <w:snapToGrid w:val="0"/>
          <w:kern w:val="0"/>
          <w:sz w:val="32"/>
          <w:szCs w:val="32"/>
        </w:rPr>
        <w:t>综合管理部</w:t>
      </w:r>
    </w:p>
    <w:p w14:paraId="257CCF43" w14:textId="77777777" w:rsidR="006B10D9" w:rsidRDefault="00BE6472">
      <w:pPr>
        <w:spacing w:line="360" w:lineRule="auto"/>
        <w:ind w:leftChars="500" w:left="1500" w:firstLineChars="0" w:firstLine="0"/>
        <w:rPr>
          <w:rFonts w:ascii="楷体_GB2312" w:eastAsia="楷体_GB2312"/>
          <w:snapToGrid w:val="0"/>
          <w:kern w:val="0"/>
          <w:sz w:val="32"/>
          <w:szCs w:val="32"/>
        </w:rPr>
      </w:pPr>
      <w:r>
        <w:rPr>
          <w:rFonts w:ascii="楷体_GB2312" w:eastAsia="楷体_GB2312" w:hint="eastAsia"/>
          <w:snapToGrid w:val="0"/>
          <w:kern w:val="0"/>
          <w:sz w:val="32"/>
          <w:szCs w:val="32"/>
        </w:rPr>
        <w:t>项目负责人：李陶亚</w:t>
      </w:r>
    </w:p>
    <w:p w14:paraId="402807E5" w14:textId="77777777" w:rsidR="006B10D9" w:rsidRDefault="00BE6472">
      <w:pPr>
        <w:spacing w:line="360" w:lineRule="auto"/>
        <w:ind w:firstLineChars="0" w:firstLine="0"/>
        <w:rPr>
          <w:rFonts w:eastAsia="仿宋"/>
          <w:sz w:val="24"/>
          <w:szCs w:val="24"/>
        </w:rPr>
      </w:pPr>
      <w:r>
        <w:rPr>
          <w:rFonts w:eastAsia="仿宋" w:hint="eastAsia"/>
          <w:sz w:val="24"/>
          <w:szCs w:val="24"/>
        </w:rPr>
        <w:br w:type="page"/>
      </w:r>
    </w:p>
    <w:sdt>
      <w:sdtPr>
        <w:rPr>
          <w:rFonts w:ascii="Times New Roman" w:eastAsia="方正仿宋_GBK" w:hAnsi="Times New Roman" w:cs="宋体"/>
          <w:color w:val="auto"/>
          <w:kern w:val="2"/>
          <w:sz w:val="30"/>
          <w:szCs w:val="28"/>
          <w:lang w:val="zh-CN"/>
        </w:rPr>
        <w:id w:val="1307209989"/>
        <w:docPartObj>
          <w:docPartGallery w:val="Table of Contents"/>
          <w:docPartUnique/>
        </w:docPartObj>
      </w:sdtPr>
      <w:sdtEndPr>
        <w:rPr>
          <w:b/>
          <w:bCs/>
        </w:rPr>
      </w:sdtEndPr>
      <w:sdtContent>
        <w:p w14:paraId="5AC3ABC4" w14:textId="77777777" w:rsidR="006B10D9" w:rsidRDefault="00BE6472">
          <w:pPr>
            <w:pStyle w:val="TOC30"/>
            <w:spacing w:before="0" w:line="440" w:lineRule="exact"/>
            <w:jc w:val="center"/>
            <w:rPr>
              <w:rFonts w:ascii="黑体" w:eastAsia="黑体" w:hAnsi="黑体"/>
              <w:color w:val="000000" w:themeColor="text1"/>
            </w:rPr>
          </w:pPr>
          <w:r>
            <w:rPr>
              <w:rFonts w:ascii="黑体" w:eastAsia="黑体" w:hAnsi="黑体"/>
              <w:color w:val="000000" w:themeColor="text1"/>
              <w:lang w:val="zh-CN"/>
            </w:rPr>
            <w:t>目</w:t>
          </w:r>
          <w:r>
            <w:rPr>
              <w:rFonts w:ascii="黑体" w:eastAsia="黑体" w:hAnsi="黑体" w:hint="eastAsia"/>
              <w:color w:val="000000" w:themeColor="text1"/>
              <w:lang w:val="zh-CN"/>
            </w:rPr>
            <w:t xml:space="preserve"> </w:t>
          </w:r>
          <w:r>
            <w:rPr>
              <w:rFonts w:ascii="黑体" w:eastAsia="黑体" w:hAnsi="黑体"/>
              <w:color w:val="000000" w:themeColor="text1"/>
              <w:lang w:val="zh-CN"/>
            </w:rPr>
            <w:t xml:space="preserve"> 录</w:t>
          </w:r>
        </w:p>
        <w:p w14:paraId="1FA1544C" w14:textId="77777777" w:rsidR="006B10D9" w:rsidRDefault="00BE6472">
          <w:pPr>
            <w:pStyle w:val="TOC1"/>
            <w:tabs>
              <w:tab w:val="right" w:leader="dot" w:pos="8720"/>
            </w:tabs>
            <w:spacing w:line="440" w:lineRule="exact"/>
            <w:rPr>
              <w:rFonts w:ascii="黑体" w:eastAsia="黑体" w:hAnsi="黑体" w:cstheme="minorBidi"/>
              <w:b w:val="0"/>
              <w:kern w:val="2"/>
              <w:szCs w:val="24"/>
            </w:rPr>
          </w:pPr>
          <w:r>
            <w:fldChar w:fldCharType="begin"/>
          </w:r>
          <w:r>
            <w:instrText xml:space="preserve"> TOC \o "1-3" \h \z \u </w:instrText>
          </w:r>
          <w:r>
            <w:fldChar w:fldCharType="separate"/>
          </w:r>
          <w:hyperlink w:anchor="_Toc93922375" w:history="1"/>
        </w:p>
        <w:p w14:paraId="0B2BB623" w14:textId="77777777" w:rsidR="006B10D9" w:rsidRDefault="00D3722E">
          <w:pPr>
            <w:pStyle w:val="TOC2"/>
            <w:tabs>
              <w:tab w:val="right" w:leader="dot" w:pos="8720"/>
            </w:tabs>
            <w:spacing w:line="440" w:lineRule="exact"/>
            <w:ind w:left="600"/>
            <w:rPr>
              <w:rFonts w:ascii="黑体" w:eastAsia="黑体" w:hAnsi="黑体" w:cstheme="minorBidi"/>
              <w:smallCaps w:val="0"/>
              <w:kern w:val="2"/>
            </w:rPr>
          </w:pPr>
          <w:hyperlink w:anchor="_Toc93922376" w:history="1">
            <w:r w:rsidR="00BE6472">
              <w:rPr>
                <w:rStyle w:val="aff3"/>
                <w:rFonts w:ascii="黑体" w:eastAsia="黑体" w:hAnsi="黑体"/>
              </w:rPr>
              <w:t>一、中国企业对外投资和产业链供应链变化特点</w:t>
            </w:r>
            <w:r w:rsidR="00BE6472">
              <w:rPr>
                <w:rFonts w:ascii="黑体" w:eastAsia="黑体" w:hAnsi="黑体"/>
              </w:rPr>
              <w:tab/>
            </w:r>
            <w:r w:rsidR="00BE6472">
              <w:rPr>
                <w:rFonts w:ascii="黑体" w:eastAsia="黑体" w:hAnsi="黑体"/>
              </w:rPr>
              <w:fldChar w:fldCharType="begin"/>
            </w:r>
            <w:r w:rsidR="00BE6472">
              <w:rPr>
                <w:rFonts w:ascii="黑体" w:eastAsia="黑体" w:hAnsi="黑体"/>
              </w:rPr>
              <w:instrText xml:space="preserve"> PAGEREF _Toc93922376 \h </w:instrText>
            </w:r>
            <w:r w:rsidR="00BE6472">
              <w:rPr>
                <w:rFonts w:ascii="黑体" w:eastAsia="黑体" w:hAnsi="黑体"/>
              </w:rPr>
            </w:r>
            <w:r w:rsidR="00BE6472">
              <w:rPr>
                <w:rFonts w:ascii="黑体" w:eastAsia="黑体" w:hAnsi="黑体"/>
              </w:rPr>
              <w:fldChar w:fldCharType="separate"/>
            </w:r>
            <w:r w:rsidR="00BE6472">
              <w:rPr>
                <w:rFonts w:ascii="黑体" w:eastAsia="黑体" w:hAnsi="黑体"/>
              </w:rPr>
              <w:t>3</w:t>
            </w:r>
            <w:r w:rsidR="00BE6472">
              <w:rPr>
                <w:rFonts w:ascii="黑体" w:eastAsia="黑体" w:hAnsi="黑体"/>
              </w:rPr>
              <w:fldChar w:fldCharType="end"/>
            </w:r>
          </w:hyperlink>
        </w:p>
        <w:p w14:paraId="26F71DFB"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77" w:history="1">
            <w:r w:rsidR="00BE6472">
              <w:rPr>
                <w:rStyle w:val="aff3"/>
                <w:rFonts w:ascii="楷体" w:eastAsia="楷体" w:hAnsi="楷体"/>
                <w:sz w:val="24"/>
                <w:szCs w:val="24"/>
              </w:rPr>
              <w:t>（一）“十三五”时期我国对外直接投资概况</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_Toc93922377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5</w:t>
            </w:r>
            <w:r w:rsidR="00BE6472">
              <w:rPr>
                <w:rFonts w:ascii="楷体" w:eastAsia="楷体" w:hAnsi="楷体"/>
                <w:sz w:val="24"/>
                <w:szCs w:val="24"/>
              </w:rPr>
              <w:fldChar w:fldCharType="end"/>
            </w:r>
          </w:hyperlink>
        </w:p>
        <w:p w14:paraId="7145E1AD"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78" w:history="1">
            <w:r w:rsidR="00BE6472">
              <w:rPr>
                <w:rStyle w:val="aff3"/>
                <w:rFonts w:ascii="楷体" w:eastAsia="楷体" w:hAnsi="楷体"/>
                <w:sz w:val="24"/>
                <w:szCs w:val="24"/>
              </w:rPr>
              <w:t>（二）后疫情时代企业“走出去”的趋势变化</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_Toc93922378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10</w:t>
            </w:r>
            <w:r w:rsidR="00BE6472">
              <w:rPr>
                <w:rFonts w:ascii="楷体" w:eastAsia="楷体" w:hAnsi="楷体"/>
                <w:sz w:val="24"/>
                <w:szCs w:val="24"/>
              </w:rPr>
              <w:fldChar w:fldCharType="end"/>
            </w:r>
          </w:hyperlink>
        </w:p>
        <w:p w14:paraId="20EF8C3B"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79" w:history="1">
            <w:r w:rsidR="00BE6472">
              <w:rPr>
                <w:rStyle w:val="aff3"/>
                <w:rFonts w:ascii="楷体" w:eastAsia="楷体" w:hAnsi="楷体"/>
                <w:sz w:val="24"/>
                <w:szCs w:val="24"/>
              </w:rPr>
              <w:t>（三）我国企业“走出去”和产业链供应链风险识别机制</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_Toc93922379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18</w:t>
            </w:r>
            <w:r w:rsidR="00BE6472">
              <w:rPr>
                <w:rFonts w:ascii="楷体" w:eastAsia="楷体" w:hAnsi="楷体"/>
                <w:sz w:val="24"/>
                <w:szCs w:val="24"/>
              </w:rPr>
              <w:fldChar w:fldCharType="end"/>
            </w:r>
          </w:hyperlink>
        </w:p>
        <w:p w14:paraId="20E379F1" w14:textId="77777777" w:rsidR="006B10D9" w:rsidRDefault="00D3722E">
          <w:pPr>
            <w:pStyle w:val="TOC2"/>
            <w:tabs>
              <w:tab w:val="right" w:leader="dot" w:pos="8720"/>
            </w:tabs>
            <w:spacing w:line="440" w:lineRule="exact"/>
            <w:ind w:left="600"/>
            <w:rPr>
              <w:rFonts w:ascii="黑体" w:eastAsia="黑体" w:hAnsi="黑体" w:cstheme="minorBidi"/>
              <w:smallCaps w:val="0"/>
              <w:kern w:val="2"/>
            </w:rPr>
          </w:pPr>
          <w:hyperlink w:anchor="_Toc93922380" w:history="1">
            <w:r w:rsidR="00BE6472">
              <w:rPr>
                <w:rStyle w:val="aff3"/>
                <w:rFonts w:ascii="黑体" w:eastAsia="黑体" w:hAnsi="黑体"/>
              </w:rPr>
              <w:t>二、后疫情时代我国企业“走出去”环境风险分析</w:t>
            </w:r>
            <w:r w:rsidR="00BE6472">
              <w:rPr>
                <w:rFonts w:ascii="黑体" w:eastAsia="黑体" w:hAnsi="黑体"/>
              </w:rPr>
              <w:tab/>
            </w:r>
            <w:r w:rsidR="00BE6472">
              <w:rPr>
                <w:rFonts w:ascii="黑体" w:eastAsia="黑体" w:hAnsi="黑体"/>
              </w:rPr>
              <w:fldChar w:fldCharType="begin"/>
            </w:r>
            <w:r w:rsidR="00BE6472">
              <w:rPr>
                <w:rFonts w:ascii="黑体" w:eastAsia="黑体" w:hAnsi="黑体"/>
              </w:rPr>
              <w:instrText xml:space="preserve"> PAGEREF _Toc93922380 \h </w:instrText>
            </w:r>
            <w:r w:rsidR="00BE6472">
              <w:rPr>
                <w:rFonts w:ascii="黑体" w:eastAsia="黑体" w:hAnsi="黑体"/>
              </w:rPr>
            </w:r>
            <w:r w:rsidR="00BE6472">
              <w:rPr>
                <w:rFonts w:ascii="黑体" w:eastAsia="黑体" w:hAnsi="黑体"/>
              </w:rPr>
              <w:fldChar w:fldCharType="separate"/>
            </w:r>
            <w:r w:rsidR="00BE6472">
              <w:rPr>
                <w:rFonts w:ascii="黑体" w:eastAsia="黑体" w:hAnsi="黑体"/>
              </w:rPr>
              <w:t>22</w:t>
            </w:r>
            <w:r w:rsidR="00BE6472">
              <w:rPr>
                <w:rFonts w:ascii="黑体" w:eastAsia="黑体" w:hAnsi="黑体"/>
              </w:rPr>
              <w:fldChar w:fldCharType="end"/>
            </w:r>
          </w:hyperlink>
        </w:p>
        <w:p w14:paraId="51C9E978"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1" w:history="1">
            <w:r w:rsidR="00BE6472">
              <w:rPr>
                <w:rStyle w:val="aff3"/>
                <w:rFonts w:ascii="楷体" w:eastAsia="楷体" w:hAnsi="楷体"/>
                <w:sz w:val="24"/>
                <w:szCs w:val="24"/>
              </w:rPr>
              <w:t>（一）影响中国企业“走出去”的环境因素</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_Toc93922381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22</w:t>
            </w:r>
            <w:r w:rsidR="00BE6472">
              <w:rPr>
                <w:rFonts w:ascii="楷体" w:eastAsia="楷体" w:hAnsi="楷体"/>
                <w:sz w:val="24"/>
                <w:szCs w:val="24"/>
              </w:rPr>
              <w:fldChar w:fldCharType="end"/>
            </w:r>
          </w:hyperlink>
        </w:p>
        <w:p w14:paraId="4A0E6F0B"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2" w:history="1">
            <w:r w:rsidR="00BE6472">
              <w:rPr>
                <w:rStyle w:val="aff3"/>
                <w:rFonts w:ascii="楷体" w:eastAsia="楷体" w:hAnsi="楷体"/>
                <w:sz w:val="24"/>
                <w:szCs w:val="24"/>
              </w:rPr>
              <w:t>（二）中国企业“走出去”面临的新形势</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_Toc93922382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26</w:t>
            </w:r>
            <w:r w:rsidR="00BE6472">
              <w:rPr>
                <w:rFonts w:ascii="楷体" w:eastAsia="楷体" w:hAnsi="楷体"/>
                <w:sz w:val="24"/>
                <w:szCs w:val="24"/>
              </w:rPr>
              <w:fldChar w:fldCharType="end"/>
            </w:r>
          </w:hyperlink>
        </w:p>
        <w:p w14:paraId="26C6D9A8"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3" w:history="1">
            <w:r w:rsidR="00BE6472">
              <w:rPr>
                <w:rStyle w:val="aff3"/>
                <w:rFonts w:ascii="楷体" w:eastAsia="楷体" w:hAnsi="楷体"/>
                <w:sz w:val="24"/>
                <w:szCs w:val="24"/>
              </w:rPr>
              <w:t>（三）中国企业“走出去”风险策略模式选择</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_Toc93922383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30</w:t>
            </w:r>
            <w:r w:rsidR="00BE6472">
              <w:rPr>
                <w:rFonts w:ascii="楷体" w:eastAsia="楷体" w:hAnsi="楷体"/>
                <w:sz w:val="24"/>
                <w:szCs w:val="24"/>
              </w:rPr>
              <w:fldChar w:fldCharType="end"/>
            </w:r>
          </w:hyperlink>
        </w:p>
        <w:p w14:paraId="3598C1A5" w14:textId="77777777" w:rsidR="006B10D9" w:rsidRDefault="00D3722E">
          <w:pPr>
            <w:pStyle w:val="TOC2"/>
            <w:tabs>
              <w:tab w:val="right" w:leader="dot" w:pos="8720"/>
            </w:tabs>
            <w:spacing w:line="440" w:lineRule="exact"/>
            <w:ind w:left="600"/>
            <w:rPr>
              <w:rFonts w:ascii="黑体" w:eastAsia="黑体" w:hAnsi="黑体" w:cstheme="minorBidi"/>
              <w:smallCaps w:val="0"/>
              <w:kern w:val="2"/>
            </w:rPr>
          </w:pPr>
          <w:hyperlink w:anchor="_Toc93922384" w:history="1">
            <w:r w:rsidR="00BE6472">
              <w:rPr>
                <w:rStyle w:val="aff3"/>
                <w:rFonts w:ascii="黑体" w:eastAsia="黑体" w:hAnsi="黑体"/>
              </w:rPr>
              <w:t>三、后疫情时代中国企业海外投资区域风险评估模型</w:t>
            </w:r>
            <w:r w:rsidR="00BE6472">
              <w:rPr>
                <w:rFonts w:ascii="黑体" w:eastAsia="黑体" w:hAnsi="黑体"/>
              </w:rPr>
              <w:tab/>
            </w:r>
            <w:r w:rsidR="00BE6472">
              <w:rPr>
                <w:rFonts w:ascii="黑体" w:eastAsia="黑体" w:hAnsi="黑体"/>
              </w:rPr>
              <w:fldChar w:fldCharType="begin"/>
            </w:r>
            <w:r w:rsidR="00BE6472">
              <w:rPr>
                <w:rFonts w:ascii="黑体" w:eastAsia="黑体" w:hAnsi="黑体"/>
              </w:rPr>
              <w:instrText xml:space="preserve"> PAGEREF _Toc93922384 \h </w:instrText>
            </w:r>
            <w:r w:rsidR="00BE6472">
              <w:rPr>
                <w:rFonts w:ascii="黑体" w:eastAsia="黑体" w:hAnsi="黑体"/>
              </w:rPr>
            </w:r>
            <w:r w:rsidR="00BE6472">
              <w:rPr>
                <w:rFonts w:ascii="黑体" w:eastAsia="黑体" w:hAnsi="黑体"/>
              </w:rPr>
              <w:fldChar w:fldCharType="separate"/>
            </w:r>
            <w:r w:rsidR="00BE6472">
              <w:rPr>
                <w:rFonts w:ascii="黑体" w:eastAsia="黑体" w:hAnsi="黑体"/>
              </w:rPr>
              <w:t>34</w:t>
            </w:r>
            <w:r w:rsidR="00BE6472">
              <w:rPr>
                <w:rFonts w:ascii="黑体" w:eastAsia="黑体" w:hAnsi="黑体"/>
              </w:rPr>
              <w:fldChar w:fldCharType="end"/>
            </w:r>
          </w:hyperlink>
        </w:p>
        <w:p w14:paraId="4049B8F3"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5" w:history="1">
            <w:r w:rsidR="00BE6472">
              <w:rPr>
                <w:rStyle w:val="aff3"/>
                <w:rFonts w:ascii="楷体" w:eastAsia="楷体" w:hAnsi="楷体"/>
                <w:sz w:val="24"/>
                <w:szCs w:val="24"/>
              </w:rPr>
              <w:t>（一）指标选取</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_Toc93922385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35</w:t>
            </w:r>
            <w:r w:rsidR="00BE6472">
              <w:rPr>
                <w:rFonts w:ascii="楷体" w:eastAsia="楷体" w:hAnsi="楷体"/>
                <w:sz w:val="24"/>
                <w:szCs w:val="24"/>
              </w:rPr>
              <w:fldChar w:fldCharType="end"/>
            </w:r>
          </w:hyperlink>
        </w:p>
        <w:p w14:paraId="67490C3B"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6" w:history="1">
            <w:r w:rsidR="00BE6472">
              <w:rPr>
                <w:rStyle w:val="aff3"/>
                <w:rFonts w:ascii="楷体" w:eastAsia="楷体" w:hAnsi="楷体"/>
                <w:sz w:val="24"/>
                <w:szCs w:val="24"/>
              </w:rPr>
              <w:t>（二）风险影响因素指标体系评述</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_Toc93922386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38</w:t>
            </w:r>
            <w:r w:rsidR="00BE6472">
              <w:rPr>
                <w:rFonts w:ascii="楷体" w:eastAsia="楷体" w:hAnsi="楷体"/>
                <w:sz w:val="24"/>
                <w:szCs w:val="24"/>
              </w:rPr>
              <w:fldChar w:fldCharType="end"/>
            </w:r>
          </w:hyperlink>
        </w:p>
        <w:p w14:paraId="786717FC"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7" w:history="1">
            <w:r w:rsidR="00BE6472">
              <w:rPr>
                <w:rStyle w:val="aff3"/>
                <w:rFonts w:ascii="楷体" w:eastAsia="楷体" w:hAnsi="楷体"/>
                <w:sz w:val="24"/>
                <w:szCs w:val="24"/>
              </w:rPr>
              <w:t>（三）2019年国别风险综合得分情况</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_Toc93922387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40</w:t>
            </w:r>
            <w:r w:rsidR="00BE6472">
              <w:rPr>
                <w:rFonts w:ascii="楷体" w:eastAsia="楷体" w:hAnsi="楷体"/>
                <w:sz w:val="24"/>
                <w:szCs w:val="24"/>
              </w:rPr>
              <w:fldChar w:fldCharType="end"/>
            </w:r>
          </w:hyperlink>
        </w:p>
        <w:p w14:paraId="2610159C"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88" w:history="1">
            <w:r w:rsidR="00BE6472">
              <w:rPr>
                <w:rStyle w:val="aff3"/>
                <w:rFonts w:ascii="楷体" w:eastAsia="楷体" w:hAnsi="楷体"/>
                <w:sz w:val="24"/>
                <w:szCs w:val="24"/>
              </w:rPr>
              <w:t>（四）2020年国别风险综合得分情况</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_Toc93922388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49</w:t>
            </w:r>
            <w:r w:rsidR="00BE6472">
              <w:rPr>
                <w:rFonts w:ascii="楷体" w:eastAsia="楷体" w:hAnsi="楷体"/>
                <w:sz w:val="24"/>
                <w:szCs w:val="24"/>
              </w:rPr>
              <w:fldChar w:fldCharType="end"/>
            </w:r>
          </w:hyperlink>
        </w:p>
        <w:p w14:paraId="5219CD46" w14:textId="77777777" w:rsidR="006B10D9" w:rsidRDefault="00D3722E">
          <w:pPr>
            <w:pStyle w:val="TOC2"/>
            <w:tabs>
              <w:tab w:val="right" w:leader="dot" w:pos="8720"/>
            </w:tabs>
            <w:spacing w:line="440" w:lineRule="exact"/>
            <w:ind w:left="600"/>
            <w:rPr>
              <w:rFonts w:ascii="黑体" w:eastAsia="黑体" w:hAnsi="黑体" w:cstheme="minorBidi"/>
              <w:smallCaps w:val="0"/>
              <w:kern w:val="2"/>
            </w:rPr>
          </w:pPr>
          <w:hyperlink w:anchor="_Toc93922389" w:history="1">
            <w:r w:rsidR="00BE6472">
              <w:rPr>
                <w:rStyle w:val="aff3"/>
                <w:rFonts w:ascii="黑体" w:eastAsia="黑体" w:hAnsi="黑体"/>
              </w:rPr>
              <w:t>四、后疫情时代中国企业“走出去”重点区域投资风险评估</w:t>
            </w:r>
            <w:r w:rsidR="00BE6472">
              <w:rPr>
                <w:rFonts w:ascii="黑体" w:eastAsia="黑体" w:hAnsi="黑体"/>
              </w:rPr>
              <w:tab/>
            </w:r>
            <w:r w:rsidR="00BE6472">
              <w:rPr>
                <w:rFonts w:ascii="黑体" w:eastAsia="黑体" w:hAnsi="黑体"/>
              </w:rPr>
              <w:fldChar w:fldCharType="begin"/>
            </w:r>
            <w:r w:rsidR="00BE6472">
              <w:rPr>
                <w:rFonts w:ascii="黑体" w:eastAsia="黑体" w:hAnsi="黑体"/>
              </w:rPr>
              <w:instrText xml:space="preserve"> PAGEREF _Toc93922389 \h </w:instrText>
            </w:r>
            <w:r w:rsidR="00BE6472">
              <w:rPr>
                <w:rFonts w:ascii="黑体" w:eastAsia="黑体" w:hAnsi="黑体"/>
              </w:rPr>
            </w:r>
            <w:r w:rsidR="00BE6472">
              <w:rPr>
                <w:rFonts w:ascii="黑体" w:eastAsia="黑体" w:hAnsi="黑体"/>
              </w:rPr>
              <w:fldChar w:fldCharType="separate"/>
            </w:r>
            <w:r w:rsidR="00BE6472">
              <w:rPr>
                <w:rFonts w:ascii="黑体" w:eastAsia="黑体" w:hAnsi="黑体"/>
              </w:rPr>
              <w:t>54</w:t>
            </w:r>
            <w:r w:rsidR="00BE6472">
              <w:rPr>
                <w:rFonts w:ascii="黑体" w:eastAsia="黑体" w:hAnsi="黑体"/>
              </w:rPr>
              <w:fldChar w:fldCharType="end"/>
            </w:r>
          </w:hyperlink>
        </w:p>
        <w:p w14:paraId="42E4DAD5"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0" w:history="1">
            <w:r w:rsidR="00BE6472">
              <w:rPr>
                <w:rStyle w:val="aff3"/>
                <w:rFonts w:ascii="楷体" w:eastAsia="楷体" w:hAnsi="楷体"/>
                <w:sz w:val="24"/>
                <w:szCs w:val="24"/>
              </w:rPr>
              <w:t>（一）中国对美投资风险评估</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_Toc93922390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54</w:t>
            </w:r>
            <w:r w:rsidR="00BE6472">
              <w:rPr>
                <w:rFonts w:ascii="楷体" w:eastAsia="楷体" w:hAnsi="楷体"/>
                <w:sz w:val="24"/>
                <w:szCs w:val="24"/>
              </w:rPr>
              <w:fldChar w:fldCharType="end"/>
            </w:r>
          </w:hyperlink>
        </w:p>
        <w:p w14:paraId="60AC0680"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1" w:history="1">
            <w:r w:rsidR="00BE6472">
              <w:rPr>
                <w:rStyle w:val="aff3"/>
                <w:rFonts w:ascii="楷体" w:eastAsia="楷体" w:hAnsi="楷体"/>
                <w:sz w:val="24"/>
                <w:szCs w:val="24"/>
              </w:rPr>
              <w:t>（二）中国在欧投资风险评估</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_Toc93922391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61</w:t>
            </w:r>
            <w:r w:rsidR="00BE6472">
              <w:rPr>
                <w:rFonts w:ascii="楷体" w:eastAsia="楷体" w:hAnsi="楷体"/>
                <w:sz w:val="24"/>
                <w:szCs w:val="24"/>
              </w:rPr>
              <w:fldChar w:fldCharType="end"/>
            </w:r>
          </w:hyperlink>
        </w:p>
        <w:p w14:paraId="428256A2"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2" w:history="1">
            <w:r w:rsidR="00BE6472">
              <w:rPr>
                <w:rStyle w:val="aff3"/>
                <w:rFonts w:ascii="楷体" w:eastAsia="楷体" w:hAnsi="楷体"/>
                <w:sz w:val="24"/>
                <w:szCs w:val="24"/>
              </w:rPr>
              <w:t>（三）中国在东盟投资风险评估</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_Toc93922392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66</w:t>
            </w:r>
            <w:r w:rsidR="00BE6472">
              <w:rPr>
                <w:rFonts w:ascii="楷体" w:eastAsia="楷体" w:hAnsi="楷体"/>
                <w:sz w:val="24"/>
                <w:szCs w:val="24"/>
              </w:rPr>
              <w:fldChar w:fldCharType="end"/>
            </w:r>
          </w:hyperlink>
        </w:p>
        <w:p w14:paraId="1D42618A" w14:textId="77777777" w:rsidR="006B10D9" w:rsidRDefault="00D3722E">
          <w:pPr>
            <w:pStyle w:val="TOC2"/>
            <w:tabs>
              <w:tab w:val="right" w:leader="dot" w:pos="8720"/>
            </w:tabs>
            <w:spacing w:line="440" w:lineRule="exact"/>
            <w:ind w:left="600"/>
            <w:rPr>
              <w:rFonts w:ascii="黑体" w:eastAsia="黑体" w:hAnsi="黑体" w:cstheme="minorBidi"/>
              <w:smallCaps w:val="0"/>
              <w:kern w:val="2"/>
            </w:rPr>
          </w:pPr>
          <w:hyperlink w:anchor="_Toc93922393" w:history="1">
            <w:r w:rsidR="00BE6472">
              <w:rPr>
                <w:rStyle w:val="aff3"/>
                <w:rFonts w:ascii="黑体" w:eastAsia="黑体" w:hAnsi="黑体"/>
              </w:rPr>
              <w:t>五、后疫情时代中国企业“走出去”风险应对策略</w:t>
            </w:r>
            <w:r w:rsidR="00BE6472">
              <w:rPr>
                <w:rFonts w:ascii="黑体" w:eastAsia="黑体" w:hAnsi="黑体"/>
              </w:rPr>
              <w:tab/>
            </w:r>
            <w:r w:rsidR="00BE6472">
              <w:rPr>
                <w:rFonts w:ascii="黑体" w:eastAsia="黑体" w:hAnsi="黑体"/>
              </w:rPr>
              <w:fldChar w:fldCharType="begin"/>
            </w:r>
            <w:r w:rsidR="00BE6472">
              <w:rPr>
                <w:rFonts w:ascii="黑体" w:eastAsia="黑体" w:hAnsi="黑体"/>
              </w:rPr>
              <w:instrText xml:space="preserve"> PAGEREF _Toc93922393 \h </w:instrText>
            </w:r>
            <w:r w:rsidR="00BE6472">
              <w:rPr>
                <w:rFonts w:ascii="黑体" w:eastAsia="黑体" w:hAnsi="黑体"/>
              </w:rPr>
            </w:r>
            <w:r w:rsidR="00BE6472">
              <w:rPr>
                <w:rFonts w:ascii="黑体" w:eastAsia="黑体" w:hAnsi="黑体"/>
              </w:rPr>
              <w:fldChar w:fldCharType="separate"/>
            </w:r>
            <w:r w:rsidR="00BE6472">
              <w:rPr>
                <w:rFonts w:ascii="黑体" w:eastAsia="黑体" w:hAnsi="黑体"/>
              </w:rPr>
              <w:t>71</w:t>
            </w:r>
            <w:r w:rsidR="00BE6472">
              <w:rPr>
                <w:rFonts w:ascii="黑体" w:eastAsia="黑体" w:hAnsi="黑体"/>
              </w:rPr>
              <w:fldChar w:fldCharType="end"/>
            </w:r>
          </w:hyperlink>
        </w:p>
        <w:p w14:paraId="16A4B910"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4" w:history="1">
            <w:r w:rsidR="00BE6472">
              <w:rPr>
                <w:rStyle w:val="aff3"/>
                <w:rFonts w:ascii="楷体" w:eastAsia="楷体" w:hAnsi="楷体"/>
                <w:sz w:val="24"/>
                <w:szCs w:val="24"/>
              </w:rPr>
              <w:t>（一）做好风险规避——构建以我为主的区域价值链治理体系</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_Toc93922394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71</w:t>
            </w:r>
            <w:r w:rsidR="00BE6472">
              <w:rPr>
                <w:rFonts w:ascii="楷体" w:eastAsia="楷体" w:hAnsi="楷体"/>
                <w:sz w:val="24"/>
                <w:szCs w:val="24"/>
              </w:rPr>
              <w:fldChar w:fldCharType="end"/>
            </w:r>
          </w:hyperlink>
        </w:p>
        <w:p w14:paraId="485C4AB1"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5" w:history="1">
            <w:r w:rsidR="00BE6472">
              <w:rPr>
                <w:rStyle w:val="aff3"/>
                <w:rFonts w:ascii="楷体" w:eastAsia="楷体" w:hAnsi="楷体"/>
                <w:sz w:val="24"/>
                <w:szCs w:val="24"/>
              </w:rPr>
              <w:t>（二）强化风险管控——提高企业风险防范意识</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_Toc93922395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72</w:t>
            </w:r>
            <w:r w:rsidR="00BE6472">
              <w:rPr>
                <w:rFonts w:ascii="楷体" w:eastAsia="楷体" w:hAnsi="楷体"/>
                <w:sz w:val="24"/>
                <w:szCs w:val="24"/>
              </w:rPr>
              <w:fldChar w:fldCharType="end"/>
            </w:r>
          </w:hyperlink>
        </w:p>
        <w:p w14:paraId="17AA44C4"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6" w:history="1">
            <w:r w:rsidR="00BE6472">
              <w:rPr>
                <w:rStyle w:val="aff3"/>
                <w:rFonts w:ascii="楷体" w:eastAsia="楷体" w:hAnsi="楷体"/>
                <w:sz w:val="24"/>
                <w:szCs w:val="24"/>
              </w:rPr>
              <w:t>（三）构建风险缓释——加强规划指引和政策扶持</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_Toc93922396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72</w:t>
            </w:r>
            <w:r w:rsidR="00BE6472">
              <w:rPr>
                <w:rFonts w:ascii="楷体" w:eastAsia="楷体" w:hAnsi="楷体"/>
                <w:sz w:val="24"/>
                <w:szCs w:val="24"/>
              </w:rPr>
              <w:fldChar w:fldCharType="end"/>
            </w:r>
          </w:hyperlink>
        </w:p>
        <w:p w14:paraId="7A1CCC38" w14:textId="77777777" w:rsidR="006B10D9" w:rsidRDefault="00D3722E">
          <w:pPr>
            <w:pStyle w:val="TOC3"/>
            <w:tabs>
              <w:tab w:val="right" w:leader="dot" w:pos="8720"/>
            </w:tabs>
            <w:spacing w:line="440" w:lineRule="exact"/>
            <w:ind w:left="1200"/>
            <w:rPr>
              <w:rFonts w:ascii="楷体" w:eastAsia="楷体" w:hAnsi="楷体" w:cstheme="minorBidi"/>
              <w:kern w:val="2"/>
              <w:sz w:val="24"/>
              <w:szCs w:val="24"/>
            </w:rPr>
          </w:pPr>
          <w:hyperlink w:anchor="_Toc93922397" w:history="1">
            <w:r w:rsidR="00BE6472">
              <w:rPr>
                <w:rStyle w:val="aff3"/>
                <w:rFonts w:ascii="楷体" w:eastAsia="楷体" w:hAnsi="楷体"/>
                <w:sz w:val="24"/>
                <w:szCs w:val="24"/>
              </w:rPr>
              <w:t>（四）实现风险共担——形成政府协调长效机制</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_Toc93922397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73</w:t>
            </w:r>
            <w:r w:rsidR="00BE6472">
              <w:rPr>
                <w:rFonts w:ascii="楷体" w:eastAsia="楷体" w:hAnsi="楷体"/>
                <w:sz w:val="24"/>
                <w:szCs w:val="24"/>
              </w:rPr>
              <w:fldChar w:fldCharType="end"/>
            </w:r>
          </w:hyperlink>
        </w:p>
        <w:p w14:paraId="3DD38950" w14:textId="77777777" w:rsidR="006B10D9" w:rsidRDefault="00D3722E">
          <w:pPr>
            <w:pStyle w:val="TOC3"/>
            <w:tabs>
              <w:tab w:val="right" w:leader="dot" w:pos="8720"/>
            </w:tabs>
            <w:spacing w:line="440" w:lineRule="exact"/>
            <w:ind w:left="1200"/>
            <w:rPr>
              <w:rFonts w:ascii="黑体" w:eastAsia="黑体" w:hAnsi="黑体" w:cstheme="minorBidi"/>
              <w:kern w:val="2"/>
              <w:sz w:val="24"/>
              <w:szCs w:val="24"/>
            </w:rPr>
          </w:pPr>
          <w:hyperlink w:anchor="_Toc93922398" w:history="1">
            <w:r w:rsidR="00BE6472">
              <w:rPr>
                <w:rStyle w:val="aff3"/>
                <w:rFonts w:ascii="楷体" w:eastAsia="楷体" w:hAnsi="楷体"/>
                <w:sz w:val="24"/>
                <w:szCs w:val="24"/>
              </w:rPr>
              <w:t>（五）推动风险转移——嵌入跨国公司全球供应链产业链</w:t>
            </w:r>
            <w:r w:rsidR="00BE6472">
              <w:rPr>
                <w:rFonts w:ascii="楷体" w:eastAsia="楷体" w:hAnsi="楷体"/>
                <w:sz w:val="24"/>
                <w:szCs w:val="24"/>
              </w:rPr>
              <w:tab/>
            </w:r>
            <w:r w:rsidR="00BE6472">
              <w:rPr>
                <w:rFonts w:ascii="楷体" w:eastAsia="楷体" w:hAnsi="楷体"/>
                <w:sz w:val="24"/>
                <w:szCs w:val="24"/>
              </w:rPr>
              <w:fldChar w:fldCharType="begin"/>
            </w:r>
            <w:r w:rsidR="00BE6472">
              <w:rPr>
                <w:rFonts w:ascii="楷体" w:eastAsia="楷体" w:hAnsi="楷体"/>
                <w:sz w:val="24"/>
                <w:szCs w:val="24"/>
              </w:rPr>
              <w:instrText xml:space="preserve"> PAGEREF _Toc93922398 \h </w:instrText>
            </w:r>
            <w:r w:rsidR="00BE6472">
              <w:rPr>
                <w:rFonts w:ascii="楷体" w:eastAsia="楷体" w:hAnsi="楷体"/>
                <w:sz w:val="24"/>
                <w:szCs w:val="24"/>
              </w:rPr>
            </w:r>
            <w:r w:rsidR="00BE6472">
              <w:rPr>
                <w:rFonts w:ascii="楷体" w:eastAsia="楷体" w:hAnsi="楷体"/>
                <w:sz w:val="24"/>
                <w:szCs w:val="24"/>
              </w:rPr>
              <w:fldChar w:fldCharType="separate"/>
            </w:r>
            <w:r w:rsidR="00BE6472">
              <w:rPr>
                <w:rFonts w:ascii="楷体" w:eastAsia="楷体" w:hAnsi="楷体"/>
                <w:sz w:val="24"/>
                <w:szCs w:val="24"/>
              </w:rPr>
              <w:t>73</w:t>
            </w:r>
            <w:r w:rsidR="00BE6472">
              <w:rPr>
                <w:rFonts w:ascii="楷体" w:eastAsia="楷体" w:hAnsi="楷体"/>
                <w:sz w:val="24"/>
                <w:szCs w:val="24"/>
              </w:rPr>
              <w:fldChar w:fldCharType="end"/>
            </w:r>
          </w:hyperlink>
        </w:p>
        <w:p w14:paraId="77479D66" w14:textId="77777777" w:rsidR="006B10D9" w:rsidRDefault="00D3722E">
          <w:pPr>
            <w:pStyle w:val="TOC2"/>
            <w:tabs>
              <w:tab w:val="right" w:leader="dot" w:pos="8720"/>
            </w:tabs>
            <w:spacing w:line="440" w:lineRule="exact"/>
            <w:ind w:left="600"/>
            <w:rPr>
              <w:rFonts w:asciiTheme="minorHAnsi" w:eastAsiaTheme="minorEastAsia" w:hAnsiTheme="minorHAnsi" w:cstheme="minorBidi"/>
              <w:smallCaps w:val="0"/>
              <w:kern w:val="2"/>
              <w:sz w:val="21"/>
              <w:szCs w:val="22"/>
            </w:rPr>
          </w:pPr>
          <w:hyperlink w:anchor="_Toc93922399" w:history="1">
            <w:r w:rsidR="00BE6472">
              <w:rPr>
                <w:rStyle w:val="aff3"/>
                <w:rFonts w:ascii="黑体" w:eastAsia="黑体" w:hAnsi="黑体"/>
              </w:rPr>
              <w:t>参考文献</w:t>
            </w:r>
            <w:r w:rsidR="00BE6472">
              <w:rPr>
                <w:rFonts w:ascii="黑体" w:eastAsia="黑体" w:hAnsi="黑体"/>
              </w:rPr>
              <w:tab/>
            </w:r>
            <w:r w:rsidR="00BE6472">
              <w:rPr>
                <w:rFonts w:ascii="黑体" w:eastAsia="黑体" w:hAnsi="黑体"/>
              </w:rPr>
              <w:fldChar w:fldCharType="begin"/>
            </w:r>
            <w:r w:rsidR="00BE6472">
              <w:rPr>
                <w:rFonts w:ascii="黑体" w:eastAsia="黑体" w:hAnsi="黑体"/>
              </w:rPr>
              <w:instrText xml:space="preserve"> PAGEREF _Toc93922399 \h </w:instrText>
            </w:r>
            <w:r w:rsidR="00BE6472">
              <w:rPr>
                <w:rFonts w:ascii="黑体" w:eastAsia="黑体" w:hAnsi="黑体"/>
              </w:rPr>
            </w:r>
            <w:r w:rsidR="00BE6472">
              <w:rPr>
                <w:rFonts w:ascii="黑体" w:eastAsia="黑体" w:hAnsi="黑体"/>
              </w:rPr>
              <w:fldChar w:fldCharType="separate"/>
            </w:r>
            <w:r w:rsidR="00BE6472">
              <w:rPr>
                <w:rFonts w:ascii="黑体" w:eastAsia="黑体" w:hAnsi="黑体"/>
              </w:rPr>
              <w:t>74</w:t>
            </w:r>
            <w:r w:rsidR="00BE6472">
              <w:rPr>
                <w:rFonts w:ascii="黑体" w:eastAsia="黑体" w:hAnsi="黑体"/>
              </w:rPr>
              <w:fldChar w:fldCharType="end"/>
            </w:r>
          </w:hyperlink>
        </w:p>
        <w:p w14:paraId="116E3C02" w14:textId="77777777" w:rsidR="006B10D9" w:rsidRDefault="00BE6472">
          <w:pPr>
            <w:spacing w:line="440" w:lineRule="exact"/>
            <w:ind w:firstLine="602"/>
          </w:pPr>
          <w:r>
            <w:rPr>
              <w:b/>
              <w:bCs/>
              <w:lang w:val="zh-CN"/>
            </w:rPr>
            <w:fldChar w:fldCharType="end"/>
          </w:r>
        </w:p>
      </w:sdtContent>
    </w:sdt>
    <w:p w14:paraId="4D00C635" w14:textId="77777777" w:rsidR="006B10D9" w:rsidRDefault="006B10D9">
      <w:pPr>
        <w:pStyle w:val="TOC2"/>
        <w:spacing w:line="360" w:lineRule="auto"/>
        <w:ind w:left="600" w:firstLineChars="200" w:firstLine="480"/>
        <w:rPr>
          <w:rFonts w:eastAsia="仿宋"/>
        </w:rPr>
      </w:pPr>
    </w:p>
    <w:p w14:paraId="31C0C2E9" w14:textId="77777777" w:rsidR="006B10D9" w:rsidRDefault="006B10D9">
      <w:pPr>
        <w:spacing w:line="360" w:lineRule="auto"/>
        <w:ind w:firstLine="480"/>
        <w:rPr>
          <w:rFonts w:eastAsia="仿宋"/>
          <w:sz w:val="24"/>
          <w:szCs w:val="24"/>
        </w:rPr>
      </w:pPr>
    </w:p>
    <w:p w14:paraId="4B022E73" w14:textId="77777777" w:rsidR="006B10D9" w:rsidRDefault="006B10D9">
      <w:pPr>
        <w:pStyle w:val="1"/>
        <w:sectPr w:rsidR="006B10D9">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554" w:right="1588" w:bottom="1440" w:left="1588" w:header="1021" w:footer="992" w:gutter="0"/>
          <w:cols w:space="0"/>
          <w:docGrid w:linePitch="312"/>
        </w:sectPr>
      </w:pPr>
    </w:p>
    <w:p w14:paraId="2DBCC865" w14:textId="77777777" w:rsidR="006B10D9" w:rsidRDefault="006B10D9">
      <w:pPr>
        <w:pStyle w:val="afffb"/>
      </w:pPr>
    </w:p>
    <w:p w14:paraId="3E60A3A2" w14:textId="77777777" w:rsidR="006B10D9" w:rsidRDefault="00BE6472">
      <w:pPr>
        <w:spacing w:line="360" w:lineRule="auto"/>
        <w:ind w:firstLineChars="0" w:firstLine="0"/>
        <w:jc w:val="center"/>
        <w:rPr>
          <w:rFonts w:ascii="黑体" w:eastAsia="黑体" w:hAnsi="黑体"/>
          <w:sz w:val="36"/>
          <w:szCs w:val="36"/>
        </w:rPr>
      </w:pPr>
      <w:r>
        <w:rPr>
          <w:rFonts w:ascii="黑体" w:eastAsia="黑体" w:hAnsi="黑体" w:hint="eastAsia"/>
          <w:sz w:val="36"/>
          <w:szCs w:val="36"/>
        </w:rPr>
        <w:t>后疫情时代中国企业走出去投资和                 产业链供应链风险研究</w:t>
      </w:r>
    </w:p>
    <w:p w14:paraId="1C7248A2" w14:textId="77777777" w:rsidR="006B10D9" w:rsidRDefault="006B10D9">
      <w:pPr>
        <w:spacing w:line="360" w:lineRule="auto"/>
        <w:ind w:firstLine="482"/>
        <w:jc w:val="center"/>
        <w:rPr>
          <w:rFonts w:eastAsia="仿宋"/>
          <w:b/>
          <w:bCs/>
          <w:sz w:val="24"/>
          <w:szCs w:val="24"/>
        </w:rPr>
      </w:pPr>
    </w:p>
    <w:p w14:paraId="67592CF7" w14:textId="77777777" w:rsidR="006B10D9" w:rsidRDefault="00BE6472">
      <w:pPr>
        <w:pStyle w:val="afffa"/>
      </w:pPr>
      <w:r>
        <w:rPr>
          <w:rFonts w:hint="eastAsia"/>
        </w:rPr>
        <w:t>摘</w:t>
      </w:r>
      <w:r>
        <w:t xml:space="preserve">  </w:t>
      </w:r>
      <w:r>
        <w:rPr>
          <w:rFonts w:hint="eastAsia"/>
        </w:rPr>
        <w:t>要</w:t>
      </w:r>
    </w:p>
    <w:p w14:paraId="631EEFD2" w14:textId="77777777" w:rsidR="006B10D9" w:rsidRDefault="00BE6472">
      <w:pPr>
        <w:spacing w:line="360" w:lineRule="auto"/>
        <w:ind w:firstLine="480"/>
        <w:rPr>
          <w:rFonts w:eastAsia="楷体_GB2312"/>
          <w:sz w:val="24"/>
          <w:szCs w:val="24"/>
        </w:rPr>
      </w:pPr>
      <w:r>
        <w:rPr>
          <w:rFonts w:eastAsia="楷体_GB2312" w:hint="eastAsia"/>
          <w:sz w:val="24"/>
          <w:szCs w:val="24"/>
        </w:rPr>
        <w:t>新冠肺炎疫情自暴发以来，对世界经济产生严重冲击，</w:t>
      </w:r>
      <w:r>
        <w:rPr>
          <w:rFonts w:eastAsia="楷体_GB2312" w:hint="eastAsia"/>
          <w:sz w:val="24"/>
          <w:szCs w:val="24"/>
        </w:rPr>
        <w:t>2020</w:t>
      </w:r>
      <w:r>
        <w:rPr>
          <w:rFonts w:eastAsia="楷体_GB2312" w:hint="eastAsia"/>
          <w:sz w:val="24"/>
          <w:szCs w:val="24"/>
        </w:rPr>
        <w:t>年全球外国直接投资同比下降</w:t>
      </w:r>
      <w:r>
        <w:rPr>
          <w:rFonts w:eastAsia="楷体_GB2312" w:hint="eastAsia"/>
          <w:sz w:val="24"/>
          <w:szCs w:val="24"/>
        </w:rPr>
        <w:t>42%</w:t>
      </w:r>
      <w:r>
        <w:rPr>
          <w:rFonts w:eastAsia="楷体_GB2312" w:hint="eastAsia"/>
          <w:sz w:val="24"/>
          <w:szCs w:val="24"/>
        </w:rPr>
        <w:t>，中国对外直接投资却逆势上扬。在后疫情时代，中国企业对外直接投资面临一系列挑战，一方面，发达国家不断加强对中资企业的审查和监管力度，如美国、欧盟等纷纷强化外资审查工具箱；另一方面，疫情致使部分国家实施停工停产、禁航禁运等管制措施，产业链和供应链不确定性明显增加，对我境外投资企业的正常经营运转产生较大影响。本文通过构建后疫情时代中国企业海外投资区域风险评估模型，对</w:t>
      </w:r>
      <w:r>
        <w:rPr>
          <w:rFonts w:eastAsia="楷体_GB2312" w:hint="eastAsia"/>
          <w:sz w:val="24"/>
          <w:szCs w:val="24"/>
        </w:rPr>
        <w:t>2019</w:t>
      </w:r>
      <w:r>
        <w:rPr>
          <w:rFonts w:eastAsia="楷体_GB2312" w:hint="eastAsia"/>
          <w:sz w:val="24"/>
          <w:szCs w:val="24"/>
        </w:rPr>
        <w:t>年度和</w:t>
      </w:r>
      <w:r>
        <w:rPr>
          <w:rFonts w:eastAsia="楷体_GB2312" w:hint="eastAsia"/>
          <w:sz w:val="24"/>
          <w:szCs w:val="24"/>
        </w:rPr>
        <w:t>2020</w:t>
      </w:r>
      <w:r>
        <w:rPr>
          <w:rFonts w:eastAsia="楷体_GB2312" w:hint="eastAsia"/>
          <w:sz w:val="24"/>
          <w:szCs w:val="24"/>
        </w:rPr>
        <w:t>年度全球</w:t>
      </w:r>
      <w:r>
        <w:rPr>
          <w:rFonts w:eastAsia="楷体_GB2312" w:hint="eastAsia"/>
          <w:sz w:val="24"/>
          <w:szCs w:val="24"/>
        </w:rPr>
        <w:t>104</w:t>
      </w:r>
      <w:r>
        <w:rPr>
          <w:rFonts w:eastAsia="楷体_GB2312" w:hint="eastAsia"/>
          <w:sz w:val="24"/>
          <w:szCs w:val="24"/>
        </w:rPr>
        <w:t>个国家进行了国别综合风险测算和对比，对疫情暴发后经济风险、债务风险、社会风险的变化予以重点关注。在此基础上，本文对我国对外直接投资的重点区域美国、欧盟、东盟进行了定性定量相结合的分析，认为要推动后疫情时代我国企业“走出去”行稳致远，提升中国对外投资质量和效益，实现对外投资高质量发展，应从风险规避、管控、缓释、共担和转移等维度做好“走出去”风险应对。</w:t>
      </w:r>
    </w:p>
    <w:p w14:paraId="34E3414D" w14:textId="77777777" w:rsidR="006B10D9" w:rsidRDefault="006B10D9">
      <w:pPr>
        <w:pStyle w:val="afffb"/>
      </w:pPr>
    </w:p>
    <w:p w14:paraId="0D4D0409" w14:textId="77777777" w:rsidR="006B10D9" w:rsidRDefault="00BE6472">
      <w:pPr>
        <w:pStyle w:val="2"/>
        <w:ind w:firstLine="480"/>
        <w:rPr>
          <w:b/>
        </w:rPr>
      </w:pPr>
      <w:bookmarkStart w:id="5" w:name="_Toc93846692"/>
      <w:bookmarkStart w:id="6" w:name="_Toc2755"/>
      <w:bookmarkStart w:id="7" w:name="_Toc93922376"/>
      <w:r>
        <w:t>一、中国企业对外投资和产业链供应链变化特点</w:t>
      </w:r>
      <w:bookmarkEnd w:id="5"/>
      <w:bookmarkEnd w:id="6"/>
      <w:bookmarkEnd w:id="7"/>
    </w:p>
    <w:p w14:paraId="5EA097AC"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对外投资（</w:t>
      </w:r>
      <w:r>
        <w:rPr>
          <w:rFonts w:eastAsia="宋体" w:cs="Times New Roman" w:hint="eastAsia"/>
          <w:sz w:val="24"/>
          <w:szCs w:val="24"/>
        </w:rPr>
        <w:t>Outward Foreign Investment</w:t>
      </w:r>
      <w:r>
        <w:rPr>
          <w:rFonts w:eastAsia="宋体" w:cs="Times New Roman" w:hint="eastAsia"/>
          <w:sz w:val="24"/>
          <w:szCs w:val="24"/>
        </w:rPr>
        <w:t>，简称</w:t>
      </w:r>
      <w:r>
        <w:rPr>
          <w:rFonts w:eastAsia="宋体" w:cs="Times New Roman" w:hint="eastAsia"/>
          <w:sz w:val="24"/>
          <w:szCs w:val="24"/>
        </w:rPr>
        <w:t>OFI</w:t>
      </w:r>
      <w:r>
        <w:rPr>
          <w:rFonts w:eastAsia="宋体" w:cs="Times New Roman" w:hint="eastAsia"/>
          <w:sz w:val="24"/>
          <w:szCs w:val="24"/>
        </w:rPr>
        <w:t>）也被称为国际投资或海外投资</w:t>
      </w:r>
      <w:r>
        <w:rPr>
          <w:rFonts w:eastAsia="宋体" w:cs="Times New Roman" w:hint="eastAsia"/>
          <w:sz w:val="24"/>
          <w:szCs w:val="24"/>
          <w:vertAlign w:val="superscript"/>
        </w:rPr>
        <w:t>[</w:t>
      </w:r>
      <w:r>
        <w:rPr>
          <w:rFonts w:eastAsia="宋体" w:cs="Times New Roman" w:hint="eastAsia"/>
          <w:sz w:val="24"/>
          <w:szCs w:val="24"/>
          <w:vertAlign w:val="superscript"/>
        </w:rPr>
        <w:footnoteReference w:id="1"/>
      </w:r>
      <w:r>
        <w:rPr>
          <w:rFonts w:eastAsia="宋体" w:cs="Times New Roman" w:hint="eastAsia"/>
          <w:sz w:val="24"/>
          <w:szCs w:val="24"/>
          <w:vertAlign w:val="superscript"/>
        </w:rPr>
        <w:t>]</w:t>
      </w:r>
      <w:r>
        <w:rPr>
          <w:rFonts w:eastAsia="宋体" w:cs="Times New Roman" w:hint="eastAsia"/>
          <w:sz w:val="24"/>
          <w:szCs w:val="24"/>
        </w:rPr>
        <w:t>。按对外投资的形式和性质划分，主要分为对外直接投资（</w:t>
      </w:r>
      <w:r>
        <w:rPr>
          <w:rFonts w:eastAsia="宋体" w:cs="Times New Roman" w:hint="eastAsia"/>
          <w:sz w:val="24"/>
          <w:szCs w:val="24"/>
        </w:rPr>
        <w:t>OFDI</w:t>
      </w:r>
      <w:r>
        <w:rPr>
          <w:rFonts w:eastAsia="宋体" w:cs="Times New Roman" w:hint="eastAsia"/>
          <w:sz w:val="24"/>
          <w:szCs w:val="24"/>
        </w:rPr>
        <w:t>）和间接投资（</w:t>
      </w:r>
      <w:r>
        <w:rPr>
          <w:rFonts w:eastAsia="宋体" w:cs="Times New Roman" w:hint="eastAsia"/>
          <w:sz w:val="24"/>
          <w:szCs w:val="24"/>
        </w:rPr>
        <w:t>OFII</w:t>
      </w:r>
      <w:r>
        <w:rPr>
          <w:rFonts w:eastAsia="宋体" w:cs="Times New Roman" w:hint="eastAsia"/>
          <w:sz w:val="24"/>
          <w:szCs w:val="24"/>
        </w:rPr>
        <w:t>）两类。本文中所指的对外投资以对外直接投资为主。根据国际货币基金组织（</w:t>
      </w:r>
      <w:r>
        <w:rPr>
          <w:rFonts w:eastAsia="宋体" w:cs="Times New Roman" w:hint="eastAsia"/>
          <w:sz w:val="24"/>
          <w:szCs w:val="24"/>
        </w:rPr>
        <w:t>IMF</w:t>
      </w:r>
      <w:r>
        <w:rPr>
          <w:rFonts w:eastAsia="宋体" w:cs="Times New Roman" w:hint="eastAsia"/>
          <w:sz w:val="24"/>
          <w:szCs w:val="24"/>
        </w:rPr>
        <w:t>）对</w:t>
      </w:r>
      <w:r>
        <w:rPr>
          <w:rFonts w:eastAsia="宋体" w:cs="Times New Roman" w:hint="eastAsia"/>
          <w:sz w:val="24"/>
          <w:szCs w:val="24"/>
        </w:rPr>
        <w:t>OFDI</w:t>
      </w:r>
      <w:r>
        <w:rPr>
          <w:rFonts w:eastAsia="宋体" w:cs="Times New Roman" w:hint="eastAsia"/>
          <w:sz w:val="24"/>
          <w:szCs w:val="24"/>
        </w:rPr>
        <w:t>的定义：对外直接投资是指一国投资者在本国以外的国家或地区所经营的企业中通过参与经营而拥有持续收益的一种投资，目的是为了对该企业的经营管理具有有效发言权。</w:t>
      </w:r>
    </w:p>
    <w:p w14:paraId="51E7897C"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早在党的十五届五中全会上，“走出去”战略就与西部大开发、城镇化和人才战</w:t>
      </w:r>
      <w:r>
        <w:rPr>
          <w:rFonts w:eastAsia="宋体" w:cs="Times New Roman" w:hint="eastAsia"/>
          <w:sz w:val="24"/>
          <w:szCs w:val="24"/>
        </w:rPr>
        <w:lastRenderedPageBreak/>
        <w:t>略被列为四大新战略</w:t>
      </w:r>
      <w:r>
        <w:rPr>
          <w:rFonts w:eastAsia="宋体" w:cs="Times New Roman" w:hint="eastAsia"/>
          <w:sz w:val="24"/>
          <w:szCs w:val="24"/>
          <w:vertAlign w:val="superscript"/>
        </w:rPr>
        <w:t>[</w:t>
      </w:r>
      <w:r>
        <w:rPr>
          <w:rFonts w:eastAsia="宋体" w:cs="Times New Roman" w:hint="eastAsia"/>
          <w:sz w:val="24"/>
          <w:szCs w:val="24"/>
          <w:vertAlign w:val="superscript"/>
        </w:rPr>
        <w:footnoteReference w:id="2"/>
      </w:r>
      <w:r>
        <w:rPr>
          <w:rFonts w:eastAsia="宋体" w:cs="Times New Roman" w:hint="eastAsia"/>
          <w:sz w:val="24"/>
          <w:szCs w:val="24"/>
          <w:vertAlign w:val="superscript"/>
        </w:rPr>
        <w:t>]</w:t>
      </w:r>
      <w:r>
        <w:rPr>
          <w:rFonts w:eastAsia="宋体" w:cs="Times New Roman" w:hint="eastAsia"/>
          <w:sz w:val="24"/>
          <w:szCs w:val="24"/>
        </w:rPr>
        <w:t>。党的十七大报告提出将“引进来”和“走出去”更好地结合起来，预示我国“走出去”和“引进来”双向开放格局向纵深发展。从图</w:t>
      </w:r>
      <w:r>
        <w:rPr>
          <w:rFonts w:eastAsia="宋体" w:cs="Times New Roman" w:hint="eastAsia"/>
          <w:sz w:val="24"/>
          <w:szCs w:val="24"/>
        </w:rPr>
        <w:t>1</w:t>
      </w:r>
      <w:r>
        <w:rPr>
          <w:rFonts w:eastAsia="宋体" w:cs="Times New Roman" w:hint="eastAsia"/>
          <w:sz w:val="24"/>
          <w:szCs w:val="24"/>
        </w:rPr>
        <w:t>可以看出，自</w:t>
      </w:r>
      <w:r>
        <w:rPr>
          <w:rFonts w:eastAsia="宋体" w:cs="Times New Roman" w:hint="eastAsia"/>
          <w:sz w:val="24"/>
          <w:szCs w:val="24"/>
        </w:rPr>
        <w:t>2003</w:t>
      </w:r>
      <w:r>
        <w:rPr>
          <w:rFonts w:eastAsia="宋体" w:cs="Times New Roman" w:hint="eastAsia"/>
          <w:sz w:val="24"/>
          <w:szCs w:val="24"/>
        </w:rPr>
        <w:t>年相关政府部门权威发布年度数据以来，我国对外直接投资实现了跨越式增长。</w:t>
      </w:r>
      <w:r>
        <w:rPr>
          <w:rFonts w:eastAsia="宋体" w:cs="Times New Roman" w:hint="eastAsia"/>
          <w:sz w:val="24"/>
          <w:szCs w:val="24"/>
        </w:rPr>
        <w:t>2002-2020</w:t>
      </w:r>
      <w:r>
        <w:rPr>
          <w:rFonts w:eastAsia="宋体" w:cs="Times New Roman" w:hint="eastAsia"/>
          <w:sz w:val="24"/>
          <w:szCs w:val="24"/>
        </w:rPr>
        <w:t>年，中国对外投资的年均增长速度高达</w:t>
      </w:r>
      <w:r>
        <w:rPr>
          <w:rFonts w:eastAsia="宋体" w:cs="Times New Roman" w:hint="eastAsia"/>
          <w:sz w:val="24"/>
          <w:szCs w:val="24"/>
        </w:rPr>
        <w:t>25.2%</w:t>
      </w:r>
      <w:r>
        <w:rPr>
          <w:rFonts w:eastAsia="宋体" w:cs="Times New Roman" w:hint="eastAsia"/>
          <w:sz w:val="24"/>
          <w:szCs w:val="24"/>
        </w:rPr>
        <w:t>，</w:t>
      </w:r>
      <w:r>
        <w:rPr>
          <w:rFonts w:eastAsia="宋体" w:cs="Times New Roman" w:hint="eastAsia"/>
          <w:sz w:val="24"/>
          <w:szCs w:val="24"/>
        </w:rPr>
        <w:t>2020</w:t>
      </w:r>
      <w:r>
        <w:rPr>
          <w:rFonts w:eastAsia="宋体" w:cs="Times New Roman" w:hint="eastAsia"/>
          <w:sz w:val="24"/>
          <w:szCs w:val="24"/>
        </w:rPr>
        <w:t>年对外投资流量是</w:t>
      </w:r>
      <w:r>
        <w:rPr>
          <w:rFonts w:eastAsia="宋体" w:cs="Times New Roman" w:hint="eastAsia"/>
          <w:sz w:val="24"/>
          <w:szCs w:val="24"/>
        </w:rPr>
        <w:t>2002</w:t>
      </w:r>
      <w:r>
        <w:rPr>
          <w:rFonts w:eastAsia="宋体" w:cs="Times New Roman" w:hint="eastAsia"/>
          <w:sz w:val="24"/>
          <w:szCs w:val="24"/>
        </w:rPr>
        <w:t>年的</w:t>
      </w:r>
      <w:r>
        <w:rPr>
          <w:rFonts w:eastAsia="宋体" w:cs="Times New Roman" w:hint="eastAsia"/>
          <w:sz w:val="24"/>
          <w:szCs w:val="24"/>
        </w:rPr>
        <w:t>57</w:t>
      </w:r>
      <w:r>
        <w:rPr>
          <w:rFonts w:eastAsia="宋体" w:cs="Times New Roman" w:hint="eastAsia"/>
          <w:sz w:val="24"/>
          <w:szCs w:val="24"/>
        </w:rPr>
        <w:t>倍。</w:t>
      </w:r>
    </w:p>
    <w:p w14:paraId="3A923862"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习近平总书记指出</w:t>
      </w:r>
      <w:r>
        <w:rPr>
          <w:rFonts w:eastAsia="宋体" w:cs="Times New Roman" w:hint="eastAsia"/>
          <w:sz w:val="24"/>
          <w:szCs w:val="24"/>
          <w:vertAlign w:val="superscript"/>
        </w:rPr>
        <w:t>[</w:t>
      </w:r>
      <w:r>
        <w:rPr>
          <w:rFonts w:eastAsia="宋体" w:cs="Times New Roman" w:hint="eastAsia"/>
          <w:sz w:val="24"/>
          <w:szCs w:val="24"/>
          <w:vertAlign w:val="superscript"/>
        </w:rPr>
        <w:footnoteReference w:id="3"/>
      </w:r>
      <w:r>
        <w:rPr>
          <w:rFonts w:eastAsia="宋体" w:cs="Times New Roman" w:hint="eastAsia"/>
          <w:sz w:val="24"/>
          <w:szCs w:val="24"/>
          <w:vertAlign w:val="superscript"/>
        </w:rPr>
        <w:t>]</w:t>
      </w:r>
      <w:r>
        <w:rPr>
          <w:rFonts w:eastAsia="宋体" w:cs="Times New Roman" w:hint="eastAsia"/>
          <w:sz w:val="24"/>
          <w:szCs w:val="24"/>
        </w:rPr>
        <w:t>，要统筹“走出去”和“引进来”，双向开放才能实现更好的利益融合。对外开放坚持引进来和走出去并重，是开放型经济发展到较高阶段的重要特征，也是更好统筹国际国内两个市场、两种资源，推动国内国际双循环相互促进的有效途径。</w:t>
      </w:r>
    </w:p>
    <w:p w14:paraId="1689D561" w14:textId="77777777" w:rsidR="006B10D9" w:rsidRDefault="00BE6472">
      <w:pPr>
        <w:spacing w:line="360" w:lineRule="auto"/>
        <w:ind w:firstLineChars="0" w:firstLine="0"/>
        <w:jc w:val="center"/>
        <w:rPr>
          <w:rFonts w:eastAsia="宋体" w:cs="Times New Roman"/>
          <w:bCs/>
          <w:sz w:val="28"/>
        </w:rPr>
      </w:pPr>
      <w:r>
        <w:rPr>
          <w:rFonts w:eastAsia="宋体" w:cs="Times New Roman"/>
          <w:bCs/>
          <w:noProof/>
          <w:sz w:val="28"/>
        </w:rPr>
        <w:drawing>
          <wp:inline distT="0" distB="0" distL="114300" distR="114300" wp14:anchorId="55C68B46" wp14:editId="3CD9D512">
            <wp:extent cx="5269230" cy="2580640"/>
            <wp:effectExtent l="0" t="0" r="3810" b="10160"/>
            <wp:docPr id="45716" name="图片 45716" descr="e6d0a39318cc66c348e94c4e946e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 name="图片 45716" descr="e6d0a39318cc66c348e94c4e946e1a2"/>
                    <pic:cNvPicPr>
                      <a:picLocks noChangeAspect="1"/>
                    </pic:cNvPicPr>
                  </pic:nvPicPr>
                  <pic:blipFill>
                    <a:blip r:embed="rId15"/>
                    <a:stretch>
                      <a:fillRect/>
                    </a:stretch>
                  </pic:blipFill>
                  <pic:spPr>
                    <a:xfrm>
                      <a:off x="0" y="0"/>
                      <a:ext cx="5269230" cy="2580640"/>
                    </a:xfrm>
                    <a:prstGeom prst="rect">
                      <a:avLst/>
                    </a:prstGeom>
                  </pic:spPr>
                </pic:pic>
              </a:graphicData>
            </a:graphic>
          </wp:inline>
        </w:drawing>
      </w:r>
    </w:p>
    <w:p w14:paraId="40CBB28B" w14:textId="77777777" w:rsidR="006B10D9" w:rsidRDefault="00BE6472">
      <w:pPr>
        <w:pStyle w:val="affb"/>
      </w:pPr>
      <w:r>
        <w:rPr>
          <w:rFonts w:hint="eastAsia"/>
        </w:rPr>
        <w:t>图</w:t>
      </w:r>
      <w:r>
        <w:rPr>
          <w:rFonts w:hint="eastAsia"/>
        </w:rPr>
        <w:t xml:space="preserve">1  2002-2020 </w:t>
      </w:r>
      <w:r>
        <w:rPr>
          <w:rFonts w:hint="eastAsia"/>
        </w:rPr>
        <w:t>年中国对外直接投资流量</w:t>
      </w:r>
    </w:p>
    <w:p w14:paraId="618D6333" w14:textId="77777777" w:rsidR="006B10D9" w:rsidRDefault="00BE6472">
      <w:pPr>
        <w:pStyle w:val="afffd"/>
        <w:rPr>
          <w:rFonts w:cs="Times New Roman"/>
          <w:sz w:val="28"/>
        </w:rPr>
      </w:pPr>
      <w:r>
        <w:rPr>
          <w:rFonts w:hint="eastAsia"/>
        </w:rPr>
        <w:t>资料来源：</w:t>
      </w:r>
      <w:r>
        <w:rPr>
          <w:rFonts w:hint="eastAsia"/>
        </w:rPr>
        <w:t>2020</w:t>
      </w:r>
      <w:r>
        <w:rPr>
          <w:rFonts w:hint="eastAsia"/>
        </w:rPr>
        <w:t>年度中国对外直接投资统计公报</w:t>
      </w:r>
    </w:p>
    <w:p w14:paraId="08237A2A" w14:textId="77777777" w:rsidR="006B10D9" w:rsidRDefault="00BE6472">
      <w:pPr>
        <w:pStyle w:val="3"/>
        <w:spacing w:before="120" w:after="240"/>
      </w:pPr>
      <w:bookmarkStart w:id="8" w:name="_Toc12359"/>
      <w:bookmarkStart w:id="9" w:name="_Toc93922377"/>
      <w:r>
        <w:rPr>
          <w:rFonts w:hint="eastAsia"/>
        </w:rPr>
        <w:t>（一）“十三五”时期我国对外直接投资概况</w:t>
      </w:r>
      <w:bookmarkEnd w:id="8"/>
      <w:bookmarkEnd w:id="9"/>
    </w:p>
    <w:p w14:paraId="5412608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“十三五”时期，我国对外投资合作快速发展，对外投资规模预计达</w:t>
      </w:r>
      <w:r>
        <w:rPr>
          <w:rFonts w:eastAsia="宋体" w:cs="Times New Roman" w:hint="eastAsia"/>
          <w:sz w:val="24"/>
          <w:szCs w:val="24"/>
        </w:rPr>
        <w:t>7881</w:t>
      </w:r>
      <w:r>
        <w:rPr>
          <w:rFonts w:eastAsia="宋体" w:cs="Times New Roman" w:hint="eastAsia"/>
          <w:sz w:val="24"/>
          <w:szCs w:val="24"/>
        </w:rPr>
        <w:t>亿美元，年均</w:t>
      </w:r>
      <w:r>
        <w:rPr>
          <w:rFonts w:eastAsia="宋体" w:cs="Times New Roman" w:hint="eastAsia"/>
          <w:sz w:val="24"/>
          <w:szCs w:val="24"/>
        </w:rPr>
        <w:t>1576</w:t>
      </w:r>
      <w:r>
        <w:rPr>
          <w:rFonts w:eastAsia="宋体" w:cs="Times New Roman" w:hint="eastAsia"/>
          <w:sz w:val="24"/>
          <w:szCs w:val="24"/>
        </w:rPr>
        <w:t>亿美元，稳居全球对外直接投资流量前三，为高质量共建“一带一路”、服务经济社会发展和国家大局作出了积极贡献。主要表现出如下特点：</w:t>
      </w:r>
    </w:p>
    <w:p w14:paraId="600E92AE" w14:textId="77777777" w:rsidR="006B10D9" w:rsidRDefault="00BE6472">
      <w:pPr>
        <w:pStyle w:val="4"/>
      </w:pPr>
      <w:bookmarkStart w:id="10" w:name="_Toc5524"/>
      <w:r>
        <w:rPr>
          <w:rFonts w:hint="eastAsia"/>
        </w:rPr>
        <w:t>1</w:t>
      </w:r>
      <w:r>
        <w:rPr>
          <w:rFonts w:cs="华文楷体" w:hint="eastAsia"/>
          <w:bCs/>
        </w:rPr>
        <w:t>.</w:t>
      </w:r>
      <w:r>
        <w:rPr>
          <w:rFonts w:hint="eastAsia"/>
        </w:rPr>
        <w:t>对外投资整体保持健康有序</w:t>
      </w:r>
      <w:bookmarkEnd w:id="10"/>
    </w:p>
    <w:p w14:paraId="2A1E036A"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1</w:t>
      </w:r>
      <w:r>
        <w:rPr>
          <w:rFonts w:eastAsia="宋体" w:cs="Times New Roman" w:hint="eastAsia"/>
          <w:sz w:val="24"/>
          <w:szCs w:val="24"/>
        </w:rPr>
        <w:t>）对外投资规模不断扩大</w:t>
      </w:r>
    </w:p>
    <w:p w14:paraId="5C75CA0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经过“十三五”时期的快速发展，我国已稳居对外投资大国前列，连续九年位列全球对外直接投资流量前三，全球占比保持稳定。截至</w:t>
      </w:r>
      <w:r>
        <w:rPr>
          <w:rFonts w:eastAsia="宋体" w:cs="Times New Roman" w:hint="eastAsia"/>
          <w:sz w:val="24"/>
          <w:szCs w:val="24"/>
        </w:rPr>
        <w:t>2020</w:t>
      </w:r>
      <w:r>
        <w:rPr>
          <w:rFonts w:eastAsia="宋体" w:cs="Times New Roman" w:hint="eastAsia"/>
          <w:sz w:val="24"/>
          <w:szCs w:val="24"/>
        </w:rPr>
        <w:t>年底，我国有</w:t>
      </w:r>
      <w:r>
        <w:rPr>
          <w:rFonts w:eastAsia="宋体" w:cs="Times New Roman" w:hint="eastAsia"/>
          <w:sz w:val="24"/>
          <w:szCs w:val="24"/>
        </w:rPr>
        <w:t>2.8</w:t>
      </w:r>
      <w:r>
        <w:rPr>
          <w:rFonts w:eastAsia="宋体" w:cs="Times New Roman" w:hint="eastAsia"/>
          <w:sz w:val="24"/>
          <w:szCs w:val="24"/>
        </w:rPr>
        <w:t>万家境内投资者在国（境）外设立对外直接投资企业</w:t>
      </w:r>
      <w:r>
        <w:rPr>
          <w:rFonts w:eastAsia="宋体" w:cs="Times New Roman" w:hint="eastAsia"/>
          <w:sz w:val="24"/>
          <w:szCs w:val="24"/>
        </w:rPr>
        <w:t>4.5</w:t>
      </w:r>
      <w:r>
        <w:rPr>
          <w:rFonts w:eastAsia="宋体" w:cs="Times New Roman" w:hint="eastAsia"/>
          <w:sz w:val="24"/>
          <w:szCs w:val="24"/>
        </w:rPr>
        <w:t>万家，分布在全球</w:t>
      </w:r>
      <w:r>
        <w:rPr>
          <w:rFonts w:eastAsia="宋体" w:cs="Times New Roman" w:hint="eastAsia"/>
          <w:sz w:val="24"/>
          <w:szCs w:val="24"/>
        </w:rPr>
        <w:t>189</w:t>
      </w:r>
      <w:r>
        <w:rPr>
          <w:rFonts w:eastAsia="宋体" w:cs="Times New Roman" w:hint="eastAsia"/>
          <w:sz w:val="24"/>
          <w:szCs w:val="24"/>
        </w:rPr>
        <w:t>个国家（地区）。</w:t>
      </w:r>
      <w:r>
        <w:rPr>
          <w:rFonts w:eastAsia="宋体" w:cs="Times New Roman" w:hint="eastAsia"/>
          <w:sz w:val="24"/>
          <w:szCs w:val="24"/>
        </w:rPr>
        <w:t>2020</w:t>
      </w:r>
      <w:r>
        <w:rPr>
          <w:rFonts w:eastAsia="宋体" w:cs="Times New Roman" w:hint="eastAsia"/>
          <w:sz w:val="24"/>
          <w:szCs w:val="24"/>
        </w:rPr>
        <w:t>年，我国对外直接投资流量为</w:t>
      </w:r>
      <w:r>
        <w:rPr>
          <w:rFonts w:eastAsia="宋体" w:cs="Times New Roman" w:hint="eastAsia"/>
          <w:sz w:val="24"/>
          <w:szCs w:val="24"/>
        </w:rPr>
        <w:t>1537.1</w:t>
      </w:r>
      <w:r>
        <w:rPr>
          <w:rFonts w:eastAsia="宋体" w:cs="Times New Roman" w:hint="eastAsia"/>
          <w:sz w:val="24"/>
          <w:szCs w:val="24"/>
        </w:rPr>
        <w:t>亿美元，存量超过</w:t>
      </w:r>
      <w:r>
        <w:rPr>
          <w:rFonts w:eastAsia="宋体" w:cs="Times New Roman" w:hint="eastAsia"/>
          <w:sz w:val="24"/>
          <w:szCs w:val="24"/>
        </w:rPr>
        <w:t>2.5</w:t>
      </w:r>
      <w:r>
        <w:rPr>
          <w:rFonts w:eastAsia="宋体" w:cs="Times New Roman" w:hint="eastAsia"/>
          <w:sz w:val="24"/>
          <w:szCs w:val="24"/>
        </w:rPr>
        <w:t>万亿美元，比</w:t>
      </w:r>
      <w:r>
        <w:rPr>
          <w:rFonts w:eastAsia="宋体" w:cs="Times New Roman" w:hint="eastAsia"/>
          <w:sz w:val="24"/>
          <w:szCs w:val="24"/>
        </w:rPr>
        <w:t>2015</w:t>
      </w:r>
      <w:r>
        <w:rPr>
          <w:rFonts w:eastAsia="宋体" w:cs="Times New Roman" w:hint="eastAsia"/>
          <w:sz w:val="24"/>
          <w:szCs w:val="24"/>
        </w:rPr>
        <w:t>年翻一番，分别占全球当年流量、存量的</w:t>
      </w:r>
      <w:r>
        <w:rPr>
          <w:rFonts w:eastAsia="宋体" w:cs="Times New Roman" w:hint="eastAsia"/>
          <w:sz w:val="24"/>
          <w:szCs w:val="24"/>
        </w:rPr>
        <w:t>20.2%</w:t>
      </w:r>
      <w:r>
        <w:rPr>
          <w:rFonts w:eastAsia="宋体" w:cs="Times New Roman" w:hint="eastAsia"/>
          <w:sz w:val="24"/>
          <w:szCs w:val="24"/>
        </w:rPr>
        <w:t>和</w:t>
      </w:r>
      <w:r>
        <w:rPr>
          <w:rFonts w:eastAsia="宋体" w:cs="Times New Roman" w:hint="eastAsia"/>
          <w:sz w:val="24"/>
          <w:szCs w:val="24"/>
        </w:rPr>
        <w:t>6.6%</w:t>
      </w:r>
      <w:r>
        <w:rPr>
          <w:rFonts w:eastAsia="宋体" w:cs="Times New Roman" w:hint="eastAsia"/>
          <w:sz w:val="24"/>
          <w:szCs w:val="24"/>
        </w:rPr>
        <w:t>，分列全球国家（地区）的第</w:t>
      </w:r>
      <w:r>
        <w:rPr>
          <w:rFonts w:eastAsia="宋体" w:cs="Times New Roman" w:hint="eastAsia"/>
          <w:sz w:val="24"/>
          <w:szCs w:val="24"/>
        </w:rPr>
        <w:t>1</w:t>
      </w:r>
      <w:r>
        <w:rPr>
          <w:rFonts w:eastAsia="宋体" w:cs="Times New Roman" w:hint="eastAsia"/>
          <w:sz w:val="24"/>
          <w:szCs w:val="24"/>
        </w:rPr>
        <w:t>和第</w:t>
      </w:r>
      <w:r>
        <w:rPr>
          <w:rFonts w:eastAsia="宋体" w:cs="Times New Roman" w:hint="eastAsia"/>
          <w:sz w:val="24"/>
          <w:szCs w:val="24"/>
        </w:rPr>
        <w:t>3</w:t>
      </w:r>
      <w:r>
        <w:rPr>
          <w:rFonts w:eastAsia="宋体" w:cs="Times New Roman" w:hint="eastAsia"/>
          <w:sz w:val="24"/>
          <w:szCs w:val="24"/>
        </w:rPr>
        <w:t>位，表明中国对外投资在全球外国直接投资中的影响力不断扩大。</w:t>
      </w:r>
    </w:p>
    <w:p w14:paraId="2DD55F0B" w14:textId="77777777" w:rsidR="006B10D9" w:rsidRDefault="00BE6472">
      <w:pPr>
        <w:spacing w:line="360" w:lineRule="auto"/>
        <w:ind w:firstLineChars="42" w:firstLine="118"/>
        <w:jc w:val="center"/>
        <w:rPr>
          <w:rFonts w:eastAsia="宋体" w:cs="Times New Roman"/>
          <w:bCs/>
          <w:sz w:val="28"/>
        </w:rPr>
      </w:pPr>
      <w:r>
        <w:rPr>
          <w:rFonts w:eastAsia="宋体" w:cs="Times New Roman" w:hint="eastAsia"/>
          <w:bCs/>
          <w:noProof/>
          <w:sz w:val="28"/>
        </w:rPr>
        <w:drawing>
          <wp:inline distT="0" distB="0" distL="114300" distR="114300" wp14:anchorId="0BCFE8D0" wp14:editId="42231BCD">
            <wp:extent cx="4552950" cy="2096135"/>
            <wp:effectExtent l="0" t="0" r="0" b="0"/>
            <wp:docPr id="45717" name="图片 45717" descr="2e080441f5221a050033b6ac11cc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7" name="图片 45717" descr="2e080441f5221a050033b6ac11cc04b"/>
                    <pic:cNvPicPr>
                      <a:picLocks noChangeAspect="1"/>
                    </pic:cNvPicPr>
                  </pic:nvPicPr>
                  <pic:blipFill>
                    <a:blip r:embed="rId16"/>
                    <a:srcRect l="1328" r="4707"/>
                    <a:stretch>
                      <a:fillRect/>
                    </a:stretch>
                  </pic:blipFill>
                  <pic:spPr>
                    <a:xfrm>
                      <a:off x="0" y="0"/>
                      <a:ext cx="4570830" cy="2104544"/>
                    </a:xfrm>
                    <a:prstGeom prst="rect">
                      <a:avLst/>
                    </a:prstGeom>
                    <a:ln>
                      <a:noFill/>
                    </a:ln>
                  </pic:spPr>
                </pic:pic>
              </a:graphicData>
            </a:graphic>
          </wp:inline>
        </w:drawing>
      </w:r>
    </w:p>
    <w:p w14:paraId="6DABE84F" w14:textId="77777777" w:rsidR="006B10D9" w:rsidRDefault="00BE6472">
      <w:pPr>
        <w:pStyle w:val="affb"/>
      </w:pPr>
      <w:r>
        <w:rPr>
          <w:rFonts w:hint="eastAsia"/>
        </w:rPr>
        <w:t>图</w:t>
      </w:r>
      <w:r>
        <w:rPr>
          <w:rFonts w:hint="eastAsia"/>
        </w:rPr>
        <w:t>2  2020</w:t>
      </w:r>
      <w:r>
        <w:rPr>
          <w:rFonts w:hint="eastAsia"/>
        </w:rPr>
        <w:t>年中国与全球主要国家（地区）对外投资流量对比</w:t>
      </w:r>
    </w:p>
    <w:p w14:paraId="76FC0B31" w14:textId="77777777" w:rsidR="006B10D9" w:rsidRDefault="00BE6472">
      <w:pPr>
        <w:pStyle w:val="afffd"/>
      </w:pPr>
      <w:r>
        <w:rPr>
          <w:rFonts w:hint="eastAsia"/>
        </w:rPr>
        <w:t>资料来源：</w:t>
      </w:r>
      <w:r>
        <w:rPr>
          <w:rFonts w:hint="eastAsia"/>
        </w:rPr>
        <w:t>2020</w:t>
      </w:r>
      <w:r>
        <w:rPr>
          <w:rFonts w:hint="eastAsia"/>
        </w:rPr>
        <w:t>年度中国对外直接投资统计公报</w:t>
      </w:r>
    </w:p>
    <w:p w14:paraId="3E46579A" w14:textId="77777777" w:rsidR="006B10D9" w:rsidRDefault="00BE6472">
      <w:pPr>
        <w:spacing w:line="360" w:lineRule="auto"/>
        <w:ind w:firstLineChars="42" w:firstLine="118"/>
        <w:jc w:val="center"/>
        <w:rPr>
          <w:rFonts w:eastAsia="宋体" w:cs="Times New Roman"/>
          <w:bCs/>
          <w:sz w:val="28"/>
        </w:rPr>
      </w:pPr>
      <w:r>
        <w:rPr>
          <w:rFonts w:eastAsia="宋体" w:cs="Times New Roman"/>
          <w:bCs/>
          <w:noProof/>
          <w:sz w:val="28"/>
        </w:rPr>
        <w:drawing>
          <wp:inline distT="0" distB="0" distL="114300" distR="114300" wp14:anchorId="57EE4FB4" wp14:editId="6C748A20">
            <wp:extent cx="4569460" cy="2828925"/>
            <wp:effectExtent l="0" t="0" r="2540" b="0"/>
            <wp:docPr id="45718" name="图片 45718" descr="9539094748a41bd1e07673897fa4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8" name="图片 45718" descr="9539094748a41bd1e07673897fa41e7"/>
                    <pic:cNvPicPr>
                      <a:picLocks noChangeAspect="1"/>
                    </pic:cNvPicPr>
                  </pic:nvPicPr>
                  <pic:blipFill>
                    <a:blip r:embed="rId17"/>
                    <a:stretch>
                      <a:fillRect/>
                    </a:stretch>
                  </pic:blipFill>
                  <pic:spPr>
                    <a:xfrm>
                      <a:off x="0" y="0"/>
                      <a:ext cx="4617918" cy="2858736"/>
                    </a:xfrm>
                    <a:prstGeom prst="rect">
                      <a:avLst/>
                    </a:prstGeom>
                  </pic:spPr>
                </pic:pic>
              </a:graphicData>
            </a:graphic>
          </wp:inline>
        </w:drawing>
      </w:r>
    </w:p>
    <w:p w14:paraId="2B9B9214" w14:textId="77777777" w:rsidR="006B10D9" w:rsidRDefault="00BE6472">
      <w:pPr>
        <w:pStyle w:val="affb"/>
      </w:pPr>
      <w:r>
        <w:rPr>
          <w:rFonts w:hint="eastAsia"/>
        </w:rPr>
        <w:t>图</w:t>
      </w:r>
      <w:r>
        <w:rPr>
          <w:rFonts w:hint="eastAsia"/>
        </w:rPr>
        <w:t>3  2020</w:t>
      </w:r>
      <w:r>
        <w:rPr>
          <w:rFonts w:hint="eastAsia"/>
        </w:rPr>
        <w:t>年中国与全球主要国家（地区）对外投资存量对比</w:t>
      </w:r>
    </w:p>
    <w:p w14:paraId="0A3FC8A9" w14:textId="77777777" w:rsidR="006B10D9" w:rsidRDefault="00BE6472">
      <w:pPr>
        <w:pStyle w:val="afffd"/>
      </w:pPr>
      <w:r>
        <w:rPr>
          <w:rFonts w:hint="eastAsia"/>
        </w:rPr>
        <w:t>资料来源：</w:t>
      </w:r>
      <w:r>
        <w:rPr>
          <w:rFonts w:hint="eastAsia"/>
        </w:rPr>
        <w:t>2020</w:t>
      </w:r>
      <w:r>
        <w:rPr>
          <w:rFonts w:hint="eastAsia"/>
        </w:rPr>
        <w:t>年度中国对外直接投资统计公报</w:t>
      </w:r>
    </w:p>
    <w:p w14:paraId="4C01A222"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2</w:t>
      </w:r>
      <w:r>
        <w:rPr>
          <w:rFonts w:eastAsia="宋体" w:cs="Times New Roman" w:hint="eastAsia"/>
          <w:sz w:val="24"/>
          <w:szCs w:val="24"/>
        </w:rPr>
        <w:t>）对外投资行业结构相对集中</w:t>
      </w:r>
    </w:p>
    <w:p w14:paraId="75B5C8A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“十三五”期间，我国对外直接投资覆盖了国民经济</w:t>
      </w:r>
      <w:r>
        <w:rPr>
          <w:rFonts w:eastAsia="宋体" w:cs="Times New Roman" w:hint="eastAsia"/>
          <w:sz w:val="24"/>
          <w:szCs w:val="24"/>
        </w:rPr>
        <w:t>18</w:t>
      </w:r>
      <w:r>
        <w:rPr>
          <w:rFonts w:eastAsia="宋体" w:cs="Times New Roman" w:hint="eastAsia"/>
          <w:sz w:val="24"/>
          <w:szCs w:val="24"/>
        </w:rPr>
        <w:t>个行业大类，其中，对重点行业投资实现较快增长，例如，</w:t>
      </w:r>
      <w:r>
        <w:rPr>
          <w:rFonts w:eastAsia="宋体" w:cs="Times New Roman" w:hint="eastAsia"/>
          <w:sz w:val="24"/>
          <w:szCs w:val="24"/>
        </w:rPr>
        <w:t>2020</w:t>
      </w:r>
      <w:r>
        <w:rPr>
          <w:rFonts w:eastAsia="宋体" w:cs="Times New Roman" w:hint="eastAsia"/>
          <w:sz w:val="24"/>
          <w:szCs w:val="24"/>
        </w:rPr>
        <w:t>年装备制造业、信息技术业、科研和技术服务业对外投资分别增长</w:t>
      </w:r>
      <w:r>
        <w:rPr>
          <w:rFonts w:eastAsia="宋体" w:cs="Times New Roman" w:hint="eastAsia"/>
          <w:sz w:val="24"/>
          <w:szCs w:val="24"/>
        </w:rPr>
        <w:t>21.9%</w:t>
      </w:r>
      <w:r>
        <w:rPr>
          <w:rFonts w:eastAsia="宋体" w:cs="Times New Roman" w:hint="eastAsia"/>
          <w:sz w:val="24"/>
          <w:szCs w:val="24"/>
        </w:rPr>
        <w:t>、</w:t>
      </w:r>
      <w:r>
        <w:rPr>
          <w:rFonts w:eastAsia="宋体" w:cs="Times New Roman" w:hint="eastAsia"/>
          <w:sz w:val="24"/>
          <w:szCs w:val="24"/>
        </w:rPr>
        <w:t>9.6%</w:t>
      </w:r>
      <w:r>
        <w:rPr>
          <w:rFonts w:eastAsia="宋体" w:cs="Times New Roman" w:hint="eastAsia"/>
          <w:sz w:val="24"/>
          <w:szCs w:val="24"/>
        </w:rPr>
        <w:t>和</w:t>
      </w:r>
      <w:r>
        <w:rPr>
          <w:rFonts w:eastAsia="宋体" w:cs="Times New Roman" w:hint="eastAsia"/>
          <w:sz w:val="24"/>
          <w:szCs w:val="24"/>
        </w:rPr>
        <w:t>18.1% </w:t>
      </w:r>
      <w:r>
        <w:rPr>
          <w:rFonts w:eastAsia="宋体" w:cs="Times New Roman" w:hint="eastAsia"/>
          <w:sz w:val="24"/>
          <w:szCs w:val="24"/>
          <w:vertAlign w:val="superscript"/>
        </w:rPr>
        <w:t>[</w:t>
      </w:r>
      <w:r>
        <w:rPr>
          <w:rFonts w:eastAsia="宋体" w:cs="Times New Roman" w:hint="eastAsia"/>
          <w:sz w:val="24"/>
          <w:szCs w:val="24"/>
          <w:vertAlign w:val="superscript"/>
        </w:rPr>
        <w:footnoteReference w:id="4"/>
      </w:r>
      <w:r>
        <w:rPr>
          <w:rFonts w:eastAsia="宋体" w:cs="Times New Roman" w:hint="eastAsia"/>
          <w:sz w:val="24"/>
          <w:szCs w:val="24"/>
          <w:vertAlign w:val="superscript"/>
        </w:rPr>
        <w:t>]</w:t>
      </w:r>
      <w:r>
        <w:rPr>
          <w:rFonts w:eastAsia="宋体" w:cs="Times New Roman" w:hint="eastAsia"/>
          <w:sz w:val="24"/>
          <w:szCs w:val="24"/>
        </w:rPr>
        <w:t>。</w:t>
      </w:r>
      <w:r>
        <w:rPr>
          <w:rFonts w:eastAsia="宋体" w:cs="Times New Roman" w:hint="eastAsia"/>
          <w:sz w:val="24"/>
          <w:szCs w:val="24"/>
        </w:rPr>
        <w:t>2020</w:t>
      </w:r>
      <w:r>
        <w:rPr>
          <w:rFonts w:eastAsia="宋体" w:cs="Times New Roman" w:hint="eastAsia"/>
          <w:sz w:val="24"/>
          <w:szCs w:val="24"/>
        </w:rPr>
        <w:t>年，对外投资中流向租赁和商务服务（</w:t>
      </w:r>
      <w:r>
        <w:rPr>
          <w:rFonts w:eastAsia="宋体" w:cs="Times New Roman" w:hint="eastAsia"/>
          <w:sz w:val="24"/>
          <w:szCs w:val="24"/>
        </w:rPr>
        <w:t>387.2</w:t>
      </w:r>
      <w:r>
        <w:rPr>
          <w:rFonts w:eastAsia="宋体" w:cs="Times New Roman" w:hint="eastAsia"/>
          <w:sz w:val="24"/>
          <w:szCs w:val="24"/>
        </w:rPr>
        <w:t>亿美元）、制造业（</w:t>
      </w:r>
      <w:r>
        <w:rPr>
          <w:rFonts w:eastAsia="宋体" w:cs="Times New Roman" w:hint="eastAsia"/>
          <w:sz w:val="24"/>
          <w:szCs w:val="24"/>
        </w:rPr>
        <w:t>258.4</w:t>
      </w:r>
      <w:r>
        <w:rPr>
          <w:rFonts w:eastAsia="宋体" w:cs="Times New Roman" w:hint="eastAsia"/>
          <w:sz w:val="24"/>
          <w:szCs w:val="24"/>
        </w:rPr>
        <w:t>亿美元）、金融（</w:t>
      </w:r>
      <w:r>
        <w:rPr>
          <w:rFonts w:eastAsia="宋体" w:cs="Times New Roman" w:hint="eastAsia"/>
          <w:sz w:val="24"/>
          <w:szCs w:val="24"/>
        </w:rPr>
        <w:t>196.6</w:t>
      </w:r>
      <w:r>
        <w:rPr>
          <w:rFonts w:eastAsia="宋体" w:cs="Times New Roman" w:hint="eastAsia"/>
          <w:sz w:val="24"/>
          <w:szCs w:val="24"/>
        </w:rPr>
        <w:t>亿美元）、批发和零售业（</w:t>
      </w:r>
      <w:r>
        <w:rPr>
          <w:rFonts w:eastAsia="宋体" w:cs="Times New Roman" w:hint="eastAsia"/>
          <w:sz w:val="24"/>
          <w:szCs w:val="24"/>
        </w:rPr>
        <w:t>230</w:t>
      </w:r>
      <w:r>
        <w:rPr>
          <w:rFonts w:eastAsia="宋体" w:cs="Times New Roman" w:hint="eastAsia"/>
          <w:sz w:val="24"/>
          <w:szCs w:val="24"/>
        </w:rPr>
        <w:t>亿美元）的投资均超过百亿美元，表明对外投资中服务业引领的趋势较为明显。</w:t>
      </w:r>
    </w:p>
    <w:p w14:paraId="59E02B8D"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）对外投资区位分布广泛</w:t>
      </w:r>
    </w:p>
    <w:p w14:paraId="07F39B9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“十三五”时期，我国对外直接投资遍布六大洲</w:t>
      </w:r>
      <w:r>
        <w:rPr>
          <w:rFonts w:eastAsia="宋体" w:cs="Times New Roman" w:hint="eastAsia"/>
          <w:sz w:val="24"/>
          <w:szCs w:val="24"/>
        </w:rPr>
        <w:t>189</w:t>
      </w:r>
      <w:r>
        <w:rPr>
          <w:rFonts w:eastAsia="宋体" w:cs="Times New Roman" w:hint="eastAsia"/>
          <w:sz w:val="24"/>
          <w:szCs w:val="24"/>
        </w:rPr>
        <w:t>个国家（地区），投资流向主要集中在亚洲、欧洲、美洲地区。</w:t>
      </w:r>
      <w:r>
        <w:rPr>
          <w:rFonts w:eastAsia="宋体" w:cs="Times New Roman" w:hint="eastAsia"/>
          <w:sz w:val="24"/>
          <w:szCs w:val="24"/>
        </w:rPr>
        <w:t>2020</w:t>
      </w:r>
      <w:r>
        <w:rPr>
          <w:rFonts w:eastAsia="宋体" w:cs="Times New Roman" w:hint="eastAsia"/>
          <w:sz w:val="24"/>
          <w:szCs w:val="24"/>
        </w:rPr>
        <w:t>年，流向亚洲的投资（</w:t>
      </w:r>
      <w:r>
        <w:rPr>
          <w:rFonts w:eastAsia="宋体" w:cs="Times New Roman" w:hint="eastAsia"/>
          <w:sz w:val="24"/>
          <w:szCs w:val="24"/>
        </w:rPr>
        <w:t>1123.4</w:t>
      </w:r>
      <w:r>
        <w:rPr>
          <w:rFonts w:eastAsia="宋体" w:cs="Times New Roman" w:hint="eastAsia"/>
          <w:sz w:val="24"/>
          <w:szCs w:val="24"/>
        </w:rPr>
        <w:t>亿美元）占到</w:t>
      </w:r>
      <w:r>
        <w:rPr>
          <w:rFonts w:eastAsia="宋体" w:cs="Times New Roman" w:hint="eastAsia"/>
          <w:sz w:val="24"/>
          <w:szCs w:val="24"/>
        </w:rPr>
        <w:t>2020</w:t>
      </w:r>
      <w:r>
        <w:rPr>
          <w:rFonts w:eastAsia="宋体" w:cs="Times New Roman" w:hint="eastAsia"/>
          <w:sz w:val="24"/>
          <w:szCs w:val="24"/>
        </w:rPr>
        <w:t>年对外直接投资流量的</w:t>
      </w:r>
      <w:r>
        <w:rPr>
          <w:rFonts w:eastAsia="宋体" w:cs="Times New Roman" w:hint="eastAsia"/>
          <w:sz w:val="24"/>
          <w:szCs w:val="24"/>
        </w:rPr>
        <w:t>73.1%</w:t>
      </w:r>
      <w:r>
        <w:rPr>
          <w:rFonts w:eastAsia="宋体" w:cs="Times New Roman" w:hint="eastAsia"/>
          <w:sz w:val="24"/>
          <w:szCs w:val="24"/>
        </w:rPr>
        <w:t>；流向欧洲的投资（</w:t>
      </w:r>
      <w:r>
        <w:rPr>
          <w:rFonts w:eastAsia="宋体" w:cs="Times New Roman" w:hint="eastAsia"/>
          <w:sz w:val="24"/>
          <w:szCs w:val="24"/>
        </w:rPr>
        <w:t>126.9</w:t>
      </w:r>
      <w:r>
        <w:rPr>
          <w:rFonts w:eastAsia="宋体" w:cs="Times New Roman" w:hint="eastAsia"/>
          <w:sz w:val="24"/>
          <w:szCs w:val="24"/>
        </w:rPr>
        <w:t>亿美元）同比增长</w:t>
      </w:r>
      <w:r>
        <w:rPr>
          <w:rFonts w:eastAsia="宋体" w:cs="Times New Roman" w:hint="eastAsia"/>
          <w:sz w:val="24"/>
          <w:szCs w:val="24"/>
        </w:rPr>
        <w:t>20.6%</w:t>
      </w:r>
      <w:r>
        <w:rPr>
          <w:rFonts w:eastAsia="宋体" w:cs="Times New Roman" w:hint="eastAsia"/>
          <w:sz w:val="24"/>
          <w:szCs w:val="24"/>
        </w:rPr>
        <w:t>，占当年对外直接投资流量的</w:t>
      </w:r>
      <w:r>
        <w:rPr>
          <w:rFonts w:eastAsia="宋体" w:cs="Times New Roman" w:hint="eastAsia"/>
          <w:sz w:val="24"/>
          <w:szCs w:val="24"/>
        </w:rPr>
        <w:t>8.3%</w:t>
      </w:r>
      <w:r>
        <w:rPr>
          <w:rFonts w:eastAsia="宋体" w:cs="Times New Roman" w:hint="eastAsia"/>
          <w:sz w:val="24"/>
          <w:szCs w:val="24"/>
        </w:rPr>
        <w:t>。除流向大洋洲的投资减少三成外，对其他地区的投资均呈不同程度增长。</w:t>
      </w:r>
    </w:p>
    <w:p w14:paraId="27A3A6E6" w14:textId="77777777" w:rsidR="006B10D9" w:rsidRDefault="00BE6472">
      <w:pPr>
        <w:spacing w:line="360" w:lineRule="auto"/>
        <w:ind w:firstLineChars="0" w:firstLine="0"/>
        <w:jc w:val="center"/>
        <w:rPr>
          <w:rFonts w:eastAsia="宋体" w:cs="Times New Roman"/>
          <w:bCs/>
          <w:sz w:val="28"/>
        </w:rPr>
      </w:pPr>
      <w:r>
        <w:rPr>
          <w:rFonts w:eastAsia="宋体" w:cs="Times New Roman"/>
          <w:bCs/>
          <w:noProof/>
          <w:sz w:val="28"/>
        </w:rPr>
        <w:drawing>
          <wp:inline distT="0" distB="0" distL="114300" distR="114300" wp14:anchorId="4DE3D061" wp14:editId="37BE02AA">
            <wp:extent cx="5269865" cy="2787650"/>
            <wp:effectExtent l="0" t="0" r="3175" b="1270"/>
            <wp:docPr id="45719" name="图片 45719" descr="129265b5bd95b18f7586f4220aa1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9" name="图片 45719" descr="129265b5bd95b18f7586f4220aa130c"/>
                    <pic:cNvPicPr>
                      <a:picLocks noChangeAspect="1"/>
                    </pic:cNvPicPr>
                  </pic:nvPicPr>
                  <pic:blipFill>
                    <a:blip r:embed="rId18"/>
                    <a:stretch>
                      <a:fillRect/>
                    </a:stretch>
                  </pic:blipFill>
                  <pic:spPr>
                    <a:xfrm>
                      <a:off x="0" y="0"/>
                      <a:ext cx="5269865" cy="2787650"/>
                    </a:xfrm>
                    <a:prstGeom prst="rect">
                      <a:avLst/>
                    </a:prstGeom>
                  </pic:spPr>
                </pic:pic>
              </a:graphicData>
            </a:graphic>
          </wp:inline>
        </w:drawing>
      </w:r>
    </w:p>
    <w:p w14:paraId="4C469940" w14:textId="77777777" w:rsidR="006B10D9" w:rsidRDefault="00BE6472">
      <w:pPr>
        <w:pStyle w:val="affb"/>
      </w:pPr>
      <w:r>
        <w:rPr>
          <w:rFonts w:hint="eastAsia"/>
        </w:rPr>
        <w:t>图</w:t>
      </w:r>
      <w:r>
        <w:rPr>
          <w:rFonts w:hint="eastAsia"/>
        </w:rPr>
        <w:t>4  2020</w:t>
      </w:r>
      <w:r>
        <w:rPr>
          <w:rFonts w:hint="eastAsia"/>
        </w:rPr>
        <w:t>年中国对外直接投资流量地区分布（单位：亿美元）</w:t>
      </w:r>
    </w:p>
    <w:p w14:paraId="4B7201F8" w14:textId="77777777" w:rsidR="006B10D9" w:rsidRDefault="00BE6472">
      <w:pPr>
        <w:pStyle w:val="afffd"/>
      </w:pPr>
      <w:r>
        <w:rPr>
          <w:rFonts w:hint="eastAsia"/>
        </w:rPr>
        <w:t>资料来源：</w:t>
      </w:r>
      <w:r>
        <w:rPr>
          <w:rFonts w:hint="eastAsia"/>
        </w:rPr>
        <w:t>2020</w:t>
      </w:r>
      <w:r>
        <w:rPr>
          <w:rFonts w:hint="eastAsia"/>
        </w:rPr>
        <w:t>年度中国对外直接投资统计公报</w:t>
      </w:r>
    </w:p>
    <w:p w14:paraId="6FC2592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从国家（地区）分布来看，“十三五”期间我国对外投资的国别（地区）集中度依然较高，投资存量和流量主要集中在中国香港地区、开曼群岛、英属维尔京群岛等。</w:t>
      </w:r>
      <w:r>
        <w:rPr>
          <w:rFonts w:eastAsia="宋体" w:cs="Times New Roman" w:hint="eastAsia"/>
          <w:sz w:val="24"/>
          <w:szCs w:val="24"/>
        </w:rPr>
        <w:lastRenderedPageBreak/>
        <w:t>例如，截止</w:t>
      </w:r>
      <w:r>
        <w:rPr>
          <w:rFonts w:eastAsia="宋体" w:cs="Times New Roman" w:hint="eastAsia"/>
          <w:sz w:val="24"/>
          <w:szCs w:val="24"/>
        </w:rPr>
        <w:t>2020</w:t>
      </w:r>
      <w:r>
        <w:rPr>
          <w:rFonts w:eastAsia="宋体" w:cs="Times New Roman" w:hint="eastAsia"/>
          <w:sz w:val="24"/>
          <w:szCs w:val="24"/>
        </w:rPr>
        <w:t>年末，对中国香港的直接投资存量达到</w:t>
      </w:r>
      <w:r>
        <w:rPr>
          <w:rFonts w:eastAsia="宋体" w:cs="Times New Roman" w:hint="eastAsia"/>
          <w:sz w:val="24"/>
          <w:szCs w:val="24"/>
        </w:rPr>
        <w:t>1.44</w:t>
      </w:r>
      <w:r>
        <w:rPr>
          <w:rFonts w:eastAsia="宋体" w:cs="Times New Roman" w:hint="eastAsia"/>
          <w:sz w:val="24"/>
          <w:szCs w:val="24"/>
        </w:rPr>
        <w:t>万亿美元，占我国对外投资存量的</w:t>
      </w:r>
      <w:r>
        <w:rPr>
          <w:rFonts w:eastAsia="宋体" w:cs="Times New Roman" w:hint="eastAsia"/>
          <w:sz w:val="24"/>
          <w:szCs w:val="24"/>
        </w:rPr>
        <w:t>55.7%</w:t>
      </w:r>
      <w:r>
        <w:rPr>
          <w:rFonts w:eastAsia="宋体" w:cs="Times New Roman" w:hint="eastAsia"/>
          <w:sz w:val="24"/>
          <w:szCs w:val="24"/>
        </w:rPr>
        <w:t>。投资流向高度集中于一些具有特殊政策的“避税天堂”，说明多数企业对外投资的主要目的是避税，也在一定程度上掩盖了对外投资区位分布和投资流向的真实情况</w:t>
      </w:r>
      <w:r>
        <w:rPr>
          <w:rFonts w:eastAsia="宋体" w:cs="Times New Roman" w:hint="eastAsia"/>
          <w:bCs/>
          <w:sz w:val="24"/>
          <w:vertAlign w:val="superscript"/>
        </w:rPr>
        <w:t>[</w:t>
      </w:r>
      <w:r>
        <w:rPr>
          <w:rFonts w:eastAsia="宋体" w:cs="Times New Roman" w:hint="eastAsia"/>
          <w:bCs/>
          <w:sz w:val="24"/>
          <w:vertAlign w:val="superscript"/>
        </w:rPr>
        <w:footnoteReference w:id="5"/>
      </w:r>
      <w:r>
        <w:rPr>
          <w:rFonts w:eastAsia="宋体" w:cs="Times New Roman" w:hint="eastAsia"/>
          <w:bCs/>
          <w:sz w:val="24"/>
          <w:vertAlign w:val="superscript"/>
        </w:rPr>
        <w:t>]</w:t>
      </w:r>
      <w:r>
        <w:rPr>
          <w:rFonts w:eastAsia="宋体" w:cs="Times New Roman" w:hint="eastAsia"/>
          <w:sz w:val="24"/>
          <w:szCs w:val="24"/>
        </w:rPr>
        <w:t>。</w:t>
      </w:r>
    </w:p>
    <w:p w14:paraId="0DE28FF3"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4</w:t>
      </w:r>
      <w:r>
        <w:rPr>
          <w:rFonts w:eastAsia="宋体" w:cs="Times New Roman" w:hint="eastAsia"/>
          <w:sz w:val="24"/>
          <w:szCs w:val="24"/>
        </w:rPr>
        <w:t>）对“一带一路”沿线国家投资稳步增长</w:t>
      </w:r>
    </w:p>
    <w:p w14:paraId="47B9170C" w14:textId="77777777" w:rsidR="006B10D9" w:rsidRDefault="00BE6472">
      <w:pPr>
        <w:spacing w:line="360" w:lineRule="auto"/>
        <w:ind w:firstLine="480"/>
        <w:rPr>
          <w:rFonts w:eastAsia="宋体" w:cs="Times New Roman"/>
          <w:bCs/>
          <w:sz w:val="28"/>
        </w:rPr>
      </w:pPr>
      <w:r>
        <w:rPr>
          <w:rFonts w:eastAsia="宋体" w:cs="Times New Roman" w:hint="eastAsia"/>
          <w:sz w:val="24"/>
          <w:szCs w:val="24"/>
        </w:rPr>
        <w:t>“十三五”期间，我国对“一带一路”沿线国家投资合作稳步增长，累计投资规模超过</w:t>
      </w:r>
      <w:r>
        <w:rPr>
          <w:rFonts w:eastAsia="宋体" w:cs="Times New Roman" w:hint="eastAsia"/>
          <w:sz w:val="24"/>
          <w:szCs w:val="24"/>
        </w:rPr>
        <w:t>900</w:t>
      </w:r>
      <w:r>
        <w:rPr>
          <w:rFonts w:eastAsia="宋体" w:cs="Times New Roman" w:hint="eastAsia"/>
          <w:sz w:val="24"/>
          <w:szCs w:val="24"/>
        </w:rPr>
        <w:t>亿美元，对外承包工程新签合同额约</w:t>
      </w:r>
      <w:r>
        <w:rPr>
          <w:rFonts w:eastAsia="宋体" w:cs="Times New Roman" w:hint="eastAsia"/>
          <w:sz w:val="24"/>
          <w:szCs w:val="24"/>
        </w:rPr>
        <w:t>6700</w:t>
      </w:r>
      <w:r>
        <w:rPr>
          <w:rFonts w:eastAsia="宋体" w:cs="Times New Roman" w:hint="eastAsia"/>
          <w:sz w:val="24"/>
          <w:szCs w:val="24"/>
        </w:rPr>
        <w:t>亿美元。仅</w:t>
      </w:r>
      <w:r>
        <w:rPr>
          <w:rFonts w:eastAsia="宋体" w:cs="Times New Roman" w:hint="eastAsia"/>
          <w:sz w:val="24"/>
          <w:szCs w:val="24"/>
        </w:rPr>
        <w:t>2020</w:t>
      </w:r>
      <w:r>
        <w:rPr>
          <w:rFonts w:eastAsia="宋体" w:cs="Times New Roman" w:hint="eastAsia"/>
          <w:sz w:val="24"/>
          <w:szCs w:val="24"/>
        </w:rPr>
        <w:t>年，我国在“一带一路”沿线</w:t>
      </w:r>
      <w:r>
        <w:rPr>
          <w:rFonts w:eastAsia="宋体" w:cs="Times New Roman" w:hint="eastAsia"/>
          <w:sz w:val="24"/>
          <w:szCs w:val="24"/>
        </w:rPr>
        <w:t>63</w:t>
      </w:r>
      <w:r>
        <w:rPr>
          <w:rFonts w:eastAsia="宋体" w:cs="Times New Roman" w:hint="eastAsia"/>
          <w:sz w:val="24"/>
          <w:szCs w:val="24"/>
        </w:rPr>
        <w:t>个国家便设立境外企业近</w:t>
      </w:r>
      <w:r>
        <w:rPr>
          <w:rFonts w:eastAsia="宋体" w:cs="Times New Roman" w:hint="eastAsia"/>
          <w:sz w:val="24"/>
          <w:szCs w:val="24"/>
        </w:rPr>
        <w:t>1.1</w:t>
      </w:r>
      <w:r>
        <w:rPr>
          <w:rFonts w:eastAsia="宋体" w:cs="Times New Roman" w:hint="eastAsia"/>
          <w:sz w:val="24"/>
          <w:szCs w:val="24"/>
        </w:rPr>
        <w:t>万家，实现直接投资</w:t>
      </w:r>
      <w:r>
        <w:rPr>
          <w:rFonts w:eastAsia="宋体" w:cs="Times New Roman" w:hint="eastAsia"/>
          <w:sz w:val="24"/>
          <w:szCs w:val="24"/>
        </w:rPr>
        <w:t>225.4</w:t>
      </w:r>
      <w:r>
        <w:rPr>
          <w:rFonts w:eastAsia="宋体" w:cs="Times New Roman" w:hint="eastAsia"/>
          <w:sz w:val="24"/>
          <w:szCs w:val="24"/>
        </w:rPr>
        <w:t>亿美元，同比增长</w:t>
      </w:r>
      <w:r>
        <w:rPr>
          <w:rFonts w:eastAsia="宋体" w:cs="Times New Roman" w:hint="eastAsia"/>
          <w:sz w:val="24"/>
          <w:szCs w:val="24"/>
        </w:rPr>
        <w:t>20.6%</w:t>
      </w:r>
      <w:r>
        <w:rPr>
          <w:rFonts w:eastAsia="宋体" w:cs="Times New Roman" w:hint="eastAsia"/>
          <w:sz w:val="24"/>
          <w:szCs w:val="24"/>
        </w:rPr>
        <w:t>，占同期我国对外直接投资流量的</w:t>
      </w:r>
      <w:r>
        <w:rPr>
          <w:rFonts w:eastAsia="宋体" w:cs="Times New Roman" w:hint="eastAsia"/>
          <w:sz w:val="24"/>
          <w:szCs w:val="24"/>
        </w:rPr>
        <w:t>14.7%</w:t>
      </w:r>
      <w:r>
        <w:rPr>
          <w:rFonts w:eastAsia="宋体" w:cs="Times New Roman" w:hint="eastAsia"/>
          <w:sz w:val="24"/>
          <w:szCs w:val="24"/>
        </w:rPr>
        <w:t>。从行业构成来看，</w:t>
      </w:r>
      <w:r>
        <w:rPr>
          <w:rFonts w:eastAsia="宋体" w:cs="Times New Roman" w:hint="eastAsia"/>
          <w:sz w:val="24"/>
          <w:szCs w:val="24"/>
        </w:rPr>
        <w:t>2020</w:t>
      </w:r>
      <w:r>
        <w:rPr>
          <w:rFonts w:eastAsia="宋体" w:cs="Times New Roman" w:hint="eastAsia"/>
          <w:sz w:val="24"/>
          <w:szCs w:val="24"/>
        </w:rPr>
        <w:t>年对外直接投资以流向制造业、批发和零售业、建筑业、金融业、科学研究和技术服务业为主；在沿线国家承包工程完成营业额</w:t>
      </w:r>
      <w:r>
        <w:rPr>
          <w:rFonts w:eastAsia="宋体" w:cs="Times New Roman" w:hint="eastAsia"/>
          <w:sz w:val="24"/>
          <w:szCs w:val="24"/>
        </w:rPr>
        <w:t>911.2</w:t>
      </w:r>
      <w:r>
        <w:rPr>
          <w:rFonts w:eastAsia="宋体" w:cs="Times New Roman" w:hint="eastAsia"/>
          <w:sz w:val="24"/>
          <w:szCs w:val="24"/>
        </w:rPr>
        <w:t>亿美元，占全国对外承包工程的</w:t>
      </w:r>
      <w:r>
        <w:rPr>
          <w:rFonts w:eastAsia="宋体" w:cs="Times New Roman" w:hint="eastAsia"/>
          <w:sz w:val="24"/>
          <w:szCs w:val="24"/>
        </w:rPr>
        <w:t>58.4%</w:t>
      </w:r>
      <w:r>
        <w:rPr>
          <w:rFonts w:eastAsia="宋体" w:cs="Times New Roman" w:hint="eastAsia"/>
          <w:sz w:val="24"/>
          <w:szCs w:val="24"/>
        </w:rPr>
        <w:t>；从国别构成来看，主要流向新加坡、印尼、越南、泰国、阿联酋、马来西亚等国家。其中，我国对“一带一路”沿线国家非金融类直接投资</w:t>
      </w:r>
      <w:r>
        <w:rPr>
          <w:rFonts w:eastAsia="宋体" w:cs="Times New Roman" w:hint="eastAsia"/>
          <w:sz w:val="24"/>
          <w:szCs w:val="24"/>
        </w:rPr>
        <w:t>177.9</w:t>
      </w:r>
      <w:r>
        <w:rPr>
          <w:rFonts w:eastAsia="宋体" w:cs="Times New Roman" w:hint="eastAsia"/>
          <w:sz w:val="24"/>
          <w:szCs w:val="24"/>
        </w:rPr>
        <w:t>亿美元，同比增长</w:t>
      </w:r>
      <w:r>
        <w:rPr>
          <w:rFonts w:eastAsia="宋体" w:cs="Times New Roman" w:hint="eastAsia"/>
          <w:sz w:val="24"/>
          <w:szCs w:val="24"/>
        </w:rPr>
        <w:t>18.3%</w:t>
      </w:r>
      <w:r>
        <w:rPr>
          <w:rFonts w:eastAsia="宋体" w:cs="Times New Roman" w:hint="eastAsia"/>
          <w:sz w:val="24"/>
          <w:szCs w:val="24"/>
        </w:rPr>
        <w:t>，占全国对外投资比重上升到</w:t>
      </w:r>
      <w:r>
        <w:rPr>
          <w:rFonts w:eastAsia="宋体" w:cs="Times New Roman" w:hint="eastAsia"/>
          <w:sz w:val="24"/>
          <w:szCs w:val="24"/>
        </w:rPr>
        <w:t>16.2%</w:t>
      </w:r>
      <w:r>
        <w:rPr>
          <w:rFonts w:eastAsia="宋体" w:cs="Times New Roman" w:hint="eastAsia"/>
          <w:sz w:val="24"/>
          <w:szCs w:val="24"/>
        </w:rPr>
        <w:t>。</w:t>
      </w:r>
    </w:p>
    <w:p w14:paraId="22B602ED" w14:textId="77777777" w:rsidR="006B10D9" w:rsidRDefault="00BE6472">
      <w:pPr>
        <w:spacing w:line="360" w:lineRule="auto"/>
        <w:ind w:firstLineChars="0" w:firstLine="0"/>
        <w:rPr>
          <w:rFonts w:eastAsia="宋体" w:cs="Times New Roman"/>
          <w:bCs/>
          <w:sz w:val="28"/>
        </w:rPr>
      </w:pPr>
      <w:r>
        <w:rPr>
          <w:rFonts w:eastAsia="宋体" w:cs="Times New Roman" w:hint="eastAsia"/>
          <w:bCs/>
          <w:noProof/>
          <w:sz w:val="28"/>
        </w:rPr>
        <w:drawing>
          <wp:inline distT="0" distB="0" distL="114300" distR="114300" wp14:anchorId="0F78FD0A" wp14:editId="2F9034D6">
            <wp:extent cx="5273040" cy="3077845"/>
            <wp:effectExtent l="0" t="0" r="0" b="635"/>
            <wp:docPr id="45720" name="图片 45720" descr="bab167d7205821ffc344e8e94bc3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 name="图片 45720" descr="bab167d7205821ffc344e8e94bc36f3"/>
                    <pic:cNvPicPr>
                      <a:picLocks noChangeAspect="1"/>
                    </pic:cNvPicPr>
                  </pic:nvPicPr>
                  <pic:blipFill>
                    <a:blip r:embed="rId19"/>
                    <a:stretch>
                      <a:fillRect/>
                    </a:stretch>
                  </pic:blipFill>
                  <pic:spPr>
                    <a:xfrm>
                      <a:off x="0" y="0"/>
                      <a:ext cx="5273040" cy="3077845"/>
                    </a:xfrm>
                    <a:prstGeom prst="rect">
                      <a:avLst/>
                    </a:prstGeom>
                  </pic:spPr>
                </pic:pic>
              </a:graphicData>
            </a:graphic>
          </wp:inline>
        </w:drawing>
      </w:r>
    </w:p>
    <w:p w14:paraId="3B9AF03A" w14:textId="77777777" w:rsidR="006B10D9" w:rsidRDefault="00BE6472">
      <w:pPr>
        <w:pStyle w:val="affb"/>
        <w:rPr>
          <w:sz w:val="28"/>
        </w:rPr>
      </w:pPr>
      <w:r>
        <w:rPr>
          <w:rFonts w:hint="eastAsia"/>
        </w:rPr>
        <w:t>图</w:t>
      </w:r>
      <w:r>
        <w:rPr>
          <w:rFonts w:hint="eastAsia"/>
        </w:rPr>
        <w:t>5  2013-2020</w:t>
      </w:r>
      <w:r>
        <w:rPr>
          <w:rFonts w:hint="eastAsia"/>
        </w:rPr>
        <w:t>年中国对“一带一路”沿线国家投资流量</w:t>
      </w:r>
    </w:p>
    <w:p w14:paraId="41FEA867" w14:textId="77777777" w:rsidR="006B10D9" w:rsidRDefault="00BE6472">
      <w:pPr>
        <w:spacing w:line="360" w:lineRule="auto"/>
        <w:ind w:firstLineChars="42" w:firstLine="88"/>
        <w:rPr>
          <w:rFonts w:eastAsia="宋体" w:cs="楷体"/>
          <w:bCs/>
          <w:sz w:val="21"/>
          <w:szCs w:val="21"/>
        </w:rPr>
      </w:pPr>
      <w:r>
        <w:rPr>
          <w:rFonts w:eastAsia="宋体" w:cs="楷体" w:hint="eastAsia"/>
          <w:bCs/>
          <w:sz w:val="21"/>
          <w:szCs w:val="21"/>
        </w:rPr>
        <w:t>资料来源：</w:t>
      </w:r>
      <w:r>
        <w:rPr>
          <w:rFonts w:eastAsia="宋体" w:cs="楷体" w:hint="eastAsia"/>
          <w:bCs/>
          <w:sz w:val="21"/>
          <w:szCs w:val="21"/>
        </w:rPr>
        <w:t>2020</w:t>
      </w:r>
      <w:r>
        <w:rPr>
          <w:rFonts w:eastAsia="宋体" w:cs="楷体" w:hint="eastAsia"/>
          <w:bCs/>
          <w:sz w:val="21"/>
          <w:szCs w:val="21"/>
        </w:rPr>
        <w:t>年度中国对外直接投资统计公报</w:t>
      </w:r>
    </w:p>
    <w:p w14:paraId="618F4E42" w14:textId="77777777" w:rsidR="006B10D9" w:rsidRDefault="00BE6472">
      <w:pPr>
        <w:pStyle w:val="4"/>
      </w:pPr>
      <w:bookmarkStart w:id="11" w:name="_Toc10770"/>
      <w:r>
        <w:rPr>
          <w:rFonts w:hint="eastAsia"/>
        </w:rPr>
        <w:lastRenderedPageBreak/>
        <w:t>2</w:t>
      </w:r>
      <w:r>
        <w:rPr>
          <w:rFonts w:cs="华文楷体" w:hint="eastAsia"/>
          <w:bCs/>
        </w:rPr>
        <w:t>.</w:t>
      </w:r>
      <w:r>
        <w:rPr>
          <w:rFonts w:hint="eastAsia"/>
        </w:rPr>
        <w:t>对外投资合作便利化规范化程度明显提高</w:t>
      </w:r>
      <w:bookmarkEnd w:id="11"/>
    </w:p>
    <w:p w14:paraId="51BA27D2"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）简化备案审核程序</w:t>
      </w:r>
    </w:p>
    <w:p w14:paraId="6D968811" w14:textId="77777777" w:rsidR="006B10D9" w:rsidRDefault="00BE6472">
      <w:pPr>
        <w:numPr>
          <w:ilvl w:val="255"/>
          <w:numId w:val="0"/>
        </w:numPr>
        <w:spacing w:line="360" w:lineRule="auto"/>
        <w:ind w:firstLineChars="200" w:firstLine="480"/>
        <w:jc w:val="left"/>
        <w:rPr>
          <w:rFonts w:eastAsia="宋体" w:cs="Times New Roman"/>
          <w:sz w:val="24"/>
          <w:szCs w:val="24"/>
        </w:rPr>
      </w:pPr>
      <w:r>
        <w:rPr>
          <w:rFonts w:eastAsia="宋体" w:cs="Times New Roman" w:hint="eastAsia"/>
          <w:sz w:val="24"/>
          <w:szCs w:val="24"/>
        </w:rPr>
        <w:t>“十三五”时期，我国不断深化“备案为主、核准为辅”的境外投资管理体制改革。</w:t>
      </w:r>
      <w:r>
        <w:rPr>
          <w:rFonts w:eastAsia="宋体" w:cs="Times New Roman" w:hint="eastAsia"/>
          <w:sz w:val="24"/>
          <w:szCs w:val="24"/>
        </w:rPr>
        <w:t>2017</w:t>
      </w:r>
      <w:r>
        <w:rPr>
          <w:rFonts w:eastAsia="宋体" w:cs="Times New Roman" w:hint="eastAsia"/>
          <w:sz w:val="24"/>
          <w:szCs w:val="24"/>
        </w:rPr>
        <w:t>年底，结合境外投资发展新特点和企业提出的新诉求，国家发改委颁布《企业境外投资管理办法》，推出取消信息报告制度，取消地方初审、转报环节，放宽投资主体履行核准、备案手续的最晚时间要求等三项重大改革举措，进一步简化了境外投资事前管理流程。</w:t>
      </w:r>
      <w:r>
        <w:rPr>
          <w:rFonts w:eastAsia="宋体" w:cs="Times New Roman" w:hint="eastAsia"/>
          <w:sz w:val="24"/>
          <w:szCs w:val="24"/>
        </w:rPr>
        <w:t>2018</w:t>
      </w:r>
      <w:r>
        <w:rPr>
          <w:rFonts w:eastAsia="宋体" w:cs="Times New Roman" w:hint="eastAsia"/>
          <w:sz w:val="24"/>
          <w:szCs w:val="24"/>
        </w:rPr>
        <w:t>年</w:t>
      </w:r>
      <w:r>
        <w:rPr>
          <w:rFonts w:eastAsia="宋体" w:cs="Times New Roman" w:hint="eastAsia"/>
          <w:sz w:val="24"/>
          <w:szCs w:val="24"/>
        </w:rPr>
        <w:t>1</w:t>
      </w:r>
      <w:r>
        <w:rPr>
          <w:rFonts w:eastAsia="宋体" w:cs="Times New Roman" w:hint="eastAsia"/>
          <w:sz w:val="24"/>
          <w:szCs w:val="24"/>
        </w:rPr>
        <w:t>月，商务部等部门制定了《对外投资备案（核准）报告暂行办法》，进一步规范企业对外投资审批流程。</w:t>
      </w:r>
    </w:p>
    <w:p w14:paraId="42EED9C7"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）突出企业主体地位</w:t>
      </w:r>
    </w:p>
    <w:p w14:paraId="60258CD2"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2013</w:t>
      </w:r>
      <w:r>
        <w:rPr>
          <w:rFonts w:eastAsia="宋体" w:cs="Times New Roman" w:hint="eastAsia"/>
          <w:sz w:val="24"/>
          <w:szCs w:val="24"/>
        </w:rPr>
        <w:t>年</w:t>
      </w:r>
      <w:r>
        <w:rPr>
          <w:rFonts w:eastAsia="宋体" w:cs="Times New Roman" w:hint="eastAsia"/>
          <w:sz w:val="24"/>
          <w:szCs w:val="24"/>
        </w:rPr>
        <w:t>3</w:t>
      </w:r>
      <w:r>
        <w:rPr>
          <w:rFonts w:eastAsia="宋体" w:cs="Times New Roman" w:hint="eastAsia"/>
          <w:sz w:val="24"/>
          <w:szCs w:val="24"/>
        </w:rPr>
        <w:t>月公布的《国务院机构改革和职能转变方案》，明确要求真正落实企业和个人投资自主权。</w:t>
      </w:r>
      <w:r>
        <w:rPr>
          <w:rFonts w:eastAsia="宋体" w:cs="Times New Roman" w:hint="eastAsia"/>
          <w:sz w:val="24"/>
          <w:szCs w:val="24"/>
        </w:rPr>
        <w:t>2014</w:t>
      </w:r>
      <w:r>
        <w:rPr>
          <w:rFonts w:eastAsia="宋体" w:cs="Times New Roman" w:hint="eastAsia"/>
          <w:sz w:val="24"/>
          <w:szCs w:val="24"/>
        </w:rPr>
        <w:t>年，境外投资管理由逐项核准改为备案为主、核准为辅，企业自主决策、自负盈亏、自担风险。</w:t>
      </w:r>
      <w:r>
        <w:rPr>
          <w:rFonts w:eastAsia="宋体" w:cs="Times New Roman" w:hint="eastAsia"/>
          <w:sz w:val="24"/>
          <w:szCs w:val="24"/>
        </w:rPr>
        <w:t>2017</w:t>
      </w:r>
      <w:r>
        <w:rPr>
          <w:rFonts w:eastAsia="宋体" w:cs="Times New Roman" w:hint="eastAsia"/>
          <w:sz w:val="24"/>
          <w:szCs w:val="24"/>
        </w:rPr>
        <w:t>年以来，国家先后取消对外承包工程资格审批和项目投议标许可，研究建立“备案</w:t>
      </w:r>
      <w:r>
        <w:rPr>
          <w:rFonts w:eastAsia="宋体" w:cs="Times New Roman" w:hint="eastAsia"/>
          <w:sz w:val="24"/>
          <w:szCs w:val="24"/>
        </w:rPr>
        <w:t>+</w:t>
      </w:r>
      <w:r>
        <w:rPr>
          <w:rFonts w:eastAsia="宋体" w:cs="Times New Roman" w:hint="eastAsia"/>
          <w:sz w:val="24"/>
          <w:szCs w:val="24"/>
        </w:rPr>
        <w:t>负面清单”管理模式。企业主体地位的明确显著促进了我国对外承包工程行业的发展，“</w:t>
      </w:r>
      <w:r>
        <w:rPr>
          <w:rFonts w:eastAsia="宋体" w:cs="Times New Roman"/>
          <w:sz w:val="24"/>
          <w:szCs w:val="24"/>
        </w:rPr>
        <w:t>十三五</w:t>
      </w:r>
      <w:r>
        <w:rPr>
          <w:rFonts w:eastAsia="宋体" w:cs="Times New Roman" w:hint="eastAsia"/>
          <w:sz w:val="24"/>
          <w:szCs w:val="24"/>
        </w:rPr>
        <w:t>”</w:t>
      </w:r>
      <w:r>
        <w:rPr>
          <w:rFonts w:eastAsia="宋体" w:cs="Times New Roman"/>
          <w:sz w:val="24"/>
          <w:szCs w:val="24"/>
        </w:rPr>
        <w:t>期间预计完成营业额</w:t>
      </w:r>
      <w:r>
        <w:rPr>
          <w:rFonts w:eastAsia="宋体" w:cs="Times New Roman"/>
          <w:sz w:val="24"/>
          <w:szCs w:val="24"/>
        </w:rPr>
        <w:t>8000</w:t>
      </w:r>
      <w:r>
        <w:rPr>
          <w:rFonts w:eastAsia="宋体" w:cs="Times New Roman"/>
          <w:sz w:val="24"/>
          <w:szCs w:val="24"/>
        </w:rPr>
        <w:t>亿美元，年均约</w:t>
      </w:r>
      <w:r>
        <w:rPr>
          <w:rFonts w:eastAsia="宋体" w:cs="Times New Roman"/>
          <w:sz w:val="24"/>
          <w:szCs w:val="24"/>
        </w:rPr>
        <w:t>1600</w:t>
      </w:r>
      <w:r>
        <w:rPr>
          <w:rFonts w:eastAsia="宋体" w:cs="Times New Roman"/>
          <w:sz w:val="24"/>
          <w:szCs w:val="24"/>
        </w:rPr>
        <w:t>亿美元</w:t>
      </w:r>
      <w:r>
        <w:rPr>
          <w:rFonts w:eastAsia="宋体" w:cs="Times New Roman" w:hint="eastAsia"/>
          <w:sz w:val="24"/>
          <w:szCs w:val="24"/>
        </w:rPr>
        <w:t>，</w:t>
      </w:r>
      <w:r>
        <w:rPr>
          <w:rFonts w:eastAsia="宋体" w:cs="Times New Roman"/>
          <w:sz w:val="24"/>
          <w:szCs w:val="24"/>
        </w:rPr>
        <w:t>总体规模和市场份额均居世界前列。</w:t>
      </w:r>
    </w:p>
    <w:p w14:paraId="1B9832DA"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）全面推行在线办理</w:t>
      </w:r>
    </w:p>
    <w:p w14:paraId="38E3918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发改委、商务部等部门通过电子政务系统进行备案管理，显著提升了对外投资合作备案的工作效率，</w:t>
      </w:r>
      <w:r>
        <w:rPr>
          <w:rFonts w:eastAsia="宋体" w:cs="Times New Roman" w:hint="eastAsia"/>
          <w:sz w:val="24"/>
          <w:szCs w:val="24"/>
        </w:rPr>
        <w:t>98%</w:t>
      </w:r>
      <w:r>
        <w:rPr>
          <w:rFonts w:eastAsia="宋体" w:cs="Times New Roman" w:hint="eastAsia"/>
          <w:sz w:val="24"/>
          <w:szCs w:val="24"/>
        </w:rPr>
        <w:t>以上的境外投资项目均已实现网上备案。企业可直接登陆全国对外投资管理和服务网络系统填报项目备案，真正做到让企业少跑腿、好办事。</w:t>
      </w:r>
    </w:p>
    <w:p w14:paraId="0D5230E6" w14:textId="77777777" w:rsidR="006B10D9" w:rsidRDefault="00BE6472">
      <w:pPr>
        <w:pStyle w:val="affd"/>
      </w:pPr>
      <w:r>
        <w:rPr>
          <w:rFonts w:hint="eastAsia"/>
        </w:rPr>
        <w:t>表</w:t>
      </w:r>
      <w:r>
        <w:rPr>
          <w:rFonts w:hint="eastAsia"/>
        </w:rPr>
        <w:t xml:space="preserve">1  </w:t>
      </w:r>
      <w:r>
        <w:rPr>
          <w:rFonts w:hint="eastAsia"/>
        </w:rPr>
        <w:t>我国境外投资审批制度改革一览表</w:t>
      </w:r>
    </w:p>
    <w:tbl>
      <w:tblPr>
        <w:tblStyle w:val="42"/>
        <w:tblW w:w="8690" w:type="dxa"/>
        <w:tblInd w:w="88" w:type="dxa"/>
        <w:tblLook w:val="04A0" w:firstRow="1" w:lastRow="0" w:firstColumn="1" w:lastColumn="0" w:noHBand="0" w:noVBand="1"/>
      </w:tblPr>
      <w:tblGrid>
        <w:gridCol w:w="1582"/>
        <w:gridCol w:w="1342"/>
        <w:gridCol w:w="5766"/>
      </w:tblGrid>
      <w:tr w:rsidR="006B10D9" w14:paraId="106AA347" w14:textId="77777777">
        <w:trPr>
          <w:trHeight w:val="481"/>
        </w:trPr>
        <w:tc>
          <w:tcPr>
            <w:tcW w:w="1582" w:type="dxa"/>
            <w:shd w:val="clear" w:color="auto" w:fill="F79646"/>
            <w:vAlign w:val="center"/>
          </w:tcPr>
          <w:p w14:paraId="252AA705" w14:textId="77777777" w:rsidR="006B10D9" w:rsidRDefault="00BE6472">
            <w:pPr>
              <w:snapToGrid w:val="0"/>
              <w:spacing w:before="100" w:line="312" w:lineRule="auto"/>
              <w:ind w:firstLineChars="0" w:firstLine="0"/>
              <w:jc w:val="center"/>
              <w:rPr>
                <w:rFonts w:eastAsia="宋体"/>
                <w:color w:val="FFFFFF"/>
                <w:sz w:val="21"/>
                <w:szCs w:val="21"/>
              </w:rPr>
            </w:pPr>
            <w:r>
              <w:rPr>
                <w:rFonts w:eastAsia="宋体" w:hint="eastAsia"/>
                <w:color w:val="FFFFFF"/>
                <w:sz w:val="21"/>
                <w:szCs w:val="21"/>
              </w:rPr>
              <w:t>时间</w:t>
            </w:r>
          </w:p>
        </w:tc>
        <w:tc>
          <w:tcPr>
            <w:tcW w:w="1342" w:type="dxa"/>
            <w:shd w:val="clear" w:color="auto" w:fill="F79646"/>
            <w:vAlign w:val="center"/>
          </w:tcPr>
          <w:p w14:paraId="70563EE2" w14:textId="77777777" w:rsidR="006B10D9" w:rsidRDefault="00BE6472">
            <w:pPr>
              <w:snapToGrid w:val="0"/>
              <w:spacing w:before="100" w:line="312" w:lineRule="auto"/>
              <w:ind w:firstLineChars="0" w:firstLine="0"/>
              <w:jc w:val="center"/>
              <w:rPr>
                <w:rFonts w:eastAsia="宋体"/>
                <w:color w:val="FFFFFF"/>
                <w:sz w:val="21"/>
                <w:szCs w:val="21"/>
              </w:rPr>
            </w:pPr>
            <w:r>
              <w:rPr>
                <w:rFonts w:eastAsia="宋体" w:hint="eastAsia"/>
                <w:color w:val="FFFFFF"/>
                <w:sz w:val="21"/>
                <w:szCs w:val="21"/>
              </w:rPr>
              <w:t>方式</w:t>
            </w:r>
          </w:p>
        </w:tc>
        <w:tc>
          <w:tcPr>
            <w:tcW w:w="5766" w:type="dxa"/>
            <w:shd w:val="clear" w:color="auto" w:fill="F79646"/>
            <w:vAlign w:val="center"/>
          </w:tcPr>
          <w:p w14:paraId="37B75CA9" w14:textId="77777777" w:rsidR="006B10D9" w:rsidRDefault="00BE6472">
            <w:pPr>
              <w:snapToGrid w:val="0"/>
              <w:spacing w:before="100" w:line="312" w:lineRule="auto"/>
              <w:ind w:firstLineChars="0" w:firstLine="0"/>
              <w:jc w:val="center"/>
              <w:rPr>
                <w:rFonts w:eastAsia="宋体"/>
                <w:color w:val="FFFFFF"/>
                <w:sz w:val="21"/>
                <w:szCs w:val="21"/>
              </w:rPr>
            </w:pPr>
            <w:r>
              <w:rPr>
                <w:rFonts w:eastAsia="宋体" w:hint="eastAsia"/>
                <w:color w:val="FFFFFF"/>
                <w:sz w:val="21"/>
                <w:szCs w:val="21"/>
              </w:rPr>
              <w:t>管理权限</w:t>
            </w:r>
          </w:p>
        </w:tc>
      </w:tr>
      <w:tr w:rsidR="006B10D9" w14:paraId="48B34821" w14:textId="77777777">
        <w:trPr>
          <w:trHeight w:val="464"/>
        </w:trPr>
        <w:tc>
          <w:tcPr>
            <w:tcW w:w="1582" w:type="dxa"/>
            <w:shd w:val="clear" w:color="auto" w:fill="FBD5B5"/>
            <w:vAlign w:val="center"/>
          </w:tcPr>
          <w:p w14:paraId="66069323"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2004</w:t>
            </w:r>
            <w:r>
              <w:rPr>
                <w:rFonts w:eastAsia="宋体" w:hint="eastAsia"/>
                <w:color w:val="000000"/>
                <w:sz w:val="21"/>
                <w:szCs w:val="21"/>
              </w:rPr>
              <w:t>年以前</w:t>
            </w:r>
          </w:p>
        </w:tc>
        <w:tc>
          <w:tcPr>
            <w:tcW w:w="1342" w:type="dxa"/>
            <w:shd w:val="clear" w:color="auto" w:fill="FBD5B5"/>
            <w:vAlign w:val="center"/>
          </w:tcPr>
          <w:p w14:paraId="25479656"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审批制</w:t>
            </w:r>
          </w:p>
        </w:tc>
        <w:tc>
          <w:tcPr>
            <w:tcW w:w="5766" w:type="dxa"/>
            <w:shd w:val="clear" w:color="auto" w:fill="FBD5B5"/>
            <w:vAlign w:val="center"/>
          </w:tcPr>
          <w:p w14:paraId="465F14F1" w14:textId="77777777" w:rsidR="006B10D9" w:rsidRDefault="00BE6472">
            <w:pPr>
              <w:snapToGrid w:val="0"/>
              <w:spacing w:before="100" w:line="312" w:lineRule="auto"/>
              <w:ind w:firstLineChars="0" w:firstLine="0"/>
              <w:rPr>
                <w:rFonts w:eastAsia="宋体"/>
                <w:color w:val="000000"/>
                <w:sz w:val="21"/>
                <w:szCs w:val="21"/>
              </w:rPr>
            </w:pPr>
            <w:r>
              <w:rPr>
                <w:rFonts w:eastAsia="宋体" w:hint="eastAsia"/>
                <w:color w:val="000000"/>
                <w:sz w:val="21"/>
                <w:szCs w:val="21"/>
              </w:rPr>
              <w:t>中方投资额在</w:t>
            </w:r>
            <w:r>
              <w:rPr>
                <w:rFonts w:eastAsia="宋体" w:hint="eastAsia"/>
                <w:color w:val="000000"/>
                <w:sz w:val="21"/>
                <w:szCs w:val="21"/>
              </w:rPr>
              <w:t>100</w:t>
            </w:r>
            <w:r>
              <w:rPr>
                <w:rFonts w:eastAsia="宋体" w:hint="eastAsia"/>
                <w:color w:val="000000"/>
                <w:sz w:val="21"/>
                <w:szCs w:val="21"/>
              </w:rPr>
              <w:t>万美元以上项目需报国家发展改革委审批</w:t>
            </w:r>
          </w:p>
        </w:tc>
      </w:tr>
      <w:tr w:rsidR="006B10D9" w14:paraId="7CDC0C10" w14:textId="77777777">
        <w:trPr>
          <w:trHeight w:val="780"/>
        </w:trPr>
        <w:tc>
          <w:tcPr>
            <w:tcW w:w="1582" w:type="dxa"/>
            <w:shd w:val="clear" w:color="auto" w:fill="FFFFFF"/>
            <w:vAlign w:val="center"/>
          </w:tcPr>
          <w:p w14:paraId="20E2E704"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2004</w:t>
            </w:r>
            <w:r>
              <w:rPr>
                <w:rFonts w:eastAsia="宋体" w:hint="eastAsia"/>
                <w:color w:val="000000"/>
                <w:sz w:val="21"/>
                <w:szCs w:val="21"/>
              </w:rPr>
              <w:t>年</w:t>
            </w:r>
            <w:r>
              <w:rPr>
                <w:rFonts w:eastAsia="宋体" w:hint="eastAsia"/>
                <w:color w:val="000000"/>
                <w:sz w:val="21"/>
                <w:szCs w:val="21"/>
              </w:rPr>
              <w:t>7</w:t>
            </w:r>
            <w:r>
              <w:rPr>
                <w:rFonts w:eastAsia="宋体" w:hint="eastAsia"/>
                <w:color w:val="000000"/>
                <w:sz w:val="21"/>
                <w:szCs w:val="21"/>
              </w:rPr>
              <w:t>月</w:t>
            </w:r>
          </w:p>
        </w:tc>
        <w:tc>
          <w:tcPr>
            <w:tcW w:w="1342" w:type="dxa"/>
            <w:shd w:val="clear" w:color="auto" w:fill="FFFFFF"/>
            <w:vAlign w:val="center"/>
          </w:tcPr>
          <w:p w14:paraId="3BC553CE"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核准制</w:t>
            </w:r>
          </w:p>
        </w:tc>
        <w:tc>
          <w:tcPr>
            <w:tcW w:w="5766" w:type="dxa"/>
            <w:shd w:val="clear" w:color="auto" w:fill="FFFFFF"/>
            <w:vAlign w:val="center"/>
          </w:tcPr>
          <w:p w14:paraId="1C2CC707" w14:textId="77777777" w:rsidR="006B10D9" w:rsidRDefault="00BE6472">
            <w:pPr>
              <w:snapToGrid w:val="0"/>
              <w:spacing w:before="100" w:line="312" w:lineRule="auto"/>
              <w:ind w:firstLineChars="0" w:firstLine="0"/>
              <w:rPr>
                <w:rFonts w:eastAsia="宋体"/>
                <w:color w:val="000000"/>
                <w:sz w:val="21"/>
                <w:szCs w:val="21"/>
              </w:rPr>
            </w:pPr>
            <w:r>
              <w:rPr>
                <w:rFonts w:eastAsia="宋体" w:hint="eastAsia"/>
                <w:color w:val="000000"/>
                <w:sz w:val="21"/>
                <w:szCs w:val="21"/>
              </w:rPr>
              <w:t>1000</w:t>
            </w:r>
            <w:r>
              <w:rPr>
                <w:rFonts w:eastAsia="宋体" w:hint="eastAsia"/>
                <w:color w:val="000000"/>
                <w:sz w:val="21"/>
                <w:szCs w:val="21"/>
              </w:rPr>
              <w:t>万美元以上的非资源开发类项目、</w:t>
            </w:r>
            <w:r>
              <w:rPr>
                <w:rFonts w:eastAsia="宋体" w:hint="eastAsia"/>
                <w:color w:val="000000"/>
                <w:sz w:val="21"/>
                <w:szCs w:val="21"/>
              </w:rPr>
              <w:t>3000</w:t>
            </w:r>
            <w:r>
              <w:rPr>
                <w:rFonts w:eastAsia="宋体" w:hint="eastAsia"/>
                <w:color w:val="000000"/>
                <w:sz w:val="21"/>
                <w:szCs w:val="21"/>
              </w:rPr>
              <w:t>万美元以上资源开发类项目由国家发展改革委核准或报国务院核准</w:t>
            </w:r>
          </w:p>
        </w:tc>
      </w:tr>
      <w:tr w:rsidR="006B10D9" w14:paraId="505417F2" w14:textId="77777777">
        <w:trPr>
          <w:trHeight w:val="816"/>
        </w:trPr>
        <w:tc>
          <w:tcPr>
            <w:tcW w:w="1582" w:type="dxa"/>
            <w:shd w:val="clear" w:color="auto" w:fill="FBD5B5"/>
            <w:vAlign w:val="center"/>
          </w:tcPr>
          <w:p w14:paraId="20C7CEAE"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2011</w:t>
            </w:r>
            <w:r>
              <w:rPr>
                <w:rFonts w:eastAsia="宋体" w:hint="eastAsia"/>
                <w:color w:val="000000"/>
                <w:sz w:val="21"/>
                <w:szCs w:val="21"/>
              </w:rPr>
              <w:t>年</w:t>
            </w:r>
            <w:r>
              <w:rPr>
                <w:rFonts w:eastAsia="宋体" w:hint="eastAsia"/>
                <w:color w:val="000000"/>
                <w:sz w:val="21"/>
                <w:szCs w:val="21"/>
              </w:rPr>
              <w:t>2</w:t>
            </w:r>
            <w:r>
              <w:rPr>
                <w:rFonts w:eastAsia="宋体" w:hint="eastAsia"/>
                <w:color w:val="000000"/>
                <w:sz w:val="21"/>
                <w:szCs w:val="21"/>
              </w:rPr>
              <w:t>月</w:t>
            </w:r>
          </w:p>
        </w:tc>
        <w:tc>
          <w:tcPr>
            <w:tcW w:w="1342" w:type="dxa"/>
            <w:shd w:val="clear" w:color="auto" w:fill="FBD5B5"/>
            <w:vAlign w:val="center"/>
          </w:tcPr>
          <w:p w14:paraId="2C50AF45"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核准制</w:t>
            </w:r>
          </w:p>
        </w:tc>
        <w:tc>
          <w:tcPr>
            <w:tcW w:w="5766" w:type="dxa"/>
            <w:shd w:val="clear" w:color="auto" w:fill="FBD5B5"/>
            <w:vAlign w:val="center"/>
          </w:tcPr>
          <w:p w14:paraId="2E60BD8A" w14:textId="77777777" w:rsidR="006B10D9" w:rsidRDefault="00BE6472">
            <w:pPr>
              <w:snapToGrid w:val="0"/>
              <w:spacing w:before="100" w:line="312" w:lineRule="auto"/>
              <w:ind w:firstLineChars="0" w:firstLine="0"/>
              <w:rPr>
                <w:rFonts w:eastAsia="宋体"/>
                <w:color w:val="000000"/>
                <w:sz w:val="21"/>
                <w:szCs w:val="21"/>
              </w:rPr>
            </w:pPr>
            <w:r>
              <w:rPr>
                <w:rFonts w:eastAsia="宋体" w:hint="eastAsia"/>
                <w:color w:val="000000"/>
                <w:sz w:val="21"/>
                <w:szCs w:val="21"/>
              </w:rPr>
              <w:t>1</w:t>
            </w:r>
            <w:r>
              <w:rPr>
                <w:rFonts w:eastAsia="宋体" w:hint="eastAsia"/>
                <w:color w:val="000000"/>
                <w:sz w:val="21"/>
                <w:szCs w:val="21"/>
              </w:rPr>
              <w:t>亿美元以上的非资源开发类项目、</w:t>
            </w:r>
            <w:r>
              <w:rPr>
                <w:rFonts w:eastAsia="宋体" w:hint="eastAsia"/>
                <w:color w:val="000000"/>
                <w:sz w:val="21"/>
                <w:szCs w:val="21"/>
              </w:rPr>
              <w:t>3</w:t>
            </w:r>
            <w:r>
              <w:rPr>
                <w:rFonts w:eastAsia="宋体" w:hint="eastAsia"/>
                <w:color w:val="000000"/>
                <w:sz w:val="21"/>
                <w:szCs w:val="21"/>
              </w:rPr>
              <w:t>亿美元以上资源开发类项目由国家发展改革委核准或报国务院核准</w:t>
            </w:r>
          </w:p>
        </w:tc>
      </w:tr>
      <w:tr w:rsidR="006B10D9" w14:paraId="628B7BBD" w14:textId="77777777">
        <w:tc>
          <w:tcPr>
            <w:tcW w:w="1582" w:type="dxa"/>
            <w:shd w:val="clear" w:color="auto" w:fill="FFFFFF"/>
            <w:vAlign w:val="center"/>
          </w:tcPr>
          <w:p w14:paraId="45277D53"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2014</w:t>
            </w:r>
            <w:r>
              <w:rPr>
                <w:rFonts w:eastAsia="宋体" w:hint="eastAsia"/>
                <w:color w:val="000000"/>
                <w:sz w:val="21"/>
                <w:szCs w:val="21"/>
              </w:rPr>
              <w:t>年</w:t>
            </w:r>
            <w:r>
              <w:rPr>
                <w:rFonts w:eastAsia="宋体" w:hint="eastAsia"/>
                <w:color w:val="000000"/>
                <w:sz w:val="21"/>
                <w:szCs w:val="21"/>
              </w:rPr>
              <w:t>4</w:t>
            </w:r>
            <w:r>
              <w:rPr>
                <w:rFonts w:eastAsia="宋体" w:hint="eastAsia"/>
                <w:color w:val="000000"/>
                <w:sz w:val="21"/>
                <w:szCs w:val="21"/>
              </w:rPr>
              <w:t>月</w:t>
            </w:r>
          </w:p>
        </w:tc>
        <w:tc>
          <w:tcPr>
            <w:tcW w:w="1342" w:type="dxa"/>
            <w:shd w:val="clear" w:color="auto" w:fill="FFFFFF"/>
            <w:vAlign w:val="center"/>
          </w:tcPr>
          <w:p w14:paraId="16FFADE6"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备案</w:t>
            </w:r>
            <w:r>
              <w:rPr>
                <w:rFonts w:eastAsia="宋体" w:hint="eastAsia"/>
                <w:color w:val="000000"/>
                <w:sz w:val="21"/>
                <w:szCs w:val="21"/>
              </w:rPr>
              <w:t>+</w:t>
            </w:r>
            <w:r>
              <w:rPr>
                <w:rFonts w:eastAsia="宋体" w:hint="eastAsia"/>
                <w:color w:val="000000"/>
                <w:sz w:val="21"/>
                <w:szCs w:val="21"/>
              </w:rPr>
              <w:t>核准</w:t>
            </w:r>
          </w:p>
        </w:tc>
        <w:tc>
          <w:tcPr>
            <w:tcW w:w="5766" w:type="dxa"/>
            <w:shd w:val="clear" w:color="auto" w:fill="FFFFFF"/>
            <w:vAlign w:val="center"/>
          </w:tcPr>
          <w:p w14:paraId="69BF14BD" w14:textId="77777777" w:rsidR="006B10D9" w:rsidRDefault="00BE6472">
            <w:pPr>
              <w:snapToGrid w:val="0"/>
              <w:spacing w:before="100" w:line="312" w:lineRule="auto"/>
              <w:ind w:firstLineChars="0" w:firstLine="0"/>
              <w:rPr>
                <w:rFonts w:eastAsia="宋体"/>
                <w:color w:val="000000"/>
                <w:sz w:val="21"/>
                <w:szCs w:val="21"/>
              </w:rPr>
            </w:pPr>
            <w:r>
              <w:rPr>
                <w:rFonts w:eastAsia="宋体" w:hint="eastAsia"/>
                <w:color w:val="000000"/>
                <w:sz w:val="21"/>
                <w:szCs w:val="21"/>
              </w:rPr>
              <w:t>10</w:t>
            </w:r>
            <w:r>
              <w:rPr>
                <w:rFonts w:eastAsia="宋体" w:hint="eastAsia"/>
                <w:color w:val="000000"/>
                <w:sz w:val="21"/>
                <w:szCs w:val="21"/>
              </w:rPr>
              <w:t>亿美元以上项目和敏感类项目由国家发展改革委核准或报国务院核准，其他项目实行备案制</w:t>
            </w:r>
          </w:p>
        </w:tc>
      </w:tr>
      <w:tr w:rsidR="006B10D9" w14:paraId="60ACD88C" w14:textId="77777777">
        <w:tc>
          <w:tcPr>
            <w:tcW w:w="1582" w:type="dxa"/>
            <w:shd w:val="clear" w:color="auto" w:fill="FBD5B5"/>
            <w:vAlign w:val="center"/>
          </w:tcPr>
          <w:p w14:paraId="1C16DCC7"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2014</w:t>
            </w:r>
            <w:r>
              <w:rPr>
                <w:rFonts w:eastAsia="宋体" w:hint="eastAsia"/>
                <w:color w:val="000000"/>
                <w:sz w:val="21"/>
                <w:szCs w:val="21"/>
              </w:rPr>
              <w:t>年</w:t>
            </w:r>
            <w:r>
              <w:rPr>
                <w:rFonts w:eastAsia="宋体" w:hint="eastAsia"/>
                <w:color w:val="000000"/>
                <w:sz w:val="21"/>
                <w:szCs w:val="21"/>
              </w:rPr>
              <w:t>12</w:t>
            </w:r>
            <w:r>
              <w:rPr>
                <w:rFonts w:eastAsia="宋体" w:hint="eastAsia"/>
                <w:color w:val="000000"/>
                <w:sz w:val="21"/>
                <w:szCs w:val="21"/>
              </w:rPr>
              <w:t>月</w:t>
            </w:r>
          </w:p>
        </w:tc>
        <w:tc>
          <w:tcPr>
            <w:tcW w:w="1342" w:type="dxa"/>
            <w:shd w:val="clear" w:color="auto" w:fill="FBD5B5"/>
            <w:vAlign w:val="center"/>
          </w:tcPr>
          <w:p w14:paraId="34206CF9"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备案</w:t>
            </w:r>
            <w:r>
              <w:rPr>
                <w:rFonts w:eastAsia="宋体" w:hint="eastAsia"/>
                <w:color w:val="000000"/>
                <w:sz w:val="21"/>
                <w:szCs w:val="21"/>
              </w:rPr>
              <w:t>+</w:t>
            </w:r>
            <w:r>
              <w:rPr>
                <w:rFonts w:eastAsia="宋体" w:hint="eastAsia"/>
                <w:color w:val="000000"/>
                <w:sz w:val="21"/>
                <w:szCs w:val="21"/>
              </w:rPr>
              <w:t>核准</w:t>
            </w:r>
          </w:p>
        </w:tc>
        <w:tc>
          <w:tcPr>
            <w:tcW w:w="5766" w:type="dxa"/>
            <w:shd w:val="clear" w:color="auto" w:fill="FBD5B5"/>
            <w:vAlign w:val="center"/>
          </w:tcPr>
          <w:p w14:paraId="5B016C84" w14:textId="77777777" w:rsidR="006B10D9" w:rsidRDefault="00BE6472">
            <w:pPr>
              <w:snapToGrid w:val="0"/>
              <w:spacing w:before="100" w:line="312" w:lineRule="auto"/>
              <w:ind w:firstLineChars="0" w:firstLine="0"/>
              <w:rPr>
                <w:rFonts w:eastAsia="宋体"/>
                <w:color w:val="000000"/>
                <w:sz w:val="21"/>
                <w:szCs w:val="21"/>
              </w:rPr>
            </w:pPr>
            <w:r>
              <w:rPr>
                <w:rFonts w:eastAsia="宋体" w:hint="eastAsia"/>
                <w:color w:val="000000"/>
                <w:sz w:val="21"/>
                <w:szCs w:val="21"/>
              </w:rPr>
              <w:t>除敏感类项目需国家发展改革委核准外，其他项目一律实行备案制</w:t>
            </w:r>
          </w:p>
        </w:tc>
      </w:tr>
      <w:tr w:rsidR="006B10D9" w14:paraId="71972A99" w14:textId="77777777">
        <w:tc>
          <w:tcPr>
            <w:tcW w:w="1582" w:type="dxa"/>
            <w:shd w:val="clear" w:color="auto" w:fill="FFFFFF"/>
            <w:vAlign w:val="center"/>
          </w:tcPr>
          <w:p w14:paraId="61FC4F78"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lastRenderedPageBreak/>
              <w:t>2018</w:t>
            </w:r>
            <w:r>
              <w:rPr>
                <w:rFonts w:eastAsia="宋体" w:hint="eastAsia"/>
                <w:color w:val="000000"/>
                <w:sz w:val="21"/>
                <w:szCs w:val="21"/>
              </w:rPr>
              <w:t>年</w:t>
            </w:r>
            <w:r>
              <w:rPr>
                <w:rFonts w:eastAsia="宋体" w:hint="eastAsia"/>
                <w:color w:val="000000"/>
                <w:sz w:val="21"/>
                <w:szCs w:val="21"/>
              </w:rPr>
              <w:t>3</w:t>
            </w:r>
            <w:r>
              <w:rPr>
                <w:rFonts w:eastAsia="宋体" w:hint="eastAsia"/>
                <w:color w:val="000000"/>
                <w:sz w:val="21"/>
                <w:szCs w:val="21"/>
              </w:rPr>
              <w:t>月</w:t>
            </w:r>
          </w:p>
        </w:tc>
        <w:tc>
          <w:tcPr>
            <w:tcW w:w="1342" w:type="dxa"/>
            <w:shd w:val="clear" w:color="auto" w:fill="FFFFFF"/>
            <w:vAlign w:val="center"/>
          </w:tcPr>
          <w:p w14:paraId="27819BEA" w14:textId="77777777" w:rsidR="006B10D9" w:rsidRDefault="00BE6472">
            <w:pPr>
              <w:snapToGrid w:val="0"/>
              <w:spacing w:before="100" w:line="312" w:lineRule="auto"/>
              <w:ind w:firstLineChars="0" w:firstLine="0"/>
              <w:jc w:val="center"/>
              <w:rPr>
                <w:rFonts w:eastAsia="宋体"/>
                <w:color w:val="000000"/>
                <w:sz w:val="21"/>
                <w:szCs w:val="21"/>
              </w:rPr>
            </w:pPr>
            <w:r>
              <w:rPr>
                <w:rFonts w:eastAsia="宋体" w:hint="eastAsia"/>
                <w:color w:val="000000"/>
                <w:sz w:val="21"/>
                <w:szCs w:val="21"/>
              </w:rPr>
              <w:t>备案</w:t>
            </w:r>
            <w:r>
              <w:rPr>
                <w:rFonts w:eastAsia="宋体" w:hint="eastAsia"/>
                <w:color w:val="000000"/>
                <w:sz w:val="21"/>
                <w:szCs w:val="21"/>
              </w:rPr>
              <w:t>+</w:t>
            </w:r>
            <w:r>
              <w:rPr>
                <w:rFonts w:eastAsia="宋体" w:hint="eastAsia"/>
                <w:color w:val="000000"/>
                <w:sz w:val="21"/>
                <w:szCs w:val="21"/>
              </w:rPr>
              <w:t>核准</w:t>
            </w:r>
          </w:p>
        </w:tc>
        <w:tc>
          <w:tcPr>
            <w:tcW w:w="5766" w:type="dxa"/>
            <w:shd w:val="clear" w:color="auto" w:fill="FFFFFF"/>
            <w:vAlign w:val="center"/>
          </w:tcPr>
          <w:p w14:paraId="32473A5F" w14:textId="77777777" w:rsidR="006B10D9" w:rsidRDefault="00BE6472">
            <w:pPr>
              <w:snapToGrid w:val="0"/>
              <w:spacing w:before="100" w:line="312" w:lineRule="auto"/>
              <w:ind w:firstLineChars="0" w:firstLine="0"/>
              <w:rPr>
                <w:rFonts w:eastAsia="宋体"/>
                <w:color w:val="000000"/>
                <w:sz w:val="21"/>
                <w:szCs w:val="21"/>
              </w:rPr>
            </w:pPr>
            <w:r>
              <w:rPr>
                <w:rFonts w:eastAsia="宋体" w:hint="eastAsia"/>
                <w:color w:val="000000"/>
                <w:sz w:val="21"/>
                <w:szCs w:val="21"/>
              </w:rPr>
              <w:t>取消信息报告制度，取消地方初审、转报环节，放宽投资主体履行核准、备案手续的最晚时间</w:t>
            </w:r>
          </w:p>
        </w:tc>
      </w:tr>
    </w:tbl>
    <w:p w14:paraId="4F4A127D" w14:textId="77777777" w:rsidR="006B10D9" w:rsidRDefault="00BE6472">
      <w:pPr>
        <w:pStyle w:val="afffd"/>
      </w:pPr>
      <w:r>
        <w:rPr>
          <w:rFonts w:hint="eastAsia"/>
        </w:rPr>
        <w:t>资料来源：丛书编写组</w:t>
      </w:r>
      <w:r>
        <w:rPr>
          <w:rFonts w:hint="eastAsia"/>
        </w:rPr>
        <w:t xml:space="preserve">. </w:t>
      </w:r>
      <w:r>
        <w:rPr>
          <w:rFonts w:hint="eastAsia"/>
        </w:rPr>
        <w:t>学习贯彻习近平新时代中国特色社会主义经济思想</w:t>
      </w:r>
      <w:r>
        <w:rPr>
          <w:rFonts w:hint="eastAsia"/>
        </w:rPr>
        <w:t xml:space="preserve"> </w:t>
      </w:r>
      <w:r>
        <w:rPr>
          <w:rFonts w:hint="eastAsia"/>
        </w:rPr>
        <w:t>做好“十四五”规划编制和发展改革工作系列之建设更高水平开放型经济新体制</w:t>
      </w:r>
      <w:r>
        <w:rPr>
          <w:rFonts w:hint="eastAsia"/>
        </w:rPr>
        <w:t xml:space="preserve">[M]. </w:t>
      </w:r>
      <w:r>
        <w:rPr>
          <w:rFonts w:hint="eastAsia"/>
        </w:rPr>
        <w:t>中国计划出版社</w:t>
      </w:r>
      <w:r>
        <w:rPr>
          <w:rFonts w:hint="eastAsia"/>
        </w:rPr>
        <w:t xml:space="preserve">, </w:t>
      </w:r>
      <w:r>
        <w:rPr>
          <w:rFonts w:hint="eastAsia"/>
        </w:rPr>
        <w:t>中国市场出版社</w:t>
      </w:r>
      <w:r>
        <w:rPr>
          <w:rFonts w:hint="eastAsia"/>
        </w:rPr>
        <w:t>, 2020.</w:t>
      </w:r>
    </w:p>
    <w:p w14:paraId="67B41641" w14:textId="77777777" w:rsidR="006B10D9" w:rsidRDefault="006B10D9">
      <w:pPr>
        <w:pStyle w:val="afffd"/>
        <w:spacing w:beforeLines="0" w:before="0" w:line="240" w:lineRule="auto"/>
        <w:ind w:firstLineChars="0" w:firstLine="0"/>
        <w:rPr>
          <w:rFonts w:cs="Times New Roman"/>
        </w:rPr>
      </w:pPr>
    </w:p>
    <w:p w14:paraId="02C6BB72" w14:textId="77777777" w:rsidR="006B10D9" w:rsidRDefault="00BE6472">
      <w:pPr>
        <w:pStyle w:val="4"/>
      </w:pPr>
      <w:bookmarkStart w:id="12" w:name="_Toc3480"/>
      <w:r>
        <w:rPr>
          <w:rFonts w:hint="eastAsia"/>
        </w:rPr>
        <w:t>3</w:t>
      </w:r>
      <w:r>
        <w:rPr>
          <w:rFonts w:cs="华文楷体" w:hint="eastAsia"/>
        </w:rPr>
        <w:t>.</w:t>
      </w:r>
      <w:r>
        <w:rPr>
          <w:rFonts w:hint="eastAsia"/>
        </w:rPr>
        <w:t>对外投资合作服务保障体系不断健全</w:t>
      </w:r>
      <w:bookmarkEnd w:id="12"/>
    </w:p>
    <w:p w14:paraId="1D11B33F"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）完善投资促进体系</w:t>
      </w:r>
    </w:p>
    <w:p w14:paraId="4B163F85" w14:textId="77777777" w:rsidR="006B10D9" w:rsidRDefault="00BE6472">
      <w:pPr>
        <w:numPr>
          <w:ilvl w:val="255"/>
          <w:numId w:val="0"/>
        </w:numPr>
        <w:spacing w:line="360" w:lineRule="auto"/>
        <w:ind w:firstLine="600"/>
        <w:jc w:val="left"/>
        <w:rPr>
          <w:rFonts w:eastAsia="宋体" w:cs="Times New Roman"/>
          <w:sz w:val="24"/>
          <w:szCs w:val="24"/>
        </w:rPr>
      </w:pPr>
      <w:r>
        <w:rPr>
          <w:rFonts w:eastAsia="宋体" w:cs="Times New Roman" w:hint="eastAsia"/>
          <w:sz w:val="24"/>
          <w:szCs w:val="24"/>
        </w:rPr>
        <w:t>“十三五”时期，我国已初步形成了覆盖全国的多层次对外投资合作促进体系。一是政府间建立的双边或多边产能合作和第三方市场合作机制。例如，截至</w:t>
      </w:r>
      <w:r>
        <w:rPr>
          <w:rFonts w:eastAsia="宋体" w:cs="Times New Roman" w:hint="eastAsia"/>
          <w:sz w:val="24"/>
          <w:szCs w:val="24"/>
        </w:rPr>
        <w:t>2019</w:t>
      </w:r>
      <w:r>
        <w:rPr>
          <w:rFonts w:eastAsia="宋体" w:cs="Times New Roman" w:hint="eastAsia"/>
          <w:sz w:val="24"/>
          <w:szCs w:val="24"/>
        </w:rPr>
        <w:t>年</w:t>
      </w:r>
      <w:r>
        <w:rPr>
          <w:rFonts w:eastAsia="宋体" w:cs="Times New Roman" w:hint="eastAsia"/>
          <w:sz w:val="24"/>
          <w:szCs w:val="24"/>
        </w:rPr>
        <w:t>11</w:t>
      </w:r>
      <w:r>
        <w:rPr>
          <w:rFonts w:eastAsia="宋体" w:cs="Times New Roman" w:hint="eastAsia"/>
          <w:sz w:val="24"/>
          <w:szCs w:val="24"/>
        </w:rPr>
        <w:t>月，中国与</w:t>
      </w:r>
      <w:r>
        <w:rPr>
          <w:rFonts w:eastAsia="宋体" w:cs="Times New Roman" w:hint="eastAsia"/>
          <w:sz w:val="24"/>
          <w:szCs w:val="24"/>
        </w:rPr>
        <w:t>104</w:t>
      </w:r>
      <w:r>
        <w:rPr>
          <w:rFonts w:eastAsia="宋体" w:cs="Times New Roman" w:hint="eastAsia"/>
          <w:sz w:val="24"/>
          <w:szCs w:val="24"/>
        </w:rPr>
        <w:t>个国家签订了双边投资协定；二是形成以贸促会为核心的全国性综合贸易投资促进机构，为不同规模、行业和地区的企业提供精准服务；三是各行业协会成立的电力、石化、钢铁、有色等国际产能合作企业联盟为企业抱团出海、集群发展提供平台。</w:t>
      </w:r>
    </w:p>
    <w:p w14:paraId="2F8FB4AC"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）优化金融支持体系</w:t>
      </w:r>
    </w:p>
    <w:p w14:paraId="3712FEC8" w14:textId="77777777" w:rsidR="006B10D9" w:rsidRDefault="00BE6472">
      <w:pPr>
        <w:numPr>
          <w:ilvl w:val="255"/>
          <w:numId w:val="0"/>
        </w:numPr>
        <w:spacing w:line="360" w:lineRule="auto"/>
        <w:ind w:firstLine="600"/>
        <w:jc w:val="left"/>
        <w:rPr>
          <w:rFonts w:eastAsia="宋体" w:cs="Times New Roman"/>
          <w:sz w:val="24"/>
          <w:szCs w:val="24"/>
        </w:rPr>
      </w:pPr>
      <w:r>
        <w:rPr>
          <w:rFonts w:eastAsia="宋体" w:cs="Times New Roman" w:hint="eastAsia"/>
          <w:sz w:val="24"/>
          <w:szCs w:val="24"/>
        </w:rPr>
        <w:t>“十三五”期间，我国金融体系支持企业走出去更趋成熟。国家积极筹建亚投行、新开发银行等政策性银行，通过银团贷款、银行授信等方式开展多边金融合作；设立丝路基金、中非中拉产能合作基金等对外投融资基金，参与一批境外重大项目的投融资合作；鼓励国内金融机构在海外设立分支机构，支持条件成熟的企业在境外资本市场上融资；鼓励地方政府与银行成立投贷联动引导基金，开设民营企业贷款担保业务；对境外投资企业实施出口退税、增值税免税等优惠政策，完善境外所得税抵免政策。</w:t>
      </w:r>
    </w:p>
    <w:p w14:paraId="6EC4FF64"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）强化政府监管体系</w:t>
      </w:r>
    </w:p>
    <w:p w14:paraId="16869D23" w14:textId="77777777" w:rsidR="006B10D9" w:rsidRDefault="00BE6472">
      <w:pPr>
        <w:spacing w:line="360" w:lineRule="auto"/>
        <w:ind w:firstLine="480"/>
        <w:rPr>
          <w:rFonts w:eastAsia="宋体" w:cs="Times New Roman"/>
          <w:bCs/>
          <w:sz w:val="28"/>
        </w:rPr>
      </w:pPr>
      <w:r>
        <w:rPr>
          <w:rFonts w:eastAsia="宋体" w:cs="Times New Roman" w:hint="eastAsia"/>
          <w:sz w:val="24"/>
          <w:szCs w:val="24"/>
        </w:rPr>
        <w:t>“十三五”时期，为规范企业对外投资行为，减少非理性投资风险，</w:t>
      </w:r>
      <w:r>
        <w:rPr>
          <w:rFonts w:eastAsia="宋体" w:cs="Times New Roman" w:hint="eastAsia"/>
          <w:sz w:val="24"/>
          <w:szCs w:val="24"/>
        </w:rPr>
        <w:t>2017</w:t>
      </w:r>
      <w:r>
        <w:rPr>
          <w:rFonts w:eastAsia="宋体" w:cs="Times New Roman" w:hint="eastAsia"/>
          <w:sz w:val="24"/>
          <w:szCs w:val="24"/>
        </w:rPr>
        <w:t>年国家相关部委联合发布《关于进一步引导和规范境外投资方向的指导意见》，明确了鼓励、限制和禁止的三类境外投资活动，通过规范对境外投资事中事后的监管，引导企业理性、合规开展对外投资合作。同时，根据企业性质，对中央企业、民营企业、银行保险等特殊行业加强监管。例如，要求央企建立健全境外投资管理制度，强化战略引领、明确决策程序、规范经营行为等。“十三五”期间，通过加强对央企境外投资的全流程管理，中央企业实现海外营业收入超过</w:t>
      </w:r>
      <w:r>
        <w:rPr>
          <w:rFonts w:eastAsia="宋体" w:cs="Times New Roman" w:hint="eastAsia"/>
          <w:sz w:val="24"/>
          <w:szCs w:val="24"/>
        </w:rPr>
        <w:t>24</w:t>
      </w:r>
      <w:r>
        <w:rPr>
          <w:rFonts w:eastAsia="宋体" w:cs="Times New Roman" w:hint="eastAsia"/>
          <w:sz w:val="24"/>
          <w:szCs w:val="24"/>
        </w:rPr>
        <w:t>万亿元，利润总额接近</w:t>
      </w:r>
      <w:r>
        <w:rPr>
          <w:rFonts w:eastAsia="宋体" w:cs="Times New Roman" w:hint="eastAsia"/>
          <w:sz w:val="24"/>
          <w:szCs w:val="24"/>
        </w:rPr>
        <w:t>6000</w:t>
      </w:r>
      <w:r>
        <w:rPr>
          <w:rFonts w:eastAsia="宋体" w:cs="Times New Roman" w:hint="eastAsia"/>
          <w:sz w:val="24"/>
          <w:szCs w:val="24"/>
        </w:rPr>
        <w:t>亿</w:t>
      </w:r>
      <w:r>
        <w:rPr>
          <w:rFonts w:eastAsia="宋体" w:cs="Times New Roman" w:hint="eastAsia"/>
          <w:sz w:val="24"/>
          <w:szCs w:val="24"/>
        </w:rPr>
        <w:lastRenderedPageBreak/>
        <w:t>元，对外投资收益率达到</w:t>
      </w:r>
      <w:r>
        <w:rPr>
          <w:rFonts w:eastAsia="宋体" w:cs="Times New Roman" w:hint="eastAsia"/>
          <w:sz w:val="24"/>
          <w:szCs w:val="24"/>
        </w:rPr>
        <w:t>6.7%</w:t>
      </w:r>
      <w:r>
        <w:rPr>
          <w:rFonts w:eastAsia="宋体" w:cs="Times New Roman" w:hint="eastAsia"/>
          <w:sz w:val="24"/>
          <w:szCs w:val="21"/>
          <w:vertAlign w:val="superscript"/>
        </w:rPr>
        <w:t>[</w:t>
      </w:r>
      <w:r>
        <w:rPr>
          <w:rFonts w:eastAsia="宋体" w:cs="Times New Roman" w:hint="eastAsia"/>
          <w:sz w:val="24"/>
          <w:szCs w:val="21"/>
          <w:vertAlign w:val="superscript"/>
        </w:rPr>
        <w:footnoteReference w:id="6"/>
      </w:r>
      <w:r>
        <w:rPr>
          <w:rFonts w:eastAsia="宋体" w:cs="Times New Roman" w:hint="eastAsia"/>
          <w:sz w:val="24"/>
          <w:szCs w:val="21"/>
          <w:vertAlign w:val="superscript"/>
        </w:rPr>
        <w:t>]</w:t>
      </w:r>
      <w:r>
        <w:rPr>
          <w:rFonts w:eastAsia="宋体" w:cs="Times New Roman" w:hint="eastAsia"/>
          <w:szCs w:val="24"/>
        </w:rPr>
        <w:t>。</w:t>
      </w:r>
    </w:p>
    <w:p w14:paraId="4546FA4B" w14:textId="77777777" w:rsidR="006B10D9" w:rsidRDefault="00BE6472">
      <w:pPr>
        <w:pStyle w:val="3"/>
        <w:spacing w:before="120" w:after="240"/>
      </w:pPr>
      <w:bookmarkStart w:id="13" w:name="_Toc30074"/>
      <w:bookmarkStart w:id="14" w:name="_Toc93922378"/>
      <w:r>
        <w:rPr>
          <w:rFonts w:hint="eastAsia"/>
        </w:rPr>
        <w:t>（二）后疫情时代企业“走出去”的趋势变化</w:t>
      </w:r>
      <w:bookmarkEnd w:id="13"/>
      <w:bookmarkEnd w:id="14"/>
    </w:p>
    <w:p w14:paraId="4EFCDA0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2020</w:t>
      </w:r>
      <w:r>
        <w:rPr>
          <w:rFonts w:eastAsia="宋体" w:cs="Times New Roman" w:hint="eastAsia"/>
          <w:sz w:val="24"/>
          <w:szCs w:val="24"/>
        </w:rPr>
        <w:t>年初，新冠疫情的暴发深刻改变了世界面貌，全球宏观经济形势亦发生重大调整，世界经历百年未有之大变局。贸易保护主义、单边主义、民族主义思潮愈演愈烈，地缘政治形势错综复杂，为中国企业走出去带来前所未有的困难和挑战。在此背景下，如何认识走出去企业面临的短期和中长期疫情冲击，以及全球产业链供应链变化特点，将有助于明晰后疫情时代我国对外投资的发展趋势。</w:t>
      </w:r>
    </w:p>
    <w:p w14:paraId="5544FCA8" w14:textId="77777777" w:rsidR="006B10D9" w:rsidRDefault="00BE6472">
      <w:pPr>
        <w:pStyle w:val="4"/>
      </w:pPr>
      <w:bookmarkStart w:id="15" w:name="_Toc26150"/>
      <w:r>
        <w:rPr>
          <w:rFonts w:hint="eastAsia"/>
        </w:rPr>
        <w:t>1</w:t>
      </w:r>
      <w:r>
        <w:rPr>
          <w:rFonts w:cs="华文楷体" w:hint="eastAsia"/>
        </w:rPr>
        <w:t>.</w:t>
      </w:r>
      <w:r>
        <w:rPr>
          <w:rFonts w:hint="eastAsia"/>
        </w:rPr>
        <w:t>新冠疫情对我国对外投资的影响</w:t>
      </w:r>
      <w:bookmarkEnd w:id="15"/>
    </w:p>
    <w:p w14:paraId="529DA92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新冠疫情发生后，全球多国宣布停航、关闭边境、限制居民外出、保持社交距离等禁令，一些行业停工停产，对我国对外投资产生了一定影响。</w:t>
      </w:r>
    </w:p>
    <w:p w14:paraId="056E0047"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）对投资流量的影响</w:t>
      </w:r>
    </w:p>
    <w:p w14:paraId="680D5A7D"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一是对外直接投资流量下降。</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1-10</w:t>
      </w:r>
      <w:r>
        <w:rPr>
          <w:rFonts w:eastAsia="宋体" w:cs="Times New Roman" w:hint="eastAsia"/>
          <w:sz w:val="24"/>
          <w:szCs w:val="24"/>
        </w:rPr>
        <w:t>月，我国对外非金融类直接投资为</w:t>
      </w:r>
      <w:r>
        <w:rPr>
          <w:rFonts w:eastAsia="宋体" w:cs="Times New Roman" w:hint="eastAsia"/>
          <w:sz w:val="24"/>
          <w:szCs w:val="24"/>
        </w:rPr>
        <w:t>863.8</w:t>
      </w:r>
      <w:r>
        <w:rPr>
          <w:rFonts w:eastAsia="宋体" w:cs="Times New Roman" w:hint="eastAsia"/>
          <w:sz w:val="24"/>
          <w:szCs w:val="24"/>
        </w:rPr>
        <w:t>亿美元，同比下降</w:t>
      </w:r>
      <w:r>
        <w:rPr>
          <w:rFonts w:eastAsia="宋体" w:cs="Times New Roman" w:hint="eastAsia"/>
          <w:sz w:val="24"/>
          <w:szCs w:val="24"/>
        </w:rPr>
        <w:t>3.2%</w:t>
      </w:r>
      <w:r>
        <w:rPr>
          <w:rFonts w:eastAsia="宋体" w:cs="Times New Roman" w:hint="eastAsia"/>
          <w:sz w:val="24"/>
          <w:szCs w:val="24"/>
          <w:vertAlign w:val="superscript"/>
        </w:rPr>
        <w:t>[</w:t>
      </w:r>
      <w:r>
        <w:rPr>
          <w:rFonts w:eastAsia="宋体" w:cs="Times New Roman" w:hint="eastAsia"/>
          <w:sz w:val="24"/>
          <w:szCs w:val="24"/>
          <w:vertAlign w:val="superscript"/>
        </w:rPr>
        <w:footnoteReference w:id="7"/>
      </w:r>
      <w:r>
        <w:rPr>
          <w:rFonts w:eastAsia="宋体" w:cs="Times New Roman" w:hint="eastAsia"/>
          <w:sz w:val="24"/>
          <w:szCs w:val="24"/>
          <w:vertAlign w:val="superscript"/>
        </w:rPr>
        <w:t>]</w:t>
      </w:r>
      <w:r>
        <w:rPr>
          <w:rFonts w:eastAsia="宋体" w:cs="Times New Roman" w:hint="eastAsia"/>
          <w:sz w:val="24"/>
          <w:szCs w:val="24"/>
        </w:rPr>
        <w:t>。从投资方式上看，受疫情影响，中国对外投资并购总体规模下降。</w:t>
      </w:r>
      <w:r>
        <w:rPr>
          <w:rFonts w:eastAsia="宋体" w:cs="Times New Roman" w:hint="eastAsia"/>
          <w:sz w:val="24"/>
          <w:szCs w:val="24"/>
        </w:rPr>
        <w:t>2020</w:t>
      </w:r>
      <w:r>
        <w:rPr>
          <w:rFonts w:eastAsia="宋体" w:cs="Times New Roman" w:hint="eastAsia"/>
          <w:sz w:val="24"/>
          <w:szCs w:val="24"/>
        </w:rPr>
        <w:t>年，企业共实施对外投资并购项目</w:t>
      </w:r>
      <w:r>
        <w:rPr>
          <w:rFonts w:eastAsia="宋体" w:cs="Times New Roman" w:hint="eastAsia"/>
          <w:sz w:val="24"/>
          <w:szCs w:val="24"/>
        </w:rPr>
        <w:t>513</w:t>
      </w:r>
      <w:r>
        <w:rPr>
          <w:rFonts w:eastAsia="宋体" w:cs="Times New Roman" w:hint="eastAsia"/>
          <w:sz w:val="24"/>
          <w:szCs w:val="24"/>
        </w:rPr>
        <w:t>起（较上年增加</w:t>
      </w:r>
      <w:r>
        <w:rPr>
          <w:rFonts w:eastAsia="宋体" w:cs="Times New Roman" w:hint="eastAsia"/>
          <w:sz w:val="24"/>
          <w:szCs w:val="24"/>
        </w:rPr>
        <w:t>46</w:t>
      </w:r>
      <w:r>
        <w:rPr>
          <w:rFonts w:eastAsia="宋体" w:cs="Times New Roman" w:hint="eastAsia"/>
          <w:sz w:val="24"/>
          <w:szCs w:val="24"/>
        </w:rPr>
        <w:t>起），涉及</w:t>
      </w:r>
      <w:r>
        <w:rPr>
          <w:rFonts w:eastAsia="宋体" w:cs="Times New Roman" w:hint="eastAsia"/>
          <w:sz w:val="24"/>
          <w:szCs w:val="24"/>
        </w:rPr>
        <w:t>61</w:t>
      </w:r>
      <w:r>
        <w:rPr>
          <w:rFonts w:eastAsia="宋体" w:cs="Times New Roman" w:hint="eastAsia"/>
          <w:sz w:val="24"/>
          <w:szCs w:val="24"/>
        </w:rPr>
        <w:t>个国家（地区），实际交易总额</w:t>
      </w:r>
      <w:r>
        <w:rPr>
          <w:rFonts w:eastAsia="宋体" w:cs="Times New Roman" w:hint="eastAsia"/>
          <w:sz w:val="24"/>
          <w:szCs w:val="24"/>
        </w:rPr>
        <w:t>282</w:t>
      </w:r>
      <w:r>
        <w:rPr>
          <w:rFonts w:eastAsia="宋体" w:cs="Times New Roman" w:hint="eastAsia"/>
          <w:sz w:val="24"/>
          <w:szCs w:val="24"/>
        </w:rPr>
        <w:t>亿美元，同比下降</w:t>
      </w:r>
      <w:r>
        <w:rPr>
          <w:rFonts w:eastAsia="宋体" w:cs="Times New Roman" w:hint="eastAsia"/>
          <w:sz w:val="24"/>
          <w:szCs w:val="24"/>
        </w:rPr>
        <w:t>17.7</w:t>
      </w:r>
      <w:r>
        <w:rPr>
          <w:rFonts w:eastAsia="宋体" w:cs="Times New Roman" w:hint="eastAsia"/>
          <w:sz w:val="24"/>
          <w:szCs w:val="24"/>
        </w:rPr>
        <w:t>％。</w:t>
      </w:r>
    </w:p>
    <w:p w14:paraId="63555E2D"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二是地方企业投资呈现亮点。</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1-10</w:t>
      </w:r>
      <w:r>
        <w:rPr>
          <w:rFonts w:eastAsia="宋体" w:cs="Times New Roman" w:hint="eastAsia"/>
          <w:sz w:val="24"/>
          <w:szCs w:val="24"/>
        </w:rPr>
        <w:t>月，地方企业对外直接投资总额为</w:t>
      </w:r>
      <w:r>
        <w:rPr>
          <w:rFonts w:eastAsia="宋体" w:cs="Times New Roman" w:hint="eastAsia"/>
          <w:sz w:val="24"/>
          <w:szCs w:val="24"/>
        </w:rPr>
        <w:t>627.5</w:t>
      </w:r>
      <w:r>
        <w:rPr>
          <w:rFonts w:eastAsia="宋体" w:cs="Times New Roman" w:hint="eastAsia"/>
          <w:sz w:val="24"/>
          <w:szCs w:val="24"/>
        </w:rPr>
        <w:t>亿美元，同比增长</w:t>
      </w:r>
      <w:r>
        <w:rPr>
          <w:rFonts w:eastAsia="宋体" w:cs="Times New Roman" w:hint="eastAsia"/>
          <w:sz w:val="24"/>
          <w:szCs w:val="24"/>
        </w:rPr>
        <w:t>11.7%</w:t>
      </w:r>
      <w:r>
        <w:rPr>
          <w:rFonts w:eastAsia="宋体" w:cs="Times New Roman" w:hint="eastAsia"/>
          <w:sz w:val="24"/>
          <w:szCs w:val="24"/>
        </w:rPr>
        <w:t>。这主要得益于各级政府部门在疫情暴发后，对我境外中资企业及时进行指导帮助，在做好疫情防控的前提下，稳妥推进复工复产，同时积极利用疫情带来的机遇，拓展我国企业在数字经济、信息基础设施、医疗卫生等领域的投资。</w:t>
      </w:r>
    </w:p>
    <w:p w14:paraId="5D0ACC59"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三是对“一带一路”沿线国家投资增长迅速。</w:t>
      </w:r>
      <w:r>
        <w:rPr>
          <w:rFonts w:eastAsia="宋体" w:cs="Times New Roman" w:hint="eastAsia"/>
          <w:sz w:val="24"/>
          <w:szCs w:val="24"/>
        </w:rPr>
        <w:t>尽管受到疫情因素影响，</w:t>
      </w:r>
      <w:r>
        <w:rPr>
          <w:rFonts w:eastAsia="宋体" w:cs="Times New Roman" w:hint="eastAsia"/>
          <w:sz w:val="24"/>
          <w:szCs w:val="24"/>
        </w:rPr>
        <w:t>2020</w:t>
      </w:r>
      <w:r>
        <w:rPr>
          <w:rFonts w:eastAsia="宋体" w:cs="Times New Roman" w:hint="eastAsia"/>
          <w:sz w:val="24"/>
          <w:szCs w:val="24"/>
        </w:rPr>
        <w:t>年，对外非金融类直接投资流量</w:t>
      </w:r>
      <w:r>
        <w:rPr>
          <w:rFonts w:eastAsia="宋体" w:cs="Times New Roman" w:hint="eastAsia"/>
          <w:sz w:val="24"/>
          <w:szCs w:val="24"/>
        </w:rPr>
        <w:t>1340.5</w:t>
      </w:r>
      <w:r>
        <w:rPr>
          <w:rFonts w:eastAsia="宋体" w:cs="Times New Roman" w:hint="eastAsia"/>
          <w:sz w:val="24"/>
          <w:szCs w:val="24"/>
        </w:rPr>
        <w:t>亿美元，同比增长</w:t>
      </w:r>
      <w:r>
        <w:rPr>
          <w:rFonts w:eastAsia="宋体" w:cs="Times New Roman" w:hint="eastAsia"/>
          <w:sz w:val="24"/>
          <w:szCs w:val="24"/>
        </w:rPr>
        <w:t>14.6</w:t>
      </w:r>
      <w:r>
        <w:rPr>
          <w:rFonts w:eastAsia="宋体" w:cs="Times New Roman" w:hint="eastAsia"/>
          <w:sz w:val="24"/>
          <w:szCs w:val="24"/>
        </w:rPr>
        <w:t>％，对外投资带动出口</w:t>
      </w:r>
      <w:r>
        <w:rPr>
          <w:rFonts w:eastAsia="宋体" w:cs="Times New Roman" w:hint="eastAsia"/>
          <w:sz w:val="24"/>
          <w:szCs w:val="24"/>
        </w:rPr>
        <w:t>1737</w:t>
      </w:r>
      <w:r>
        <w:rPr>
          <w:rFonts w:eastAsia="宋体" w:cs="Times New Roman" w:hint="eastAsia"/>
          <w:sz w:val="24"/>
          <w:szCs w:val="24"/>
        </w:rPr>
        <w:t>亿美元，同比增长</w:t>
      </w:r>
      <w:r>
        <w:rPr>
          <w:rFonts w:eastAsia="宋体" w:cs="Times New Roman" w:hint="eastAsia"/>
          <w:sz w:val="24"/>
          <w:szCs w:val="24"/>
        </w:rPr>
        <w:t>48.8</w:t>
      </w:r>
      <w:r>
        <w:rPr>
          <w:rFonts w:eastAsia="宋体" w:cs="Times New Roman" w:hint="eastAsia"/>
          <w:sz w:val="24"/>
          <w:szCs w:val="24"/>
        </w:rPr>
        <w:t>％，占中国货物出口总值的</w:t>
      </w:r>
      <w:r>
        <w:rPr>
          <w:rFonts w:eastAsia="宋体" w:cs="Times New Roman" w:hint="eastAsia"/>
          <w:sz w:val="24"/>
          <w:szCs w:val="24"/>
        </w:rPr>
        <w:t>6.7</w:t>
      </w:r>
      <w:r>
        <w:rPr>
          <w:rFonts w:eastAsia="宋体" w:cs="Times New Roman" w:hint="eastAsia"/>
          <w:sz w:val="24"/>
          <w:szCs w:val="24"/>
        </w:rPr>
        <w:t>％。</w:t>
      </w:r>
    </w:p>
    <w:p w14:paraId="024E50AC"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）对境外中资企业的短期冲击</w:t>
      </w:r>
    </w:p>
    <w:p w14:paraId="11797DE6"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1</w:t>
      </w:r>
      <w:r>
        <w:rPr>
          <w:rFonts w:eastAsia="宋体" w:cs="Times New Roman" w:hint="eastAsia"/>
          <w:b/>
          <w:bCs/>
          <w:sz w:val="24"/>
          <w:szCs w:val="24"/>
        </w:rPr>
        <w:t>）项目执行遇阻。</w:t>
      </w:r>
      <w:r>
        <w:rPr>
          <w:rFonts w:eastAsia="宋体" w:cs="Times New Roman" w:hint="eastAsia"/>
          <w:sz w:val="24"/>
          <w:szCs w:val="24"/>
        </w:rPr>
        <w:t>疫情对我境外中资企业的冲击主要在于影响项目执行。由于投资目的地国关闭边境、削减航班、撤销签证等措施，且疫情的暴发恰逢我国春节期</w:t>
      </w:r>
      <w:r>
        <w:rPr>
          <w:rFonts w:eastAsia="宋体" w:cs="Times New Roman" w:hint="eastAsia"/>
          <w:sz w:val="24"/>
          <w:szCs w:val="24"/>
        </w:rPr>
        <w:lastRenderedPageBreak/>
        <w:t>间，导致国内大量人员无法及时前往或返回海外项目现场。此外，供应链不稳定或中断导致生产进程延后，物流运输不畅使设备难以按时抵达。一些国外企业以更换当地供应商和增加本地员工数量等方式应对疫情冲击，并由此产生高昂的额外成本。长此以往，势必将导致项目违约风险增加，企业由此招致更大损失。</w:t>
      </w:r>
    </w:p>
    <w:p w14:paraId="7CDFA8DC"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2</w:t>
      </w:r>
      <w:r>
        <w:rPr>
          <w:rFonts w:eastAsia="宋体" w:cs="Times New Roman" w:hint="eastAsia"/>
          <w:b/>
          <w:bCs/>
          <w:sz w:val="24"/>
          <w:szCs w:val="24"/>
        </w:rPr>
        <w:t>）市场开发遇困。</w:t>
      </w:r>
      <w:r>
        <w:rPr>
          <w:rFonts w:eastAsia="宋体" w:cs="Times New Roman" w:hint="eastAsia"/>
          <w:sz w:val="24"/>
          <w:szCs w:val="24"/>
        </w:rPr>
        <w:t>疫情导致各国被迫采取“封城”或“封国”等社交隔离措施，导致中资企业在海外市场的开发中断。海外市场开发需要长期、连续和不间断的投入，需要走出去企业与海外团队、潜在客户、政府机构、合作伙伴等保持密切沟通和人员交流。疫情导致企业海外市场开发人员难以外派，易导致项目前期投入和项目跟踪中断，且国内外复工复产进度不一致、办公状态差异明显，存在“脱节”或“失联”风险，导致项目机会被浪费甚至前功尽弃。预计疫情对我企业海外市场开发的不利影响将延续到</w:t>
      </w:r>
      <w:r>
        <w:rPr>
          <w:rFonts w:eastAsia="宋体" w:cs="Times New Roman" w:hint="eastAsia"/>
          <w:sz w:val="24"/>
          <w:szCs w:val="24"/>
        </w:rPr>
        <w:t>2022</w:t>
      </w:r>
      <w:r>
        <w:rPr>
          <w:rFonts w:eastAsia="宋体" w:cs="Times New Roman" w:hint="eastAsia"/>
          <w:sz w:val="24"/>
          <w:szCs w:val="24"/>
        </w:rPr>
        <w:t>年甚至更长时间，并导致项目储备减少、合同金额缩水和对外投资总额下滑。</w:t>
      </w:r>
    </w:p>
    <w:p w14:paraId="2B5DFBA1"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3</w:t>
      </w:r>
      <w:r>
        <w:rPr>
          <w:rFonts w:eastAsia="宋体" w:cs="Times New Roman" w:hint="eastAsia"/>
          <w:b/>
          <w:bCs/>
          <w:sz w:val="24"/>
          <w:szCs w:val="24"/>
        </w:rPr>
        <w:t>）经营环境遇变。</w:t>
      </w:r>
      <w:r>
        <w:rPr>
          <w:rFonts w:eastAsia="宋体" w:cs="Times New Roman" w:hint="eastAsia"/>
          <w:sz w:val="24"/>
          <w:szCs w:val="24"/>
        </w:rPr>
        <w:t>在疫情暴发和传播初期，一些海外承包商认为中国企业承揽项目将显著增加疫情输入风险和项目延期风险，从而将中国企业人为排除在评标范围外。而随着疫情的全球蔓延，以及少数国家将疫情污名化的举动，导致我国企业走出去的舆情风险增加。在项目业主和投资东道国恢复正常前，无论是作为出口商、承包商还是投资方，都将承受较大压力和更为复杂的经营环境。</w:t>
      </w:r>
    </w:p>
    <w:tbl>
      <w:tblPr>
        <w:tblStyle w:val="42"/>
        <w:tblW w:w="0" w:type="auto"/>
        <w:tblLook w:val="04A0" w:firstRow="1" w:lastRow="0" w:firstColumn="1" w:lastColumn="0" w:noHBand="0" w:noVBand="1"/>
      </w:tblPr>
      <w:tblGrid>
        <w:gridCol w:w="8522"/>
      </w:tblGrid>
      <w:tr w:rsidR="006B10D9" w14:paraId="15505D94" w14:textId="77777777">
        <w:tc>
          <w:tcPr>
            <w:tcW w:w="8522" w:type="dxa"/>
          </w:tcPr>
          <w:p w14:paraId="4F8B2521" w14:textId="77777777" w:rsidR="006B10D9" w:rsidRDefault="00BE6472">
            <w:pPr>
              <w:spacing w:line="348" w:lineRule="auto"/>
              <w:ind w:firstLineChars="300" w:firstLine="723"/>
              <w:rPr>
                <w:rFonts w:eastAsia="宋体"/>
                <w:b/>
                <w:bCs/>
                <w:sz w:val="24"/>
                <w:szCs w:val="24"/>
              </w:rPr>
            </w:pPr>
            <w:r>
              <w:rPr>
                <w:rFonts w:eastAsia="宋体" w:hint="eastAsia"/>
                <w:b/>
                <w:bCs/>
                <w:sz w:val="24"/>
                <w:szCs w:val="24"/>
              </w:rPr>
              <w:t>专栏</w:t>
            </w:r>
            <w:r>
              <w:rPr>
                <w:rFonts w:eastAsia="宋体" w:hint="eastAsia"/>
                <w:b/>
                <w:bCs/>
                <w:sz w:val="24"/>
                <w:szCs w:val="24"/>
              </w:rPr>
              <w:t xml:space="preserve">1 </w:t>
            </w:r>
            <w:r>
              <w:rPr>
                <w:rFonts w:eastAsia="宋体" w:hint="eastAsia"/>
                <w:b/>
                <w:bCs/>
                <w:sz w:val="24"/>
                <w:szCs w:val="24"/>
              </w:rPr>
              <w:t>后疫情时代中国企业对“一带一路”沿线国家投资风险分析</w:t>
            </w:r>
          </w:p>
          <w:p w14:paraId="281C546E" w14:textId="77777777" w:rsidR="006B10D9" w:rsidRDefault="00BE6472">
            <w:pPr>
              <w:spacing w:line="348" w:lineRule="auto"/>
              <w:ind w:firstLine="480"/>
              <w:rPr>
                <w:rFonts w:eastAsia="宋体"/>
                <w:sz w:val="24"/>
                <w:szCs w:val="24"/>
              </w:rPr>
            </w:pPr>
            <w:r>
              <w:rPr>
                <w:rFonts w:eastAsia="宋体" w:hint="eastAsia"/>
                <w:sz w:val="24"/>
                <w:szCs w:val="24"/>
              </w:rPr>
              <w:t>“一带一路”倡议提出</w:t>
            </w:r>
            <w:r>
              <w:rPr>
                <w:rFonts w:eastAsia="宋体" w:hint="eastAsia"/>
                <w:sz w:val="24"/>
                <w:szCs w:val="24"/>
              </w:rPr>
              <w:t>7</w:t>
            </w:r>
            <w:r>
              <w:rPr>
                <w:rFonts w:eastAsia="宋体" w:hint="eastAsia"/>
                <w:sz w:val="24"/>
                <w:szCs w:val="24"/>
              </w:rPr>
              <w:t>年来，取得了丰硕成果，有力推动了沿线国家基础设施、贸易、金融、医疗等方面的发展。</w:t>
            </w:r>
            <w:r>
              <w:rPr>
                <w:rFonts w:eastAsia="宋体" w:hint="eastAsia"/>
                <w:sz w:val="24"/>
                <w:szCs w:val="24"/>
              </w:rPr>
              <w:t>2020</w:t>
            </w:r>
            <w:r>
              <w:rPr>
                <w:rFonts w:eastAsia="宋体" w:hint="eastAsia"/>
                <w:sz w:val="24"/>
                <w:szCs w:val="24"/>
              </w:rPr>
              <w:t>年，在疫情冲击叠加逆全球化的背景下，“一带一路”国家普遍面临经济下滑、货币贬值以及债务攀升的压力。疫情导致的封锁和经济停滞大幅削弱了全球消费和对外投资，外部需求的疲弱及大宗商品价格震荡也冲击了部分以初级产品出口为主的“一带一路”国家。尽管如此，中国与“一带一路”沿线国家之间的经贸往来和投资关系迸发出新的活力，</w:t>
            </w:r>
            <w:r>
              <w:rPr>
                <w:rFonts w:eastAsia="宋体" w:hint="eastAsia"/>
                <w:sz w:val="24"/>
                <w:szCs w:val="24"/>
              </w:rPr>
              <w:t>2020</w:t>
            </w:r>
            <w:r>
              <w:rPr>
                <w:rFonts w:eastAsia="宋体" w:hint="eastAsia"/>
                <w:sz w:val="24"/>
                <w:szCs w:val="24"/>
              </w:rPr>
              <w:t>年前三季度中国企业对“一带一路”沿线</w:t>
            </w:r>
            <w:r>
              <w:rPr>
                <w:rFonts w:eastAsia="宋体" w:hint="eastAsia"/>
                <w:sz w:val="24"/>
                <w:szCs w:val="24"/>
              </w:rPr>
              <w:t>57</w:t>
            </w:r>
            <w:r>
              <w:rPr>
                <w:rFonts w:eastAsia="宋体" w:hint="eastAsia"/>
                <w:sz w:val="24"/>
                <w:szCs w:val="24"/>
              </w:rPr>
              <w:t>个国家的非金融类直接投资达到</w:t>
            </w:r>
            <w:r>
              <w:rPr>
                <w:rFonts w:eastAsia="宋体" w:hint="eastAsia"/>
                <w:sz w:val="24"/>
                <w:szCs w:val="24"/>
              </w:rPr>
              <w:t>130</w:t>
            </w:r>
            <w:r>
              <w:rPr>
                <w:rFonts w:eastAsia="宋体" w:hint="eastAsia"/>
                <w:sz w:val="24"/>
                <w:szCs w:val="24"/>
              </w:rPr>
              <w:t>亿美元，同比增长</w:t>
            </w:r>
            <w:r>
              <w:rPr>
                <w:rFonts w:eastAsia="宋体" w:hint="eastAsia"/>
                <w:sz w:val="24"/>
                <w:szCs w:val="24"/>
              </w:rPr>
              <w:t>29.7%</w:t>
            </w:r>
            <w:r>
              <w:rPr>
                <w:rFonts w:eastAsia="宋体" w:hint="eastAsia"/>
                <w:sz w:val="24"/>
                <w:szCs w:val="24"/>
              </w:rPr>
              <w:t>，占同期总额的</w:t>
            </w:r>
            <w:r>
              <w:rPr>
                <w:rFonts w:eastAsia="宋体" w:hint="eastAsia"/>
                <w:sz w:val="24"/>
                <w:szCs w:val="24"/>
              </w:rPr>
              <w:t>16.5%</w:t>
            </w:r>
            <w:r>
              <w:rPr>
                <w:rFonts w:eastAsia="宋体" w:hint="eastAsia"/>
                <w:sz w:val="24"/>
                <w:szCs w:val="24"/>
              </w:rPr>
              <w:t>，较上年同期提升</w:t>
            </w:r>
            <w:r>
              <w:rPr>
                <w:rFonts w:eastAsia="宋体" w:hint="eastAsia"/>
                <w:sz w:val="24"/>
                <w:szCs w:val="24"/>
              </w:rPr>
              <w:t>4.1</w:t>
            </w:r>
            <w:r>
              <w:rPr>
                <w:rFonts w:eastAsia="宋体" w:hint="eastAsia"/>
                <w:sz w:val="24"/>
                <w:szCs w:val="24"/>
              </w:rPr>
              <w:t>个百分点，主要投向为东盟、哈萨克斯坦、阿联酋等国家和地区。</w:t>
            </w:r>
          </w:p>
          <w:p w14:paraId="61DFD9F3" w14:textId="77777777" w:rsidR="006B10D9" w:rsidRDefault="00BE6472">
            <w:pPr>
              <w:spacing w:line="348" w:lineRule="auto"/>
              <w:ind w:firstLine="480"/>
              <w:rPr>
                <w:rFonts w:eastAsia="宋体"/>
                <w:sz w:val="24"/>
                <w:szCs w:val="24"/>
              </w:rPr>
            </w:pPr>
            <w:r>
              <w:rPr>
                <w:rFonts w:eastAsia="宋体" w:hint="eastAsia"/>
                <w:sz w:val="24"/>
                <w:szCs w:val="24"/>
              </w:rPr>
              <w:t>在后疫情时代，“一带一路”沿线国家仍将面临较大的经济和财政压力，金融稳定性遭遇挑战，主权债务风险高企，部分对外资依赖程度较高的国家可能面临汇率贬值、外储显著下降、外债偿付风险上升等流动性危机。具体来说，中企</w:t>
            </w:r>
            <w:r>
              <w:rPr>
                <w:rFonts w:eastAsia="宋体" w:hint="eastAsia"/>
                <w:sz w:val="24"/>
                <w:szCs w:val="24"/>
              </w:rPr>
              <w:lastRenderedPageBreak/>
              <w:t>投资于“一带一路”沿线国家可能面临以下风险：</w:t>
            </w:r>
          </w:p>
          <w:p w14:paraId="63B91EE2" w14:textId="77777777" w:rsidR="006B10D9" w:rsidRDefault="00BE6472">
            <w:pPr>
              <w:spacing w:line="348" w:lineRule="auto"/>
              <w:ind w:firstLine="482"/>
              <w:rPr>
                <w:rFonts w:eastAsia="宋体"/>
                <w:sz w:val="24"/>
                <w:szCs w:val="24"/>
              </w:rPr>
            </w:pPr>
            <w:r>
              <w:rPr>
                <w:rFonts w:eastAsia="宋体" w:hint="eastAsia"/>
                <w:b/>
                <w:bCs/>
                <w:sz w:val="24"/>
                <w:szCs w:val="24"/>
              </w:rPr>
              <w:t>政治风险。</w:t>
            </w:r>
            <w:r>
              <w:rPr>
                <w:rFonts w:eastAsia="宋体" w:hint="eastAsia"/>
                <w:sz w:val="24"/>
                <w:szCs w:val="24"/>
              </w:rPr>
              <w:t>从地理空间上看，“一带一路”沿线国家主要分布在亚非和拉丁美洲大陆，部分国家对内面临领导人更替、民族冲突等多重矛盾，对外深陷大国博弈以及地区冲突，在对外投资过程中最难以把握。</w:t>
            </w:r>
            <w:r>
              <w:rPr>
                <w:rFonts w:eastAsia="宋体" w:hint="eastAsia"/>
                <w:sz w:val="24"/>
                <w:szCs w:val="24"/>
              </w:rPr>
              <w:t>2020</w:t>
            </w:r>
            <w:r>
              <w:rPr>
                <w:rFonts w:eastAsia="宋体" w:hint="eastAsia"/>
                <w:sz w:val="24"/>
                <w:szCs w:val="24"/>
              </w:rPr>
              <w:t>年，受疫情影响，部分地区政治风险有所缓和，但仍受制于大国博弈、民族宗教等尖锐矛盾，政治风险处于较高水平。</w:t>
            </w:r>
          </w:p>
          <w:p w14:paraId="4FE2BB9D" w14:textId="77777777" w:rsidR="006B10D9" w:rsidRDefault="00BE6472">
            <w:pPr>
              <w:spacing w:line="348" w:lineRule="auto"/>
              <w:ind w:firstLine="482"/>
              <w:rPr>
                <w:rFonts w:eastAsia="宋体"/>
                <w:sz w:val="24"/>
                <w:szCs w:val="24"/>
              </w:rPr>
            </w:pPr>
            <w:r>
              <w:rPr>
                <w:rFonts w:eastAsia="宋体" w:hint="eastAsia"/>
                <w:b/>
                <w:bCs/>
                <w:sz w:val="24"/>
                <w:szCs w:val="24"/>
              </w:rPr>
              <w:t>经济风险。</w:t>
            </w:r>
            <w:r>
              <w:rPr>
                <w:rFonts w:eastAsia="宋体" w:hint="eastAsia"/>
                <w:sz w:val="24"/>
                <w:szCs w:val="24"/>
              </w:rPr>
              <w:t>后疫情时代，“一带一路”沿线国家普遍面临经济增速缓慢、基础设施严重不足、货币疲软、通货膨胀压力居高不下等风险。根据世界银行</w:t>
            </w:r>
            <w:r>
              <w:rPr>
                <w:rFonts w:eastAsia="宋体" w:hint="eastAsia"/>
                <w:sz w:val="24"/>
                <w:szCs w:val="24"/>
              </w:rPr>
              <w:t>2020</w:t>
            </w:r>
            <w:r>
              <w:rPr>
                <w:rFonts w:eastAsia="宋体" w:hint="eastAsia"/>
                <w:sz w:val="24"/>
                <w:szCs w:val="24"/>
              </w:rPr>
              <w:t>年</w:t>
            </w:r>
            <w:r>
              <w:rPr>
                <w:rFonts w:eastAsia="宋体" w:hint="eastAsia"/>
                <w:sz w:val="24"/>
                <w:szCs w:val="24"/>
              </w:rPr>
              <w:t>6</w:t>
            </w:r>
            <w:r>
              <w:rPr>
                <w:rFonts w:eastAsia="宋体" w:hint="eastAsia"/>
                <w:sz w:val="24"/>
                <w:szCs w:val="24"/>
              </w:rPr>
              <w:t>月公布报告，</w:t>
            </w:r>
            <w:r>
              <w:rPr>
                <w:rFonts w:eastAsia="宋体" w:hint="eastAsia"/>
                <w:sz w:val="24"/>
                <w:szCs w:val="24"/>
              </w:rPr>
              <w:t>2019</w:t>
            </w:r>
            <w:r>
              <w:rPr>
                <w:rFonts w:eastAsia="宋体" w:hint="eastAsia"/>
                <w:sz w:val="24"/>
                <w:szCs w:val="24"/>
              </w:rPr>
              <w:t>年，“一带一路”沿线区域经济从</w:t>
            </w:r>
            <w:r>
              <w:rPr>
                <w:rFonts w:eastAsia="宋体" w:hint="eastAsia"/>
                <w:sz w:val="24"/>
                <w:szCs w:val="24"/>
              </w:rPr>
              <w:t>2018</w:t>
            </w:r>
            <w:r>
              <w:rPr>
                <w:rFonts w:eastAsia="宋体" w:hint="eastAsia"/>
                <w:sz w:val="24"/>
                <w:szCs w:val="24"/>
              </w:rPr>
              <w:t>年的</w:t>
            </w:r>
            <w:r>
              <w:rPr>
                <w:rFonts w:eastAsia="宋体" w:hint="eastAsia"/>
                <w:sz w:val="24"/>
                <w:szCs w:val="24"/>
              </w:rPr>
              <w:t>3.9%</w:t>
            </w:r>
            <w:r>
              <w:rPr>
                <w:rFonts w:eastAsia="宋体" w:hint="eastAsia"/>
                <w:sz w:val="24"/>
                <w:szCs w:val="24"/>
              </w:rPr>
              <w:t>明显放缓至</w:t>
            </w:r>
            <w:r>
              <w:rPr>
                <w:rFonts w:eastAsia="宋体" w:hint="eastAsia"/>
                <w:sz w:val="24"/>
                <w:szCs w:val="24"/>
              </w:rPr>
              <w:t>2.7%</w:t>
            </w:r>
            <w:r>
              <w:rPr>
                <w:rFonts w:eastAsia="宋体" w:hint="eastAsia"/>
                <w:sz w:val="24"/>
                <w:szCs w:val="24"/>
              </w:rPr>
              <w:t>，创</w:t>
            </w:r>
            <w:r>
              <w:rPr>
                <w:rFonts w:eastAsia="宋体" w:hint="eastAsia"/>
                <w:sz w:val="24"/>
                <w:szCs w:val="24"/>
              </w:rPr>
              <w:t>2010</w:t>
            </w:r>
            <w:r>
              <w:rPr>
                <w:rFonts w:eastAsia="宋体" w:hint="eastAsia"/>
                <w:sz w:val="24"/>
                <w:szCs w:val="24"/>
              </w:rPr>
              <w:t>年以来最低水平。</w:t>
            </w:r>
            <w:r>
              <w:rPr>
                <w:rFonts w:eastAsia="宋体" w:hint="eastAsia"/>
                <w:sz w:val="24"/>
                <w:szCs w:val="24"/>
              </w:rPr>
              <w:t>2020</w:t>
            </w:r>
            <w:r>
              <w:rPr>
                <w:rFonts w:eastAsia="宋体" w:hint="eastAsia"/>
                <w:sz w:val="24"/>
                <w:szCs w:val="24"/>
              </w:rPr>
              <w:t>年，在包括疫情在内的多重冲击下，沿线各国经济更是普遍陷入衰退。为了缓解疫情对经济的重创，有些国家采取了无上限量化宽松等宽松货币政策，加剧了货币贬值和经济运行风险。</w:t>
            </w:r>
          </w:p>
          <w:p w14:paraId="48444502" w14:textId="77777777" w:rsidR="006B10D9" w:rsidRDefault="00BE6472">
            <w:pPr>
              <w:spacing w:line="348" w:lineRule="auto"/>
              <w:ind w:firstLine="482"/>
              <w:rPr>
                <w:rFonts w:eastAsia="宋体"/>
                <w:sz w:val="24"/>
                <w:szCs w:val="24"/>
              </w:rPr>
            </w:pPr>
            <w:r>
              <w:rPr>
                <w:rFonts w:eastAsia="宋体" w:hint="eastAsia"/>
                <w:b/>
                <w:bCs/>
                <w:sz w:val="24"/>
                <w:szCs w:val="24"/>
              </w:rPr>
              <w:t>社会安全风险。</w:t>
            </w:r>
            <w:r>
              <w:rPr>
                <w:rFonts w:eastAsia="宋体" w:hint="eastAsia"/>
                <w:sz w:val="24"/>
                <w:szCs w:val="24"/>
              </w:rPr>
              <w:t>“</w:t>
            </w:r>
            <w:r>
              <w:rPr>
                <w:rFonts w:eastAsia="宋体" w:hint="eastAsia"/>
                <w:sz w:val="24"/>
                <w:szCs w:val="24"/>
              </w:rPr>
              <w:t>2019</w:t>
            </w:r>
            <w:r>
              <w:rPr>
                <w:rFonts w:eastAsia="宋体" w:hint="eastAsia"/>
                <w:sz w:val="24"/>
                <w:szCs w:val="24"/>
              </w:rPr>
              <w:t>年全球和平指数”报告显示，西亚、北非连续多年是世界上最不安全地区，并成为恐怖袭击高发区域。此外，因劳资纠纷、宗教民族冲突、恐怖主义与武装冲突、物资短缺、分离主义威胁等原因，</w:t>
            </w:r>
            <w:r>
              <w:rPr>
                <w:rFonts w:eastAsia="宋体" w:hint="eastAsia"/>
                <w:sz w:val="24"/>
                <w:szCs w:val="24"/>
              </w:rPr>
              <w:t>2019</w:t>
            </w:r>
            <w:r>
              <w:rPr>
                <w:rFonts w:eastAsia="宋体" w:hint="eastAsia"/>
                <w:sz w:val="24"/>
                <w:szCs w:val="24"/>
              </w:rPr>
              <w:t>年以来，在孟加拉国、吉尔吉斯斯坦、塔吉克斯坦、肯尼亚、尼日利亚、埃塞俄比亚、安哥拉、布基纳法索、刚果（金）、津巴布韦、塞内加尔等国均发生了袭击“一带一路”基础设施项目的恶性事件。</w:t>
            </w:r>
          </w:p>
          <w:p w14:paraId="7E1848CC" w14:textId="77777777" w:rsidR="006B10D9" w:rsidRDefault="00BE6472">
            <w:pPr>
              <w:spacing w:line="348" w:lineRule="auto"/>
              <w:ind w:firstLine="482"/>
              <w:rPr>
                <w:rFonts w:eastAsia="宋体"/>
                <w:sz w:val="24"/>
                <w:szCs w:val="24"/>
              </w:rPr>
            </w:pPr>
            <w:r>
              <w:rPr>
                <w:rFonts w:eastAsia="宋体" w:hint="eastAsia"/>
                <w:b/>
                <w:bCs/>
                <w:sz w:val="24"/>
                <w:szCs w:val="24"/>
              </w:rPr>
              <w:t>债务风险。</w:t>
            </w:r>
            <w:r>
              <w:rPr>
                <w:rFonts w:eastAsia="宋体" w:hint="eastAsia"/>
                <w:sz w:val="24"/>
                <w:szCs w:val="24"/>
              </w:rPr>
              <w:t>面对疫情带来的经济下行压力，各国普遍采取了规模庞大的财政和货币救助措施以改善民生、减轻经济损失、缓解金融市场流动性压力，但由此带来的长期债务负担以及后续有限的政策空间，将导致财政债务压力攀升，给部分疫情暴发前便已进入经济放缓通道、政策空间不足的国家带来严峻考验。部分自身债务高企、投资风险较大的国家外部融资环境受到严苛限制，例如，斯里兰卡的中短期债务压力较大，主权债券融资渠道受阻。</w:t>
            </w:r>
          </w:p>
          <w:p w14:paraId="04ADA99B" w14:textId="77777777" w:rsidR="006B10D9" w:rsidRDefault="00BE6472">
            <w:pPr>
              <w:spacing w:line="348" w:lineRule="auto"/>
              <w:ind w:firstLine="482"/>
              <w:rPr>
                <w:rFonts w:eastAsia="宋体" w:cs="Times New Roman"/>
                <w:sz w:val="24"/>
                <w:szCs w:val="24"/>
              </w:rPr>
            </w:pPr>
            <w:r>
              <w:rPr>
                <w:rFonts w:eastAsia="宋体" w:hint="eastAsia"/>
                <w:b/>
                <w:bCs/>
                <w:sz w:val="24"/>
                <w:szCs w:val="24"/>
              </w:rPr>
              <w:t>舆论风险。</w:t>
            </w:r>
            <w:r>
              <w:rPr>
                <w:rFonts w:eastAsia="宋体" w:hint="eastAsia"/>
                <w:sz w:val="24"/>
                <w:szCs w:val="24"/>
              </w:rPr>
              <w:t>受到少数西方国家的挑拨与干扰，部分沿线国家对“一带一路”倡议及项目的负面评价有所升高，民族主义情绪日渐抬头。印度尼西亚、哈萨克斯坦等国政府内部已出现强化独立自主意识的论调，在金融、</w:t>
            </w:r>
            <w:r>
              <w:rPr>
                <w:rFonts w:eastAsia="宋体" w:hint="eastAsia"/>
                <w:sz w:val="24"/>
                <w:szCs w:val="24"/>
              </w:rPr>
              <w:t>5G</w:t>
            </w:r>
            <w:r>
              <w:rPr>
                <w:rFonts w:eastAsia="宋体" w:hint="eastAsia"/>
                <w:sz w:val="24"/>
                <w:szCs w:val="24"/>
              </w:rPr>
              <w:t>等领域提出各自替代“中国方案”的选择；中国援助塞尔维亚、匈牙利等国家的口罩等被称之为别有用心的“口罩外交”等。</w:t>
            </w:r>
          </w:p>
        </w:tc>
      </w:tr>
    </w:tbl>
    <w:p w14:paraId="4722A811" w14:textId="77777777" w:rsidR="006B10D9" w:rsidRDefault="006B10D9">
      <w:pPr>
        <w:pStyle w:val="afffb"/>
      </w:pPr>
      <w:bookmarkStart w:id="16" w:name="_Toc15385"/>
    </w:p>
    <w:p w14:paraId="179681F3" w14:textId="77777777" w:rsidR="006B10D9" w:rsidRDefault="00BE6472">
      <w:pPr>
        <w:pStyle w:val="4"/>
      </w:pPr>
      <w:r>
        <w:rPr>
          <w:rFonts w:hint="eastAsia"/>
        </w:rPr>
        <w:t>2</w:t>
      </w:r>
      <w:r>
        <w:rPr>
          <w:rFonts w:cs="华文楷体" w:hint="eastAsia"/>
        </w:rPr>
        <w:t>.</w:t>
      </w:r>
      <w:r>
        <w:rPr>
          <w:rFonts w:hint="eastAsia"/>
        </w:rPr>
        <w:t>后疫情时代我国企业“走出去”趋势分析</w:t>
      </w:r>
      <w:bookmarkEnd w:id="16"/>
    </w:p>
    <w:p w14:paraId="0403FEB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lastRenderedPageBreak/>
        <w:t>所谓“后疫情时代”，并非疫情完全消失、一切恢复如前的状况，而是疫情时起时伏，随时都可能小规模暴发，从外国外地回流以及季节性发作，且迁延较长时间，对各方面都产生深远影响的时代</w:t>
      </w:r>
      <w:r>
        <w:rPr>
          <w:rFonts w:eastAsia="宋体" w:cs="Times New Roman" w:hint="eastAsia"/>
          <w:sz w:val="24"/>
          <w:szCs w:val="24"/>
          <w:vertAlign w:val="superscript"/>
        </w:rPr>
        <w:t>[</w:t>
      </w:r>
      <w:r>
        <w:rPr>
          <w:rFonts w:eastAsia="宋体" w:cs="Times New Roman" w:hint="eastAsia"/>
          <w:sz w:val="24"/>
          <w:szCs w:val="24"/>
          <w:vertAlign w:val="superscript"/>
        </w:rPr>
        <w:footnoteReference w:id="8"/>
      </w:r>
      <w:r>
        <w:rPr>
          <w:rFonts w:eastAsia="宋体" w:cs="Times New Roman" w:hint="eastAsia"/>
          <w:sz w:val="24"/>
          <w:szCs w:val="24"/>
          <w:vertAlign w:val="superscript"/>
        </w:rPr>
        <w:t>]</w:t>
      </w:r>
      <w:r>
        <w:rPr>
          <w:rFonts w:eastAsia="宋体" w:cs="Times New Roman" w:hint="eastAsia"/>
          <w:sz w:val="24"/>
          <w:szCs w:val="24"/>
        </w:rPr>
        <w:t>。新冠疫情改变了我国企业“走出去”的整体态势，并对企业主体经营产生冲击。在后疫情时代，我国企业“走出去”将呈现如下趋势：</w:t>
      </w:r>
    </w:p>
    <w:p w14:paraId="284FE8EF"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）“走出去”链条全球化</w:t>
      </w:r>
    </w:p>
    <w:p w14:paraId="1CA7D79E" w14:textId="77777777" w:rsidR="006B10D9" w:rsidRDefault="00BE6472">
      <w:pPr>
        <w:spacing w:line="360" w:lineRule="auto"/>
        <w:ind w:firstLineChars="0" w:firstLine="482"/>
        <w:rPr>
          <w:rFonts w:eastAsia="宋体" w:cs="Times New Roman"/>
          <w:sz w:val="24"/>
          <w:szCs w:val="24"/>
        </w:rPr>
      </w:pPr>
      <w:r>
        <w:rPr>
          <w:rFonts w:eastAsia="宋体" w:cs="Times New Roman" w:hint="eastAsia"/>
          <w:sz w:val="24"/>
          <w:szCs w:val="24"/>
        </w:rPr>
        <w:t>疫情期间，产业链上游“断链”风险导致中下游企业“无米下炊”，凸显出产业链供应链稳定和可靠的重要性。因此，通过全球化布局，主动“走出去”，将成为提升我国全产业链抗风险能力的重要途径。在后疫情时代，境外投资企业可通过长期采购合约配套供应链融资，从而优化供应商布局；在深耕传统市场的同时，加强对下游多元化市场的开发；根据企业自身业务特点，可将生产基地向原材料或劳动力成本优势地区转移，同时加大海外分支机构的本地化经验与属地化管理。</w:t>
      </w:r>
    </w:p>
    <w:p w14:paraId="6E07841D"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）“走出去”形态多元化</w:t>
      </w:r>
    </w:p>
    <w:p w14:paraId="316443D2" w14:textId="77777777" w:rsidR="006B10D9" w:rsidRDefault="00BE6472">
      <w:pPr>
        <w:spacing w:line="360" w:lineRule="auto"/>
        <w:ind w:firstLineChars="0" w:firstLine="482"/>
        <w:rPr>
          <w:rFonts w:eastAsia="宋体" w:cs="Times New Roman"/>
          <w:sz w:val="24"/>
          <w:szCs w:val="24"/>
        </w:rPr>
      </w:pPr>
      <w:r>
        <w:rPr>
          <w:rFonts w:eastAsia="宋体" w:cs="Times New Roman" w:hint="eastAsia"/>
          <w:sz w:val="24"/>
          <w:szCs w:val="24"/>
        </w:rPr>
        <w:t>随着我国企业通过走出去实现产业链和全球价值链的攀升，经历了从商品、劳务“走出去”到资金、技术“走出去”，再到标准、理念“走出去”的不同阶段。同时，根据不同市场需求，“走出去”企业采用工程承包、出口信贷融资、设备出口等多种方式，为投资东道国提供多种解决方案。在后疫情时代，应进一步挖掘多元化“走出去”形式，拓展信贷、保险、股权基金等多种融资渠道，通过第三方市场合作模式深入开发潜在市场。</w:t>
      </w:r>
    </w:p>
    <w:p w14:paraId="6E8AAFB8"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）“走出去”风控精准化</w:t>
      </w:r>
    </w:p>
    <w:p w14:paraId="59841D4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2020</w:t>
      </w:r>
      <w:r>
        <w:rPr>
          <w:rFonts w:eastAsia="宋体" w:cs="Times New Roman" w:hint="eastAsia"/>
          <w:sz w:val="24"/>
          <w:szCs w:val="24"/>
        </w:rPr>
        <w:t>年暴发的新冠疫情成为一次典型的低频度、高烈度风险事件，也成为检验“走出去”企业风险防控体系的一次大考。海外项目存在着诸多可预判和不可预判的风险因素，企业开展境外投资或工程承包，应做好风险敏感性分析和压力测试。特别是在后疫情时代，要对包括疫情在内的各种突发灾害性事件做好应急预案，并利用保险、金融衍生品等多元化金融工具实现风险转移和对冲，提高企业风险精准防控能力。</w:t>
      </w:r>
    </w:p>
    <w:p w14:paraId="3C641B50"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4</w:t>
      </w:r>
      <w:r>
        <w:rPr>
          <w:rFonts w:eastAsia="宋体" w:cs="Times New Roman" w:hint="eastAsia"/>
          <w:sz w:val="24"/>
          <w:szCs w:val="24"/>
        </w:rPr>
        <w:t>）“走出去”方式云端化</w:t>
      </w:r>
    </w:p>
    <w:p w14:paraId="6778A2D4"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受疫情影响，各类线上办公和无接触行为等成为主流，使数字化和远程办公的接受和应用程度大大提升。在后疫情时代，线上化、云端化对接海外场景仍将成为重要</w:t>
      </w:r>
      <w:r>
        <w:rPr>
          <w:rFonts w:eastAsia="宋体" w:cs="Times New Roman" w:hint="eastAsia"/>
          <w:sz w:val="24"/>
          <w:szCs w:val="24"/>
        </w:rPr>
        <w:lastRenderedPageBreak/>
        <w:t>合作方式。通过线上线下相结合的方式将有望推动海外市场开发、项目管理和机构对接等活动更加灵活、高效。</w:t>
      </w:r>
    </w:p>
    <w:p w14:paraId="1A0B85E5" w14:textId="77777777" w:rsidR="006B10D9" w:rsidRDefault="00BE6472">
      <w:pPr>
        <w:pStyle w:val="4"/>
      </w:pPr>
      <w:bookmarkStart w:id="17" w:name="_Toc8079"/>
      <w:r>
        <w:rPr>
          <w:rFonts w:hint="eastAsia"/>
        </w:rPr>
        <w:t>3</w:t>
      </w:r>
      <w:r>
        <w:rPr>
          <w:rFonts w:cs="华文楷体" w:hint="eastAsia"/>
        </w:rPr>
        <w:t>.</w:t>
      </w:r>
      <w:r>
        <w:rPr>
          <w:rFonts w:hint="eastAsia"/>
        </w:rPr>
        <w:t>后疫情时代全球产业链供应链变化特点</w:t>
      </w:r>
      <w:bookmarkEnd w:id="17"/>
    </w:p>
    <w:p w14:paraId="471C64B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“走出去”是我国企业在全球产业链供应链中高端攀升及构建以我为核心的全球价值链的重要途径</w:t>
      </w:r>
      <w:r>
        <w:rPr>
          <w:rFonts w:eastAsia="宋体" w:cs="Times New Roman" w:hint="eastAsia"/>
          <w:sz w:val="24"/>
          <w:szCs w:val="24"/>
          <w:vertAlign w:val="superscript"/>
        </w:rPr>
        <w:t>[</w:t>
      </w:r>
      <w:r>
        <w:rPr>
          <w:rFonts w:eastAsia="宋体" w:cs="Times New Roman" w:hint="eastAsia"/>
          <w:sz w:val="24"/>
          <w:szCs w:val="24"/>
          <w:vertAlign w:val="superscript"/>
        </w:rPr>
        <w:footnoteReference w:id="9"/>
      </w:r>
      <w:r>
        <w:rPr>
          <w:rFonts w:eastAsia="宋体" w:cs="Times New Roman" w:hint="eastAsia"/>
          <w:sz w:val="24"/>
          <w:szCs w:val="24"/>
          <w:vertAlign w:val="superscript"/>
        </w:rPr>
        <w:t>]</w:t>
      </w:r>
      <w:r>
        <w:rPr>
          <w:rFonts w:eastAsia="宋体" w:cs="Times New Roman" w:hint="eastAsia"/>
          <w:sz w:val="24"/>
          <w:szCs w:val="24"/>
        </w:rPr>
        <w:t>。在后疫情时代，全球产业链供应链布局将会进入深度调整期，一方面，各国政府将更加平衡效益与安全的关系，确保供应链的完整性和产业链的自主可控性；另一方面，跨国公司将进一步收缩跨国经营的全球布局，以避免供应链过长、产业链过分集聚、价值链过度全球化所带来的断链风险。主要呈现出如下特点：</w:t>
      </w:r>
    </w:p>
    <w:p w14:paraId="275118CD"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一是产业链短链化。</w:t>
      </w:r>
      <w:r>
        <w:rPr>
          <w:rFonts w:eastAsia="宋体" w:cs="Times New Roman" w:hint="eastAsia"/>
          <w:sz w:val="24"/>
          <w:szCs w:val="24"/>
        </w:rPr>
        <w:t>疫情后全球产业链将可能朝着内向化趋势发展，一部分重要的关键的产业可能撤回国内，或朝本国边界靠近。原先分包给跨越国境的不同企业生产、以工序、环节为对象的纵向分工体系，缩回到跨国企业内部进行。</w:t>
      </w:r>
    </w:p>
    <w:p w14:paraId="6D313328"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二是核心环节本土化。</w:t>
      </w:r>
      <w:r>
        <w:rPr>
          <w:rFonts w:eastAsia="宋体" w:cs="Times New Roman" w:hint="eastAsia"/>
          <w:sz w:val="24"/>
          <w:szCs w:val="24"/>
        </w:rPr>
        <w:t>此次疫情暴露出经济全球化下全球产业链供应链的脆弱性。疫情期间，发达国家呈现出掌握“经济主权”的决心，各国为了管控产业链过长造成“断链”风险，把核心产业和核心环节的供应安全上升为重大系统性风险应对战略，引导关乎国家安全的战略性产业回流本土，特别是把公共卫生、国家安全等关系国计民生的行业产业链或其核心环节回归本土，进而控制供应链核心环节，增强产业链的自主可控性。</w:t>
      </w:r>
    </w:p>
    <w:p w14:paraId="138478B3"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三是供应链布局分散化。</w:t>
      </w:r>
      <w:r>
        <w:rPr>
          <w:rFonts w:eastAsia="宋体" w:cs="Times New Roman" w:hint="eastAsia"/>
          <w:sz w:val="24"/>
          <w:szCs w:val="24"/>
        </w:rPr>
        <w:t>此次疫情使各国和跨国公司充分意识到供应链环节集中、过于依赖单一国家所带来的断供风险。疫情后，各国为了规避供应商过度集中造成断供风险，将采取分散化生产和采购策略，在多个国家布局一些非刚需、技术含量较低的产业。同时，未来跨国公司产业布局时，也将更多考虑供应链安全与分散风险，使布局分散化和多元化，促使全球逐步形成以中心国家掌控核心环节，周边国家配套生产的区域经济循环板块。</w:t>
      </w:r>
    </w:p>
    <w:p w14:paraId="5C17258C"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四是供应链和价值链区域化。</w:t>
      </w:r>
      <w:r>
        <w:rPr>
          <w:rFonts w:eastAsia="宋体" w:cs="Times New Roman" w:hint="eastAsia"/>
          <w:sz w:val="24"/>
          <w:szCs w:val="24"/>
        </w:rPr>
        <w:t>多边贸易规则受到严重挑战，规则和标准领域更脱钩与挂钩的前景存在很大的不确定性，中美贸易摩擦将进一步加剧，对产业链影响显现，供应链区域化趋势加重。</w:t>
      </w:r>
      <w:r>
        <w:rPr>
          <w:rFonts w:eastAsia="宋体" w:cs="Times New Roman"/>
          <w:sz w:val="24"/>
          <w:szCs w:val="24"/>
        </w:rPr>
        <w:t>疫情后</w:t>
      </w:r>
      <w:r>
        <w:rPr>
          <w:rFonts w:eastAsia="宋体" w:cs="Times New Roman"/>
          <w:sz w:val="24"/>
          <w:szCs w:val="24"/>
        </w:rPr>
        <w:t>RCEP</w:t>
      </w:r>
      <w:r>
        <w:rPr>
          <w:rFonts w:eastAsia="宋体" w:cs="Times New Roman"/>
          <w:sz w:val="24"/>
          <w:szCs w:val="24"/>
        </w:rPr>
        <w:t>、</w:t>
      </w:r>
      <w:r>
        <w:rPr>
          <w:rFonts w:eastAsia="宋体" w:cs="Times New Roman"/>
          <w:sz w:val="24"/>
          <w:szCs w:val="24"/>
        </w:rPr>
        <w:t>CPTPP</w:t>
      </w:r>
      <w:r>
        <w:rPr>
          <w:rFonts w:eastAsia="宋体" w:cs="Times New Roman"/>
          <w:sz w:val="24"/>
          <w:szCs w:val="24"/>
        </w:rPr>
        <w:t>、欧日</w:t>
      </w:r>
      <w:r>
        <w:rPr>
          <w:rFonts w:eastAsia="宋体" w:cs="Times New Roman"/>
          <w:sz w:val="24"/>
          <w:szCs w:val="24"/>
        </w:rPr>
        <w:t>EPA</w:t>
      </w:r>
      <w:r>
        <w:rPr>
          <w:rFonts w:eastAsia="宋体" w:cs="Times New Roman"/>
          <w:sz w:val="24"/>
          <w:szCs w:val="24"/>
        </w:rPr>
        <w:t>、美</w:t>
      </w:r>
      <w:r>
        <w:rPr>
          <w:rFonts w:eastAsia="宋体" w:cs="Times New Roman" w:hint="eastAsia"/>
          <w:sz w:val="24"/>
          <w:szCs w:val="24"/>
        </w:rPr>
        <w:t>墨加协定等大型区域贸易协定的签订将改变全球产业链供应链布局，各大国更加注重区域经济合作，扩大在周边国家的产业配套和供应能力，力求以区域分工替代全球分工，促使某</w:t>
      </w:r>
      <w:r>
        <w:rPr>
          <w:rFonts w:eastAsia="宋体" w:cs="Times New Roman" w:hint="eastAsia"/>
          <w:sz w:val="24"/>
          <w:szCs w:val="24"/>
        </w:rPr>
        <w:lastRenderedPageBreak/>
        <w:t>些供应链区域化集聚，推动以区域主导国家为核心的小循环取代以往全球经济大循环。</w:t>
      </w:r>
    </w:p>
    <w:p w14:paraId="7F084060"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五是产业链和供应链阵营化。</w:t>
      </w:r>
      <w:r>
        <w:rPr>
          <w:rFonts w:eastAsia="宋体" w:cs="Times New Roman" w:hint="eastAsia"/>
          <w:sz w:val="24"/>
          <w:szCs w:val="24"/>
        </w:rPr>
        <w:t>受疫情影响，全球制造业分工格局正在加速从原来的北美、西欧和东亚三大中心鼎立向新老多个中心并立转变。美国布局将加快一些中低端产业转移到拥有廉价劳动力和原材料、工业基础较好的墨西哥和巴西。西欧力求“以区域分工替代全球分工”，布局将一些产业转移到工业基础较好、劳动力廉价、地理上更靠近的中东欧国家。日本积极利用在东南亚地区传统投资优势，谋求在全面与进步跨太平洋伙伴关系协定</w:t>
      </w:r>
      <w:r>
        <w:rPr>
          <w:rFonts w:eastAsia="宋体" w:cs="Times New Roman"/>
          <w:sz w:val="24"/>
          <w:szCs w:val="24"/>
        </w:rPr>
        <w:t>（</w:t>
      </w:r>
      <w:r>
        <w:rPr>
          <w:rFonts w:eastAsia="宋体" w:cs="Times New Roman"/>
          <w:sz w:val="24"/>
          <w:szCs w:val="24"/>
        </w:rPr>
        <w:t>CPTPP</w:t>
      </w:r>
      <w:r>
        <w:rPr>
          <w:rFonts w:eastAsia="宋体" w:cs="Times New Roman"/>
          <w:sz w:val="24"/>
          <w:szCs w:val="24"/>
        </w:rPr>
        <w:t>）内</w:t>
      </w:r>
      <w:r>
        <w:rPr>
          <w:rFonts w:eastAsia="宋体" w:cs="Times New Roman" w:hint="eastAsia"/>
          <w:sz w:val="24"/>
          <w:szCs w:val="24"/>
        </w:rPr>
        <w:t>部打造对我国备份的供应体系。</w:t>
      </w:r>
    </w:p>
    <w:p w14:paraId="7A9A9EE1" w14:textId="77777777" w:rsidR="006B10D9" w:rsidRDefault="00BE6472">
      <w:pPr>
        <w:spacing w:line="360" w:lineRule="auto"/>
        <w:ind w:firstLine="482"/>
        <w:rPr>
          <w:rFonts w:eastAsia="宋体" w:cs="Times New Roman"/>
          <w:sz w:val="24"/>
          <w:szCs w:val="24"/>
        </w:rPr>
      </w:pPr>
      <w:bookmarkStart w:id="18" w:name="_Toc31971"/>
      <w:r>
        <w:rPr>
          <w:rFonts w:eastAsia="宋体" w:cs="Times New Roman" w:hint="eastAsia"/>
          <w:b/>
          <w:bCs/>
          <w:sz w:val="24"/>
          <w:szCs w:val="24"/>
        </w:rPr>
        <w:t>六是</w:t>
      </w:r>
      <w:r>
        <w:rPr>
          <w:rFonts w:eastAsia="宋体" w:cs="Times New Roman"/>
          <w:b/>
          <w:bCs/>
          <w:sz w:val="24"/>
          <w:szCs w:val="24"/>
        </w:rPr>
        <w:t>全</w:t>
      </w:r>
      <w:r>
        <w:rPr>
          <w:rFonts w:eastAsia="宋体" w:cs="Times New Roman" w:hint="eastAsia"/>
          <w:b/>
          <w:bCs/>
          <w:sz w:val="24"/>
          <w:szCs w:val="24"/>
        </w:rPr>
        <w:t>球生产网络</w:t>
      </w:r>
      <w:bookmarkEnd w:id="18"/>
      <w:r>
        <w:rPr>
          <w:rFonts w:eastAsia="宋体" w:cs="Times New Roman" w:hint="eastAsia"/>
          <w:b/>
          <w:bCs/>
          <w:sz w:val="24"/>
          <w:szCs w:val="24"/>
        </w:rPr>
        <w:t>近岸化。</w:t>
      </w:r>
      <w:r>
        <w:rPr>
          <w:rFonts w:eastAsia="宋体" w:cs="Times New Roman" w:hint="eastAsia"/>
          <w:sz w:val="24"/>
          <w:szCs w:val="24"/>
        </w:rPr>
        <w:t>从国家政策走向看，全球生产网络“周边化生产”趋势将成为疫情后美欧推动全球供应链调整的战略重点。美国推动制造业向墨西哥、巴西等拉美国家转移，近期美国已与巴西就出资购买爱立信和诺基亚</w:t>
      </w:r>
      <w:r>
        <w:rPr>
          <w:rFonts w:eastAsia="宋体" w:cs="Times New Roman"/>
          <w:sz w:val="24"/>
          <w:szCs w:val="24"/>
        </w:rPr>
        <w:t>的</w:t>
      </w:r>
      <w:r>
        <w:rPr>
          <w:rFonts w:eastAsia="宋体" w:cs="Times New Roman"/>
          <w:sz w:val="24"/>
          <w:szCs w:val="24"/>
        </w:rPr>
        <w:t>5G</w:t>
      </w:r>
      <w:r>
        <w:rPr>
          <w:rFonts w:eastAsia="宋体" w:cs="Times New Roman"/>
          <w:sz w:val="24"/>
          <w:szCs w:val="24"/>
        </w:rPr>
        <w:t>设备进行谈判；德、法、英等欧洲国家推动制造业向东欧和土耳其等国家转移，</w:t>
      </w:r>
      <w:r>
        <w:rPr>
          <w:rFonts w:eastAsia="宋体" w:cs="Times New Roman"/>
          <w:sz w:val="24"/>
          <w:szCs w:val="24"/>
        </w:rPr>
        <w:t>2018</w:t>
      </w:r>
      <w:r>
        <w:rPr>
          <w:rFonts w:eastAsia="宋体" w:cs="Times New Roman"/>
          <w:sz w:val="24"/>
          <w:szCs w:val="24"/>
        </w:rPr>
        <w:t>年土</w:t>
      </w:r>
      <w:r>
        <w:rPr>
          <w:rFonts w:eastAsia="宋体" w:cs="Times New Roman" w:hint="eastAsia"/>
          <w:sz w:val="24"/>
          <w:szCs w:val="24"/>
        </w:rPr>
        <w:t>耳其是欧洲第七大外国直接投资目的地。从市场力量看，跨国公司的投资布局将从单一的效率取向转变为效率与安全的平衡，将尽量在本国或靠近本国、与本国政治关系较好的国家开展生产经营，全球生产网络将由“离岸生产模式”转向“近岸生产模式”。</w:t>
      </w:r>
    </w:p>
    <w:p w14:paraId="18CE0F42" w14:textId="77777777" w:rsidR="006B10D9" w:rsidRDefault="00BE6472">
      <w:pPr>
        <w:pStyle w:val="4"/>
      </w:pPr>
      <w:bookmarkStart w:id="19" w:name="_Toc28078"/>
      <w:r>
        <w:rPr>
          <w:rFonts w:hint="eastAsia"/>
        </w:rPr>
        <w:t>4</w:t>
      </w:r>
      <w:r>
        <w:rPr>
          <w:rFonts w:cs="华文楷体" w:hint="eastAsia"/>
        </w:rPr>
        <w:t>.</w:t>
      </w:r>
      <w:r>
        <w:rPr>
          <w:rFonts w:hint="eastAsia"/>
        </w:rPr>
        <w:t>后疫情时代对全球商业环境的影响分析</w:t>
      </w:r>
      <w:bookmarkEnd w:id="19"/>
    </w:p>
    <w:p w14:paraId="342C11A5" w14:textId="77777777" w:rsidR="006B10D9" w:rsidRDefault="00BE6472">
      <w:pPr>
        <w:spacing w:line="360" w:lineRule="auto"/>
        <w:ind w:firstLine="480"/>
        <w:jc w:val="left"/>
        <w:rPr>
          <w:rFonts w:eastAsia="宋体" w:cs="Times New Roman"/>
          <w:sz w:val="24"/>
          <w:szCs w:val="24"/>
        </w:rPr>
      </w:pPr>
      <w:r>
        <w:rPr>
          <w:rFonts w:eastAsia="宋体" w:cs="Times New Roman"/>
          <w:sz w:val="24"/>
          <w:szCs w:val="24"/>
        </w:rPr>
        <w:t>新冠疫情的暴发及全球蔓延，对全球贸易、商业环境、消费方式等都产生了深刻影响。主要体现在：</w:t>
      </w:r>
    </w:p>
    <w:p w14:paraId="19ADC966" w14:textId="77777777" w:rsidR="006B10D9" w:rsidRDefault="00BE6472">
      <w:pPr>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）政府财政承压加剧</w:t>
      </w:r>
    </w:p>
    <w:p w14:paraId="3B141B75" w14:textId="77777777" w:rsidR="006B10D9" w:rsidRDefault="00BE6472">
      <w:pPr>
        <w:spacing w:line="360" w:lineRule="auto"/>
        <w:ind w:firstLine="480"/>
        <w:jc w:val="left"/>
        <w:rPr>
          <w:rFonts w:eastAsia="宋体" w:cs="Times New Roman"/>
          <w:sz w:val="24"/>
          <w:szCs w:val="24"/>
        </w:rPr>
      </w:pPr>
      <w:r>
        <w:rPr>
          <w:rFonts w:eastAsia="宋体" w:cs="Times New Roman" w:hint="eastAsia"/>
          <w:sz w:val="24"/>
          <w:szCs w:val="24"/>
        </w:rPr>
        <w:t>为了应对疫情对经济的巨大冲击，各国政府采取了极端的财政和货币政策，导致财政赤字飙升，而陡然增加的财政赤字对宏观经济和受公共财政影响较大的关键部门都会产生较大影响。根据相关数据分析，发达经济体和包括中国在内的新兴经济体所承受的巨额财政赤字将持续飙升到</w:t>
      </w:r>
      <w:r>
        <w:rPr>
          <w:rFonts w:eastAsia="宋体" w:cs="Times New Roman" w:hint="eastAsia"/>
          <w:sz w:val="24"/>
          <w:szCs w:val="24"/>
        </w:rPr>
        <w:t>2025</w:t>
      </w:r>
      <w:r>
        <w:rPr>
          <w:rFonts w:eastAsia="宋体" w:cs="Times New Roman" w:hint="eastAsia"/>
          <w:sz w:val="24"/>
          <w:szCs w:val="24"/>
        </w:rPr>
        <w:t>年</w:t>
      </w:r>
      <w:r>
        <w:rPr>
          <w:rFonts w:eastAsia="宋体" w:cs="Times New Roman"/>
          <w:sz w:val="24"/>
          <w:szCs w:val="24"/>
          <w:vertAlign w:val="superscript"/>
        </w:rPr>
        <w:t>[</w:t>
      </w:r>
      <w:r>
        <w:rPr>
          <w:rFonts w:eastAsia="宋体" w:cs="Times New Roman"/>
          <w:sz w:val="24"/>
          <w:szCs w:val="24"/>
          <w:vertAlign w:val="superscript"/>
        </w:rPr>
        <w:footnoteReference w:id="10"/>
      </w:r>
      <w:r>
        <w:rPr>
          <w:rFonts w:eastAsia="宋体" w:cs="Times New Roman"/>
          <w:sz w:val="24"/>
          <w:szCs w:val="24"/>
          <w:vertAlign w:val="superscript"/>
        </w:rPr>
        <w:t>]</w:t>
      </w:r>
      <w:r>
        <w:rPr>
          <w:rFonts w:eastAsia="宋体" w:cs="Times New Roman" w:hint="eastAsia"/>
          <w:sz w:val="24"/>
          <w:szCs w:val="24"/>
        </w:rPr>
        <w:t>。预算过度扩张可能导致公众对政府的整体信任度下降。为了缓解中央政府的财政压力，地方政府也需要共同负担财政支出，加强与私营部门的合作机会，应对疫情带来的短期和中长期挑战。</w:t>
      </w:r>
    </w:p>
    <w:p w14:paraId="0D6E2356" w14:textId="77777777" w:rsidR="006B10D9" w:rsidRDefault="00BE6472">
      <w:pPr>
        <w:spacing w:line="360" w:lineRule="auto"/>
        <w:ind w:firstLine="480"/>
        <w:jc w:val="left"/>
        <w:rPr>
          <w:rFonts w:eastAsia="宋体" w:cs="Times New Roman"/>
          <w:sz w:val="24"/>
          <w:szCs w:val="24"/>
        </w:rPr>
      </w:pPr>
      <w:r>
        <w:rPr>
          <w:rFonts w:eastAsia="宋体" w:cs="Times New Roman" w:hint="eastAsia"/>
          <w:sz w:val="24"/>
          <w:szCs w:val="24"/>
        </w:rPr>
        <w:t>对于企业而言，一是通过开发和利用新技术，担负起更多社会责任，如利用蓝牙技术帮助政府追踪密接者行动轨迹、向受疫情影响的弱势群体提供技术支持等；二是利用财政刺激基金寻求政府支持，如受到疫情较大影响的旅游业、交通业等；</w:t>
      </w:r>
      <w:r>
        <w:rPr>
          <w:rFonts w:eastAsia="宋体" w:cs="Times New Roman" w:hint="eastAsia"/>
          <w:sz w:val="24"/>
          <w:szCs w:val="24"/>
        </w:rPr>
        <w:lastRenderedPageBreak/>
        <w:t>三是寻求针对中小企业的创新资金来源。尽管很多国家都向受疫情影响的中小企业提供紧急救助计划，但除此以外，随着未来数年政府财政吃紧，中小企业需要更多创新型融资方式和途径。</w:t>
      </w:r>
    </w:p>
    <w:p w14:paraId="554E46D3" w14:textId="77777777" w:rsidR="006B10D9" w:rsidRDefault="00BE6472">
      <w:pPr>
        <w:spacing w:line="360" w:lineRule="auto"/>
        <w:ind w:firstLineChars="0" w:firstLine="0"/>
        <w:jc w:val="center"/>
        <w:rPr>
          <w:rFonts w:eastAsia="宋体" w:cs="Times New Roman"/>
          <w:sz w:val="24"/>
          <w:szCs w:val="24"/>
        </w:rPr>
      </w:pPr>
      <w:r>
        <w:rPr>
          <w:rFonts w:eastAsia="宋体" w:cs="Times New Roman"/>
          <w:noProof/>
          <w:sz w:val="24"/>
          <w:szCs w:val="24"/>
        </w:rPr>
        <w:drawing>
          <wp:inline distT="0" distB="0" distL="114300" distR="114300" wp14:anchorId="4A47C52A" wp14:editId="3E63CAC7">
            <wp:extent cx="5204460" cy="3246120"/>
            <wp:effectExtent l="0" t="0" r="7620" b="0"/>
            <wp:docPr id="45721" name="图片 45721" descr="1640591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1" name="图片 45721" descr="1640591879(1)"/>
                    <pic:cNvPicPr>
                      <a:picLocks noChangeAspect="1"/>
                    </pic:cNvPicPr>
                  </pic:nvPicPr>
                  <pic:blipFill>
                    <a:blip r:embed="rId20"/>
                    <a:stretch>
                      <a:fillRect/>
                    </a:stretch>
                  </pic:blipFill>
                  <pic:spPr>
                    <a:xfrm>
                      <a:off x="0" y="0"/>
                      <a:ext cx="5204460" cy="3246120"/>
                    </a:xfrm>
                    <a:prstGeom prst="rect">
                      <a:avLst/>
                    </a:prstGeom>
                  </pic:spPr>
                </pic:pic>
              </a:graphicData>
            </a:graphic>
          </wp:inline>
        </w:drawing>
      </w:r>
    </w:p>
    <w:p w14:paraId="36FFE96A" w14:textId="77777777" w:rsidR="006B10D9" w:rsidRDefault="00BE6472">
      <w:pPr>
        <w:pStyle w:val="affb"/>
      </w:pPr>
      <w:r>
        <w:rPr>
          <w:rFonts w:hint="eastAsia"/>
        </w:rPr>
        <w:t>图</w:t>
      </w:r>
      <w:r>
        <w:rPr>
          <w:rFonts w:hint="eastAsia"/>
        </w:rPr>
        <w:t>6  2020</w:t>
      </w:r>
      <w:r>
        <w:rPr>
          <w:rFonts w:hint="eastAsia"/>
        </w:rPr>
        <w:t>年及以后各国政府赤字预测</w:t>
      </w:r>
    </w:p>
    <w:p w14:paraId="12AA5C68" w14:textId="77777777" w:rsidR="006B10D9" w:rsidRDefault="00BE6472">
      <w:pPr>
        <w:pStyle w:val="afffd"/>
        <w:rPr>
          <w:rFonts w:cs="Times New Roman"/>
        </w:rPr>
      </w:pPr>
      <w:r>
        <w:rPr>
          <w:rFonts w:hint="eastAsia"/>
        </w:rPr>
        <w:t>资料来源：科尼尔</w:t>
      </w:r>
      <w:r>
        <w:rPr>
          <w:rFonts w:hint="eastAsia"/>
        </w:rPr>
        <w:t>.</w:t>
      </w:r>
      <w:r>
        <w:rPr>
          <w:rFonts w:hint="eastAsia"/>
        </w:rPr>
        <w:t>大震荡</w:t>
      </w:r>
      <w:r>
        <w:rPr>
          <w:rFonts w:hint="eastAsia"/>
        </w:rPr>
        <w:t>,</w:t>
      </w:r>
      <w:r>
        <w:rPr>
          <w:rFonts w:hint="eastAsia"/>
        </w:rPr>
        <w:t>大变局</w:t>
      </w:r>
      <w:r>
        <w:rPr>
          <w:rFonts w:hint="eastAsia"/>
        </w:rPr>
        <w:t xml:space="preserve"> 2020-2025</w:t>
      </w:r>
      <w:r>
        <w:rPr>
          <w:rFonts w:hint="eastAsia"/>
        </w:rPr>
        <w:t>年全球趋势研究报告</w:t>
      </w:r>
    </w:p>
    <w:p w14:paraId="2CA7AD8A" w14:textId="77777777" w:rsidR="006B10D9" w:rsidRDefault="006B10D9">
      <w:pPr>
        <w:pStyle w:val="afffb"/>
      </w:pPr>
    </w:p>
    <w:p w14:paraId="37B963F8" w14:textId="77777777" w:rsidR="006B10D9" w:rsidRDefault="00BE6472">
      <w:pPr>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）推动关键领域自给自足</w:t>
      </w:r>
    </w:p>
    <w:p w14:paraId="5E3CFCF4" w14:textId="77777777" w:rsidR="006B10D9" w:rsidRDefault="00BE6472">
      <w:pPr>
        <w:numPr>
          <w:ilvl w:val="255"/>
          <w:numId w:val="0"/>
        </w:numPr>
        <w:spacing w:line="360" w:lineRule="auto"/>
        <w:ind w:firstLineChars="200" w:firstLine="480"/>
        <w:rPr>
          <w:rFonts w:eastAsia="宋体" w:cs="Times New Roman"/>
          <w:sz w:val="24"/>
          <w:szCs w:val="24"/>
        </w:rPr>
      </w:pPr>
      <w:r>
        <w:rPr>
          <w:rFonts w:eastAsia="宋体" w:cs="Times New Roman" w:hint="eastAsia"/>
          <w:sz w:val="24"/>
          <w:szCs w:val="24"/>
        </w:rPr>
        <w:t>在疫情暴发初期，各国政府都面临供应链冲击、医疗用品短缺以及尽快遏制疫情蔓延和恢复经济增长等重大挑战。疫情的大流行使各国政府充分认识到拥有关键经济领域（包括医疗用品与技术）自给自足能力和提高供应链韧性的重要性。包括医疗健康、高科技、农业、能源、制造业、基础设施等将成为各国政府中长期投资的主要方向。此外，较长的跨国供应链同样容易受到全球风险的影响，将供应链核心环节本土化将有助于推动本土产业的发展，创造更多就业机会。但如果产业链回流过猛，也可能面临政府干预、产业低效等挑战。</w:t>
      </w:r>
    </w:p>
    <w:p w14:paraId="64C11101" w14:textId="77777777" w:rsidR="006B10D9" w:rsidRDefault="00BE6472">
      <w:pPr>
        <w:numPr>
          <w:ilvl w:val="255"/>
          <w:numId w:val="0"/>
        </w:numPr>
        <w:spacing w:line="360" w:lineRule="auto"/>
        <w:ind w:firstLineChars="200" w:firstLine="480"/>
        <w:rPr>
          <w:rFonts w:eastAsia="宋体" w:cs="Times New Roman"/>
          <w:sz w:val="24"/>
          <w:szCs w:val="24"/>
        </w:rPr>
      </w:pPr>
      <w:r>
        <w:rPr>
          <w:rFonts w:eastAsia="宋体" w:cs="Times New Roman" w:hint="eastAsia"/>
          <w:sz w:val="24"/>
          <w:szCs w:val="24"/>
        </w:rPr>
        <w:t>对于企业而言，一是面临更大的供应链本地化压力。美国、欧洲、日本等通过实施制造业回流的奖励措施，借此重新整合本土制造能力。这一趋势将为回流本土或近岸外包的企业带来机遇。许多跨国公司也从单纯地依赖供应链效率到系统思考供应链弹性、可靠性以及应对全球危机和局部危机的能力上，由此将导致全球范围内生产</w:t>
      </w:r>
      <w:r>
        <w:rPr>
          <w:rFonts w:eastAsia="宋体" w:cs="Times New Roman" w:hint="eastAsia"/>
          <w:sz w:val="24"/>
          <w:szCs w:val="24"/>
        </w:rPr>
        <w:lastRenderedPageBreak/>
        <w:t>资源的重新布局。二是高技术领域的竞争将更为激烈。高技术领域愈演愈烈的竞争，使企业需要重新考虑关键零部件，如芯片等的可持续采购。如果各国采取更多措施限制外国技术进入国内市场，企业则需要采购更多本土产品。三是发达经济体制造业复苏。美欧等发达国家对制造业和第四次工业革命的支持，将使芯片制造业、电子信息、矿物加工和企业等行业获得重大发展机遇。</w:t>
      </w:r>
    </w:p>
    <w:p w14:paraId="5DB63093" w14:textId="77777777" w:rsidR="006B10D9" w:rsidRDefault="00BE6472">
      <w:pPr>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）并购整合浪潮再兴</w:t>
      </w:r>
    </w:p>
    <w:p w14:paraId="31724FBE" w14:textId="77777777" w:rsidR="006B10D9" w:rsidRDefault="00BE6472">
      <w:pPr>
        <w:numPr>
          <w:ilvl w:val="255"/>
          <w:numId w:val="0"/>
        </w:numPr>
        <w:spacing w:line="360" w:lineRule="auto"/>
        <w:ind w:firstLineChars="200" w:firstLine="480"/>
        <w:rPr>
          <w:rFonts w:eastAsia="宋体" w:cs="Times New Roman"/>
          <w:sz w:val="24"/>
          <w:szCs w:val="24"/>
        </w:rPr>
      </w:pPr>
      <w:r>
        <w:rPr>
          <w:rFonts w:eastAsia="宋体" w:cs="Times New Roman" w:hint="eastAsia"/>
          <w:sz w:val="24"/>
          <w:szCs w:val="24"/>
        </w:rPr>
        <w:t>新冠疫情对经济的冲击使得企业利润率显著下滑，企业违约率达到创纪录的水平。受此影响，实力雄厚的企业开始低价收购实力弱小的竞争对手、技术和资金，并掀起新一轮并购浪潮。然而，大肆并购的结果可能会导致市场份额较大的企业影响力进一步扩大，消费者将面临商品价格上涨或可选种类减少的窘境。这些情况会促使各国政府采取措施强化反垄断力度，加强对外商投资企业的规制。一些从疫情中获益的行业，如电子商务、数字经济等，将寻求通过收购竞争对手或技术来实现增长。特别是一些大型科技公司，如在</w:t>
      </w:r>
      <w:r>
        <w:rPr>
          <w:rFonts w:eastAsia="宋体" w:cs="Times New Roman" w:hint="eastAsia"/>
          <w:sz w:val="24"/>
          <w:szCs w:val="24"/>
        </w:rPr>
        <w:t>2020</w:t>
      </w:r>
      <w:r>
        <w:rPr>
          <w:rFonts w:eastAsia="宋体" w:cs="Times New Roman" w:hint="eastAsia"/>
          <w:sz w:val="24"/>
          <w:szCs w:val="24"/>
        </w:rPr>
        <w:t>年，亚马逊、苹果、微软等科技巨头宣布的并购交易数量达到</w:t>
      </w:r>
      <w:r>
        <w:rPr>
          <w:rFonts w:eastAsia="宋体" w:cs="Times New Roman" w:hint="eastAsia"/>
          <w:sz w:val="24"/>
          <w:szCs w:val="24"/>
        </w:rPr>
        <w:t>2016</w:t>
      </w:r>
      <w:r>
        <w:rPr>
          <w:rFonts w:eastAsia="宋体" w:cs="Times New Roman" w:hint="eastAsia"/>
          <w:sz w:val="24"/>
          <w:szCs w:val="24"/>
        </w:rPr>
        <w:t>年以来的最高水平。而受到疫情较大冲击的行业，如旅游业、酒店业、能源业等，也在通过并购收购实现规模经济效应。</w:t>
      </w:r>
    </w:p>
    <w:p w14:paraId="096A0BC9" w14:textId="77777777" w:rsidR="006B10D9" w:rsidRDefault="00BE6472">
      <w:pPr>
        <w:numPr>
          <w:ilvl w:val="255"/>
          <w:numId w:val="0"/>
        </w:numPr>
        <w:spacing w:line="360" w:lineRule="auto"/>
        <w:ind w:firstLineChars="200" w:firstLine="480"/>
        <w:rPr>
          <w:rFonts w:eastAsia="宋体" w:cs="Times New Roman"/>
          <w:sz w:val="24"/>
          <w:szCs w:val="24"/>
        </w:rPr>
      </w:pPr>
      <w:r>
        <w:rPr>
          <w:rFonts w:eastAsia="宋体" w:cs="Times New Roman" w:hint="eastAsia"/>
          <w:sz w:val="24"/>
          <w:szCs w:val="24"/>
        </w:rPr>
        <w:t>对于企业而言，一是要充分了解后疫情时代消费者行为的变化和商业环境的变化。疫情对行业和消费者行为产生了深远影响。收购者的投资目标应该是那些能够适应并满足消费者行为变化的企业，如消费者青睐的虚拟产品、非接触式消费方式、完善的医疗服务等。二是重视各类风险防范。收购企业应及时了解收购对象的偿付能力以及自身流动性风险。为此，要做好尽职调查和保险对冲投入。三是提升中国企业的全球并购成功率。一方面，中国企业面对更为严格的外资监管，应高度重视对限制政策的规避；另一方面，应开展更为审慎的尽职调查、更为合理的估值以减少“中国溢价”，收购后也应更为有效地兼顾被收购方的管理层激励和并购后的整合策略等。</w:t>
      </w:r>
    </w:p>
    <w:p w14:paraId="4452D6BE" w14:textId="77777777" w:rsidR="006B10D9" w:rsidRDefault="00BE6472">
      <w:pPr>
        <w:pStyle w:val="3"/>
        <w:spacing w:before="120" w:after="240"/>
      </w:pPr>
      <w:bookmarkStart w:id="20" w:name="_Toc24701"/>
      <w:bookmarkStart w:id="21" w:name="_Toc93922379"/>
      <w:r>
        <w:rPr>
          <w:rFonts w:hint="eastAsia"/>
        </w:rPr>
        <w:t>（三）我国企业“走出去”和产业链供应链风险识别机制</w:t>
      </w:r>
      <w:bookmarkEnd w:id="20"/>
      <w:bookmarkEnd w:id="21"/>
    </w:p>
    <w:p w14:paraId="3904FDC2"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走出去”是我国企业向全球产业链供应链中高端攀升的重要途径：一方面，高质量的“走出去”可以通过参与发达国家高附加值的生产环节向价值链中高端迈进，也可以通过向发展中经济体和新兴经济体适度输出核心生产环节，从而建立以我为中心的区域价值链；另一方面，根据投资目的国的资源禀赋和生产条件，有选择地将国内部分劳动密集型产业的全部或部分生产环节与产能输出，将促进国内产业链的</w:t>
      </w:r>
      <w:r>
        <w:rPr>
          <w:rFonts w:eastAsia="宋体" w:cs="Times New Roman" w:hint="eastAsia"/>
          <w:sz w:val="24"/>
          <w:szCs w:val="24"/>
        </w:rPr>
        <w:lastRenderedPageBreak/>
        <w:t>调整与升级。</w:t>
      </w:r>
    </w:p>
    <w:p w14:paraId="0F87C0F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十三五”时期，我国企业在“走出去”过程中遇到来自全球和投资目的国政治、经济、社会、文化领域的全面冲击，而新冠疫情的暴发，则为我国对外投资带来了新的更大的不确定性。风险识别和防控成为企业“走出去”最为重要也是最具挑战性的任务之一。本研究以“嵌入性”理论为基础，构建对外直接投资与产业链供应链风险识别框架，进而在此框架下建立对外投资过程中的风险识别—评估—防控机制，更好地为企业“走出去”保驾护航。</w:t>
      </w:r>
    </w:p>
    <w:p w14:paraId="66017946" w14:textId="77777777" w:rsidR="006B10D9" w:rsidRDefault="00BE6472">
      <w:pPr>
        <w:pStyle w:val="4"/>
      </w:pPr>
      <w:bookmarkStart w:id="22" w:name="_Toc23681"/>
      <w:r>
        <w:rPr>
          <w:rFonts w:hint="eastAsia"/>
        </w:rPr>
        <w:t>1</w:t>
      </w:r>
      <w:r>
        <w:rPr>
          <w:rFonts w:cs="华文楷体" w:hint="eastAsia"/>
        </w:rPr>
        <w:t>.</w:t>
      </w:r>
      <w:r>
        <w:rPr>
          <w:rFonts w:hint="eastAsia"/>
        </w:rPr>
        <w:t>嵌入性理论概述</w:t>
      </w:r>
      <w:bookmarkEnd w:id="22"/>
    </w:p>
    <w:p w14:paraId="6196543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社会嵌入理论是新经济社会学的重要理论分支。它基于对主流经济学关于人类行为原子化分析方法的批判，认为经济活动是以嵌入社会的方式发生的整体性行动，应当从社会结构和社会网络的角度加以系统性考察</w:t>
      </w:r>
      <w:r>
        <w:rPr>
          <w:rFonts w:eastAsia="宋体" w:cs="Times New Roman" w:hint="eastAsia"/>
          <w:sz w:val="24"/>
          <w:szCs w:val="24"/>
          <w:vertAlign w:val="superscript"/>
        </w:rPr>
        <w:t>[</w:t>
      </w:r>
      <w:r>
        <w:rPr>
          <w:rFonts w:eastAsia="宋体" w:cs="Times New Roman" w:hint="eastAsia"/>
          <w:sz w:val="24"/>
          <w:szCs w:val="24"/>
          <w:vertAlign w:val="superscript"/>
        </w:rPr>
        <w:footnoteReference w:id="11"/>
      </w:r>
      <w:r>
        <w:rPr>
          <w:rFonts w:eastAsia="宋体" w:cs="Times New Roman" w:hint="eastAsia"/>
          <w:sz w:val="24"/>
          <w:szCs w:val="24"/>
          <w:vertAlign w:val="superscript"/>
        </w:rPr>
        <w:t>]</w:t>
      </w:r>
      <w:r>
        <w:rPr>
          <w:rFonts w:eastAsia="宋体" w:cs="Times New Roman" w:hint="eastAsia"/>
          <w:sz w:val="24"/>
          <w:szCs w:val="24"/>
        </w:rPr>
        <w:t>。“嵌入”概念最早是于</w:t>
      </w:r>
      <w:r>
        <w:rPr>
          <w:rFonts w:eastAsia="宋体" w:cs="Times New Roman" w:hint="eastAsia"/>
          <w:sz w:val="24"/>
          <w:szCs w:val="24"/>
        </w:rPr>
        <w:t>1944</w:t>
      </w:r>
      <w:r>
        <w:rPr>
          <w:rFonts w:eastAsia="宋体" w:cs="Times New Roman" w:hint="eastAsia"/>
          <w:sz w:val="24"/>
          <w:szCs w:val="24"/>
        </w:rPr>
        <w:t>年由波兰尼（</w:t>
      </w:r>
      <w:r>
        <w:rPr>
          <w:rFonts w:eastAsia="宋体" w:cs="Times New Roman" w:hint="eastAsia"/>
          <w:sz w:val="24"/>
          <w:szCs w:val="24"/>
        </w:rPr>
        <w:t>Polanyi</w:t>
      </w:r>
      <w:r>
        <w:rPr>
          <w:rFonts w:eastAsia="宋体" w:cs="Times New Roman" w:hint="eastAsia"/>
          <w:sz w:val="24"/>
          <w:szCs w:val="24"/>
        </w:rPr>
        <w:t>）在《大变革》一书中首次提出，并成为新经济社会学的理论基础。格兰诺维特（</w:t>
      </w:r>
      <w:r>
        <w:rPr>
          <w:rFonts w:eastAsia="宋体" w:cs="Times New Roman" w:hint="eastAsia"/>
          <w:sz w:val="24"/>
          <w:szCs w:val="24"/>
        </w:rPr>
        <w:t>Granovetter</w:t>
      </w:r>
      <w:r>
        <w:rPr>
          <w:rFonts w:eastAsia="宋体" w:cs="Times New Roman" w:hint="eastAsia"/>
          <w:sz w:val="24"/>
          <w:szCs w:val="24"/>
        </w:rPr>
        <w:t>）将嵌入分为关系嵌入和结构嵌入，关系嵌入强调单个行为主体的经济行为嵌入与他人互动形成的关系网络中，结构嵌入则强调经济组织之间及其与第三方之间的联结。祖京（</w:t>
      </w:r>
      <w:r>
        <w:rPr>
          <w:rFonts w:eastAsia="宋体" w:cs="Times New Roman" w:hint="eastAsia"/>
          <w:sz w:val="24"/>
          <w:szCs w:val="24"/>
        </w:rPr>
        <w:t>Zukin</w:t>
      </w:r>
      <w:r>
        <w:rPr>
          <w:rFonts w:eastAsia="宋体" w:cs="Times New Roman" w:hint="eastAsia"/>
          <w:sz w:val="24"/>
          <w:szCs w:val="24"/>
        </w:rPr>
        <w:t>）与迪马吉奥（</w:t>
      </w:r>
      <w:r>
        <w:rPr>
          <w:rFonts w:eastAsia="宋体" w:cs="Times New Roman" w:hint="eastAsia"/>
          <w:sz w:val="24"/>
          <w:szCs w:val="24"/>
        </w:rPr>
        <w:t>DiMaggio</w:t>
      </w:r>
      <w:r>
        <w:rPr>
          <w:rFonts w:eastAsia="宋体" w:cs="Times New Roman" w:hint="eastAsia"/>
          <w:sz w:val="24"/>
          <w:szCs w:val="24"/>
        </w:rPr>
        <w:t>）提出了结构嵌入、认知嵌入、政治嵌入与文化嵌入四种类型，将认知、政治、文化等因素纳入对嵌入结果的影响。</w:t>
      </w:r>
    </w:p>
    <w:p w14:paraId="5F29770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本研究中所指“嵌入性”，是指企业的经济活动受到区域社会文化的影响</w:t>
      </w:r>
      <w:r>
        <w:rPr>
          <w:rFonts w:eastAsia="宋体" w:cs="Times New Roman" w:hint="eastAsia"/>
          <w:sz w:val="24"/>
          <w:szCs w:val="24"/>
          <w:vertAlign w:val="superscript"/>
        </w:rPr>
        <w:t>[</w:t>
      </w:r>
      <w:r>
        <w:rPr>
          <w:rFonts w:eastAsia="宋体" w:cs="Times New Roman" w:hint="eastAsia"/>
          <w:sz w:val="24"/>
          <w:szCs w:val="24"/>
          <w:vertAlign w:val="superscript"/>
        </w:rPr>
        <w:footnoteReference w:id="12"/>
      </w:r>
      <w:r>
        <w:rPr>
          <w:rFonts w:eastAsia="宋体" w:cs="Times New Roman" w:hint="eastAsia"/>
          <w:sz w:val="24"/>
          <w:szCs w:val="24"/>
          <w:vertAlign w:val="superscript"/>
        </w:rPr>
        <w:t>]</w:t>
      </w:r>
      <w:r>
        <w:rPr>
          <w:rFonts w:eastAsia="宋体" w:cs="Times New Roman" w:hint="eastAsia"/>
          <w:sz w:val="24"/>
          <w:szCs w:val="24"/>
        </w:rPr>
        <w:t>，用于解释外资企业进入东道国的投资过程。研究表明，外资为了获取资源或单纯地降低成本而获取利润，在进入东道国时会发生“主动嵌入”或“被动嵌入”的过程。主动或被动嵌入的区别在于外资的博弈能力。如果东道国拥有良好的区位条件、有竞争力的市场环境和稳定且易融入的制度环境，外资的进入就属于“主动嵌入”（</w:t>
      </w:r>
      <w:r>
        <w:rPr>
          <w:rFonts w:eastAsia="宋体" w:cs="Times New Roman" w:hint="eastAsia"/>
          <w:sz w:val="24"/>
          <w:szCs w:val="24"/>
        </w:rPr>
        <w:t>active embeddedness</w:t>
      </w:r>
      <w:r>
        <w:rPr>
          <w:rFonts w:eastAsia="宋体" w:cs="Times New Roman" w:hint="eastAsia"/>
          <w:sz w:val="24"/>
          <w:szCs w:val="24"/>
        </w:rPr>
        <w:t>）；如果外资为了获得某种稀缺资源，东道国政府较为强势或存在较强约束制度，那么外资会倾向于选择在东道国有影响的企业合作，建立合资公司发展本地产业联系，这种嵌入就属于“被动嵌入”</w:t>
      </w:r>
      <w:r>
        <w:rPr>
          <w:rFonts w:eastAsia="宋体" w:cs="Times New Roman" w:hint="eastAsia"/>
          <w:sz w:val="24"/>
          <w:szCs w:val="24"/>
        </w:rPr>
        <w:t>(obligated embeddedness)</w:t>
      </w:r>
      <w:r>
        <w:rPr>
          <w:rFonts w:eastAsia="宋体" w:cs="Times New Roman" w:hint="eastAsia"/>
          <w:sz w:val="24"/>
          <w:szCs w:val="24"/>
        </w:rPr>
        <w:t>。</w:t>
      </w:r>
    </w:p>
    <w:p w14:paraId="54C83875" w14:textId="77777777" w:rsidR="006B10D9" w:rsidRDefault="00BE6472">
      <w:pPr>
        <w:pStyle w:val="4"/>
      </w:pPr>
      <w:bookmarkStart w:id="23" w:name="_Toc26448"/>
      <w:r>
        <w:rPr>
          <w:rFonts w:hint="eastAsia"/>
        </w:rPr>
        <w:t>2</w:t>
      </w:r>
      <w:r>
        <w:rPr>
          <w:rFonts w:cs="华文楷体" w:hint="eastAsia"/>
        </w:rPr>
        <w:t>.</w:t>
      </w:r>
      <w:r>
        <w:rPr>
          <w:rFonts w:hint="eastAsia"/>
        </w:rPr>
        <w:t>模型构建</w:t>
      </w:r>
      <w:bookmarkEnd w:id="23"/>
    </w:p>
    <w:p w14:paraId="202AD67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lastRenderedPageBreak/>
        <w:t>从已有研究来看，嵌入理论的应用案例大多是“静态”的，强调的是结构性嵌入，即假设东道国政治经济环境保持相对稳定，外资企业的生产组织模式以及与本地产业联系也可保持稳定。但在一些欠发达国家，国家的政权结构、经济社会形态等仍处于迭荡“变化”中。一方面，一些国家本身处于政经结构转型过程中，国际社会、国家政府、地方政府、公众等都被裹挟于制度环境的重塑。在此类国家投资时，不仅要面临东道国内部矛盾重重的经济社会问题，还要受到包括西方社会、国际组织、</w:t>
      </w:r>
      <w:r>
        <w:rPr>
          <w:rFonts w:eastAsia="宋体" w:cs="Times New Roman" w:hint="eastAsia"/>
          <w:sz w:val="24"/>
          <w:szCs w:val="24"/>
        </w:rPr>
        <w:t>NGO</w:t>
      </w:r>
      <w:r>
        <w:rPr>
          <w:rFonts w:eastAsia="宋体" w:cs="Times New Roman" w:hint="eastAsia"/>
          <w:sz w:val="24"/>
          <w:szCs w:val="24"/>
        </w:rPr>
        <w:t>等团体的多重影响；另一方面，一些政权不稳或地方武装割据的国家，中央政府孱弱而无力管辖地方事务，在这些国家投资还要更多顾及地方势力或政权更迭的影响。</w:t>
      </w:r>
    </w:p>
    <w:p w14:paraId="26718325"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本研究认为，企业对外投资过程并未始终处于“静止”环境，也并非始终处于“主动嵌入”或“被动嵌入”的状态，而是在进入东道国的过程中受到来自全球、东道国和地方以及多元利益主体等多重因素影响，是一个“动态”变化的过程。对外投资企业应在动态环境变化中做出适应性调整，全面识别不同利益主体和影响因素带来的风险，并在应对冲击的过程中做好风险防控，从而更好地“嵌入”本地联系网络，实现与东道国和相关利益群体的共赢（见图</w:t>
      </w:r>
      <w:r>
        <w:rPr>
          <w:rFonts w:eastAsia="宋体" w:cs="Times New Roman" w:hint="eastAsia"/>
          <w:sz w:val="24"/>
          <w:szCs w:val="24"/>
        </w:rPr>
        <w:t>7</w:t>
      </w:r>
      <w:r>
        <w:rPr>
          <w:rFonts w:eastAsia="宋体" w:cs="Times New Roman" w:hint="eastAsia"/>
          <w:sz w:val="24"/>
          <w:szCs w:val="24"/>
        </w:rPr>
        <w:t>）。</w:t>
      </w:r>
    </w:p>
    <w:p w14:paraId="6BC0F0F7" w14:textId="77777777" w:rsidR="006B10D9" w:rsidRDefault="00BE6472">
      <w:pPr>
        <w:spacing w:line="360" w:lineRule="auto"/>
        <w:ind w:firstLineChars="0" w:firstLine="0"/>
        <w:jc w:val="left"/>
        <w:rPr>
          <w:rFonts w:eastAsia="宋体" w:cs="Times New Roman"/>
          <w:bCs/>
          <w:sz w:val="28"/>
        </w:rPr>
      </w:pPr>
      <w:r>
        <w:rPr>
          <w:rFonts w:eastAsia="宋体" w:cs="Times New Roman" w:hint="eastAsia"/>
          <w:bCs/>
          <w:noProof/>
          <w:sz w:val="28"/>
        </w:rPr>
        <w:drawing>
          <wp:inline distT="0" distB="0" distL="114300" distR="114300" wp14:anchorId="15670B10" wp14:editId="2D202554">
            <wp:extent cx="5262245" cy="3360420"/>
            <wp:effectExtent l="0" t="0" r="10795" b="7620"/>
            <wp:docPr id="45722" name="图片 45722" descr="4ebe2c0af435eec103c0816a5c84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2" name="图片 45722" descr="4ebe2c0af435eec103c0816a5c84fdb"/>
                    <pic:cNvPicPr>
                      <a:picLocks noChangeAspect="1"/>
                    </pic:cNvPicPr>
                  </pic:nvPicPr>
                  <pic:blipFill>
                    <a:blip r:embed="rId21"/>
                    <a:stretch>
                      <a:fillRect/>
                    </a:stretch>
                  </pic:blipFill>
                  <pic:spPr>
                    <a:xfrm>
                      <a:off x="0" y="0"/>
                      <a:ext cx="5262245" cy="3360420"/>
                    </a:xfrm>
                    <a:prstGeom prst="rect">
                      <a:avLst/>
                    </a:prstGeom>
                  </pic:spPr>
                </pic:pic>
              </a:graphicData>
            </a:graphic>
          </wp:inline>
        </w:drawing>
      </w:r>
    </w:p>
    <w:p w14:paraId="63E91B5B" w14:textId="77777777" w:rsidR="006B10D9" w:rsidRDefault="00BE6472">
      <w:pPr>
        <w:pStyle w:val="affb"/>
        <w:rPr>
          <w:sz w:val="28"/>
        </w:rPr>
      </w:pPr>
      <w:r>
        <w:rPr>
          <w:rFonts w:hint="eastAsia"/>
        </w:rPr>
        <w:t>图</w:t>
      </w:r>
      <w:r>
        <w:rPr>
          <w:rFonts w:hint="eastAsia"/>
        </w:rPr>
        <w:t xml:space="preserve">7  </w:t>
      </w:r>
      <w:r>
        <w:rPr>
          <w:rFonts w:hint="eastAsia"/>
        </w:rPr>
        <w:t>对外投资与产业链供应链风险识别和防控模型框架</w:t>
      </w:r>
    </w:p>
    <w:p w14:paraId="00CB53F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在该框架下，企业作为境外投资主体，在对外投资的过程中嵌入到全球—东道国—地方三重维度框架下。</w:t>
      </w:r>
      <w:r>
        <w:rPr>
          <w:rFonts w:eastAsia="宋体" w:cs="Times New Roman" w:hint="eastAsia"/>
          <w:b/>
          <w:bCs/>
          <w:sz w:val="24"/>
          <w:szCs w:val="24"/>
        </w:rPr>
        <w:t>一是在全球维度上</w:t>
      </w:r>
      <w:r>
        <w:rPr>
          <w:rFonts w:eastAsia="宋体" w:cs="Times New Roman" w:hint="eastAsia"/>
          <w:sz w:val="24"/>
          <w:szCs w:val="24"/>
        </w:rPr>
        <w:t>，地缘政治环境、与东道国的外交关系、</w:t>
      </w:r>
      <w:r>
        <w:rPr>
          <w:rFonts w:eastAsia="宋体" w:cs="Times New Roman" w:hint="eastAsia"/>
          <w:sz w:val="24"/>
          <w:szCs w:val="24"/>
        </w:rPr>
        <w:lastRenderedPageBreak/>
        <w:t>产业链供应链配置、国家间经贸关系等会对东道国的投资环境产生深刻影响；重要的利益群体包括世界银行、</w:t>
      </w:r>
      <w:r>
        <w:rPr>
          <w:rFonts w:eastAsia="宋体" w:cs="Times New Roman" w:hint="eastAsia"/>
          <w:sz w:val="24"/>
          <w:szCs w:val="24"/>
        </w:rPr>
        <w:t>IMF</w:t>
      </w:r>
      <w:r>
        <w:rPr>
          <w:rFonts w:eastAsia="宋体" w:cs="Times New Roman" w:hint="eastAsia"/>
          <w:sz w:val="24"/>
          <w:szCs w:val="24"/>
        </w:rPr>
        <w:t>等国际组织、具有全球影响力的大国、政府治理以及环境保护等领域的非政府组织等，都会对外资企业的进入和本地经营施加重要影响。</w:t>
      </w:r>
      <w:r>
        <w:rPr>
          <w:rFonts w:eastAsia="宋体" w:cs="Times New Roman" w:hint="eastAsia"/>
          <w:b/>
          <w:bCs/>
          <w:sz w:val="24"/>
          <w:szCs w:val="24"/>
        </w:rPr>
        <w:t>二是在东道国维度上，</w:t>
      </w:r>
      <w:r>
        <w:rPr>
          <w:rFonts w:eastAsia="宋体" w:cs="Times New Roman" w:hint="eastAsia"/>
          <w:sz w:val="24"/>
          <w:szCs w:val="24"/>
        </w:rPr>
        <w:t>国家本身的政治、经济、社会结构、文化、宗教等因素都会成为影响外商投资的重要因素。一方面，一些东道国政治环境长期动荡，法律体系不够健全，社会经济政策复杂多变，不同政党和核心权力部门之间激烈博弈，导致本地营商环境恶化，与外资合作的本地企业也深受影响，因此外资企业需要应对东道国的政治经济社会文化环境的不断变化。</w:t>
      </w:r>
      <w:r>
        <w:rPr>
          <w:rFonts w:eastAsia="宋体" w:cs="Times New Roman" w:hint="eastAsia"/>
          <w:b/>
          <w:bCs/>
          <w:sz w:val="24"/>
          <w:szCs w:val="24"/>
        </w:rPr>
        <w:t>三是在地方层面上，</w:t>
      </w:r>
      <w:r>
        <w:rPr>
          <w:rFonts w:eastAsia="宋体" w:cs="Times New Roman" w:hint="eastAsia"/>
          <w:sz w:val="24"/>
          <w:szCs w:val="24"/>
        </w:rPr>
        <w:t>地方分权、社区和本地民众意愿是影响外资项目成败的重要因素。在一些中央政府管辖薄弱的地区投资，当地政府拥有对本地区和企业生存发展的绝对控制权。同时，还要充分保障当地居民的生计和利益，尊重历史传统和文化习俗，培育和积累社区的社会资本等。这三个维度的综合作用和相互耦合，成为影响外资项目在东道国成功与否的关键所在。</w:t>
      </w:r>
    </w:p>
    <w:p w14:paraId="1361FA4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此外，新冠疫情的暴发和全球传播成为对外投资过程的又一重要变量，围绕疫情溯源、社交隔离、疫苗采购分配的争议等，无疑成为后疫情时代最显著的风险点之一，并对相关利益群体产生多重影响。</w:t>
      </w:r>
    </w:p>
    <w:p w14:paraId="30CA9EA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在对上述三个维度的风险进行识别后，对外投资企业应进行相应的风险评估和防控，以缓解多重风险带来的冲击，促进投资项目的顺利开展和可持续发展。</w:t>
      </w:r>
    </w:p>
    <w:p w14:paraId="6835487E" w14:textId="77777777" w:rsidR="006B10D9" w:rsidRDefault="00BE6472">
      <w:pPr>
        <w:pStyle w:val="4"/>
      </w:pPr>
      <w:bookmarkStart w:id="24" w:name="_Toc5567"/>
      <w:r>
        <w:rPr>
          <w:rFonts w:hint="eastAsia"/>
        </w:rPr>
        <w:t>3</w:t>
      </w:r>
      <w:r>
        <w:rPr>
          <w:rFonts w:cs="华文楷体" w:hint="eastAsia"/>
        </w:rPr>
        <w:t>.</w:t>
      </w:r>
      <w:r>
        <w:rPr>
          <w:rFonts w:hint="eastAsia"/>
        </w:rPr>
        <w:t>理论创新和不足</w:t>
      </w:r>
      <w:bookmarkEnd w:id="24"/>
    </w:p>
    <w:p w14:paraId="5F2AE77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本研究在“嵌入性理论”基础上，设计了多维度下的企业对外投资与产业链供应链风险识别和防控理论框架。该框架在对外投资环境静态假设基础上，通过三层维度的嵌入，形成了对东道国投资风险的动态多因素论证，从而有助于我对外投资企业厘清后疫情时代“走出去”的多重风险，采取有效措施加强风险评估和防控，减少包括疫情在内的突发风险影响，通过对外投资确保我产业链和供应链安全，实现在全球价值链中高端位势的攀升。</w:t>
      </w:r>
    </w:p>
    <w:p w14:paraId="0BFED91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该理论框架的不足之处在于，为了更好地识别后疫情时代的对外投资和产业链供应链风险，将外资企业对东道国的嵌入视为单向嵌入，简化了三个不同维度对外商投资企业和本地产业联系的反嵌入，即互相嵌入的过程。这种反嵌入一方面体现在，强势的东道国和地方政府对外资企业经营的正面制度约束（如聘用本地员工、劳工权力、工会、环境影响等）以及经营方式上的变通；另一方面，本地社区和民众迫使外</w:t>
      </w:r>
      <w:r>
        <w:rPr>
          <w:rFonts w:eastAsia="宋体" w:cs="Times New Roman" w:hint="eastAsia"/>
          <w:sz w:val="24"/>
          <w:szCs w:val="24"/>
        </w:rPr>
        <w:lastRenderedPageBreak/>
        <w:t>资企业接受当地文化、宗教等传统习俗，保障居民生计，保护环境和生态多样性的努力等。在这种互嵌的动态平衡过程中，相互的制约和反制约决定了外资项目的可行性和合作效果。这种反嵌入和互嵌的过程更为复杂，应以其他方式进行更为深入的研究。</w:t>
      </w:r>
    </w:p>
    <w:p w14:paraId="4ADAE973" w14:textId="77777777" w:rsidR="006B10D9" w:rsidRDefault="00BE6472">
      <w:pPr>
        <w:pStyle w:val="2"/>
        <w:ind w:firstLine="480"/>
      </w:pPr>
      <w:bookmarkStart w:id="25" w:name="_Toc93846693"/>
      <w:bookmarkStart w:id="26" w:name="_Toc93922380"/>
      <w:bookmarkStart w:id="27" w:name="_Toc31630"/>
      <w:r>
        <w:t>二、后疫情时代我国企业</w:t>
      </w:r>
      <w:r>
        <w:rPr>
          <w:rFonts w:hint="eastAsia"/>
        </w:rPr>
        <w:t>“</w:t>
      </w:r>
      <w:r>
        <w:t>走出去</w:t>
      </w:r>
      <w:r>
        <w:rPr>
          <w:rFonts w:hint="eastAsia"/>
        </w:rPr>
        <w:t>”</w:t>
      </w:r>
      <w:r>
        <w:t>环境风险分析</w:t>
      </w:r>
      <w:bookmarkEnd w:id="25"/>
      <w:bookmarkEnd w:id="26"/>
      <w:bookmarkEnd w:id="27"/>
    </w:p>
    <w:p w14:paraId="4B3AAD0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预计在未来相当长时期，新冠疫情在全球蔓延和传播的风险仍然存在，国际政治经济格局将加速调整，不稳定性、不确定性因素不断增加，我国企业“走出去”将面临更为复杂多变的投资环境。总体而言，我国对外投资的战略机遇期仍将延续，但机遇和挑战、内涵与条件都将发生前所未有的变化。本章拟通过</w:t>
      </w:r>
      <w:r>
        <w:rPr>
          <w:rFonts w:eastAsia="宋体" w:cs="Times New Roman" w:hint="eastAsia"/>
          <w:sz w:val="24"/>
          <w:szCs w:val="24"/>
        </w:rPr>
        <w:t>PEST-SWOT</w:t>
      </w:r>
      <w:r>
        <w:rPr>
          <w:rFonts w:eastAsia="宋体" w:cs="Times New Roman" w:hint="eastAsia"/>
          <w:sz w:val="24"/>
          <w:szCs w:val="24"/>
        </w:rPr>
        <w:t>分析模型，深入剖析我国企业对外投资面临的外部宏观环境。</w:t>
      </w:r>
    </w:p>
    <w:p w14:paraId="250DC87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PEST</w:t>
      </w:r>
      <w:r>
        <w:rPr>
          <w:rFonts w:eastAsia="宋体" w:cs="Times New Roman" w:hint="eastAsia"/>
          <w:sz w:val="24"/>
          <w:szCs w:val="24"/>
        </w:rPr>
        <w:t>（</w:t>
      </w:r>
      <w:r>
        <w:rPr>
          <w:rFonts w:eastAsia="宋体" w:cs="Times New Roman" w:hint="eastAsia"/>
          <w:sz w:val="24"/>
          <w:szCs w:val="24"/>
        </w:rPr>
        <w:t>Political, Economic, Social, Technological</w:t>
      </w:r>
      <w:r>
        <w:rPr>
          <w:rFonts w:eastAsia="宋体" w:cs="Times New Roman" w:hint="eastAsia"/>
          <w:sz w:val="24"/>
          <w:szCs w:val="24"/>
        </w:rPr>
        <w:t>）模型是对宏观环境分析的一种有效工具。它通过对政治、经济、社会和技术四个方面的若干影响因素进行列示和总结，有助于行业和组织分析出相对关键和重要的影响因素，从而确立最终发展目标。</w:t>
      </w:r>
    </w:p>
    <w:p w14:paraId="1CD0DAB9" w14:textId="77777777" w:rsidR="006B10D9" w:rsidRDefault="00BE6472">
      <w:pPr>
        <w:spacing w:line="360" w:lineRule="auto"/>
        <w:ind w:firstLineChars="0" w:firstLine="0"/>
        <w:jc w:val="center"/>
        <w:rPr>
          <w:rFonts w:eastAsia="宋体" w:cs="Times New Roman"/>
          <w:bCs/>
          <w:sz w:val="24"/>
          <w:szCs w:val="24"/>
        </w:rPr>
      </w:pPr>
      <w:r>
        <w:rPr>
          <w:rFonts w:eastAsia="宋体" w:cs="Times New Roman" w:hint="eastAsia"/>
          <w:bCs/>
          <w:noProof/>
          <w:sz w:val="24"/>
          <w:szCs w:val="24"/>
        </w:rPr>
        <w:drawing>
          <wp:inline distT="0" distB="0" distL="114300" distR="114300" wp14:anchorId="4544CA0D" wp14:editId="7B0839F3">
            <wp:extent cx="3533775" cy="3067050"/>
            <wp:effectExtent l="0" t="0" r="9525" b="0"/>
            <wp:docPr id="45723" name="图片 45723" descr="6c0fabec36d17f8cb4bb16fee61e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3" name="图片 45723" descr="6c0fabec36d17f8cb4bb16fee61e0d9"/>
                    <pic:cNvPicPr>
                      <a:picLocks noChangeAspect="1"/>
                    </pic:cNvPicPr>
                  </pic:nvPicPr>
                  <pic:blipFill>
                    <a:blip r:embed="rId22"/>
                    <a:srcRect t="4852" b="8356"/>
                    <a:stretch>
                      <a:fillRect/>
                    </a:stretch>
                  </pic:blipFill>
                  <pic:spPr>
                    <a:xfrm>
                      <a:off x="0" y="0"/>
                      <a:ext cx="3533775" cy="3067050"/>
                    </a:xfrm>
                    <a:prstGeom prst="rect">
                      <a:avLst/>
                    </a:prstGeom>
                    <a:ln>
                      <a:noFill/>
                    </a:ln>
                  </pic:spPr>
                </pic:pic>
              </a:graphicData>
            </a:graphic>
          </wp:inline>
        </w:drawing>
      </w:r>
    </w:p>
    <w:p w14:paraId="13639BFD" w14:textId="77777777" w:rsidR="006B10D9" w:rsidRDefault="00BE6472">
      <w:pPr>
        <w:pStyle w:val="affb"/>
      </w:pPr>
      <w:r>
        <w:rPr>
          <w:rFonts w:hint="eastAsia"/>
        </w:rPr>
        <w:t>图</w:t>
      </w:r>
      <w:r>
        <w:rPr>
          <w:rFonts w:hint="eastAsia"/>
        </w:rPr>
        <w:t>8  PEST</w:t>
      </w:r>
      <w:r>
        <w:rPr>
          <w:rFonts w:hint="eastAsia"/>
        </w:rPr>
        <w:t>分析模型</w:t>
      </w:r>
    </w:p>
    <w:p w14:paraId="6F63F5E6" w14:textId="77777777" w:rsidR="006B10D9" w:rsidRDefault="00BE6472">
      <w:pPr>
        <w:pStyle w:val="3"/>
        <w:spacing w:before="120" w:after="240"/>
      </w:pPr>
      <w:bookmarkStart w:id="28" w:name="_Toc93922381"/>
      <w:bookmarkStart w:id="29" w:name="_Toc7610"/>
      <w:r>
        <w:rPr>
          <w:rFonts w:hint="eastAsia"/>
        </w:rPr>
        <w:t>（一）影响中国企业“走出去”的环境因素</w:t>
      </w:r>
      <w:bookmarkEnd w:id="28"/>
      <w:bookmarkEnd w:id="29"/>
    </w:p>
    <w:p w14:paraId="68DD733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随着新冠疫情在全球的扩散蔓延，疫情的短期重大负面冲击已经全面显现，并导致世界政治、经济、社会和科技治理格局的深刻调整和演化。在此背景下，国际环境</w:t>
      </w:r>
      <w:r>
        <w:rPr>
          <w:rFonts w:eastAsia="宋体" w:cs="Times New Roman" w:hint="eastAsia"/>
          <w:sz w:val="24"/>
          <w:szCs w:val="24"/>
        </w:rPr>
        <w:lastRenderedPageBreak/>
        <w:t>的不确定不稳定性因素陡然增加，给我国企业“走出去”带来新的困难和挑战。</w:t>
      </w:r>
    </w:p>
    <w:p w14:paraId="1299C5CC" w14:textId="77777777" w:rsidR="006B10D9" w:rsidRDefault="00BE6472">
      <w:pPr>
        <w:pStyle w:val="4"/>
      </w:pPr>
      <w:bookmarkStart w:id="30" w:name="_Toc1948"/>
      <w:r>
        <w:rPr>
          <w:rFonts w:hint="eastAsia"/>
        </w:rPr>
        <w:t>1</w:t>
      </w:r>
      <w:r>
        <w:rPr>
          <w:rFonts w:cs="华文楷体" w:hint="eastAsia"/>
        </w:rPr>
        <w:t>.</w:t>
      </w:r>
      <w:r>
        <w:rPr>
          <w:rFonts w:hint="eastAsia"/>
        </w:rPr>
        <w:t>政治环境</w:t>
      </w:r>
      <w:bookmarkEnd w:id="30"/>
    </w:p>
    <w:p w14:paraId="3045DB28"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）反全球化力量得以强化集聚</w:t>
      </w:r>
    </w:p>
    <w:p w14:paraId="02F5624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疫情发生之前，以美国为首的发达国家要求改变全球化利益分配格局和打压战略竞争对手的图谋，成为一股强大的反全球化力量</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
      </w:r>
      <w:r>
        <w:rPr>
          <w:rFonts w:eastAsia="宋体" w:cs="Times New Roman" w:hint="eastAsia"/>
          <w:sz w:val="24"/>
          <w:szCs w:val="24"/>
          <w:vertAlign w:val="superscript"/>
        </w:rPr>
        <w:t>]</w:t>
      </w:r>
      <w:r>
        <w:rPr>
          <w:rFonts w:eastAsia="宋体" w:cs="Times New Roman" w:hint="eastAsia"/>
          <w:sz w:val="24"/>
          <w:szCs w:val="24"/>
        </w:rPr>
        <w:t>。新冠疫情的暴发，使得反全球化力量得以壮大并衍生出新的形式。一方面，尽管疫情的出现使得国际社会加大了在公共卫生领域的合作需求，但各国在疫情防控上各自为政，在疫苗分配上存在严重不均，国际公共卫生合作需求并未形成一股推动全球化发展的强劲力量。另一方面，疫情导致各国部分经济活动停顿，不仅从需求方造成了对生产生活的冲击，还导致上游供应方产业链价值链中断。为了降低供应链全球配置的脆弱性和战略物资可获得性的风险，各国采取的保护主义成为助推疫情后反全球化的又一股新生力量。总之，伴随新冠疫情的较长一段时期内，根植于大国博弈和民族主义的反全球化力量将得到明显加强。</w:t>
      </w:r>
    </w:p>
    <w:p w14:paraId="1AC801FB"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）多极力量得以分化组合</w:t>
      </w:r>
    </w:p>
    <w:p w14:paraId="0600B8E8" w14:textId="77777777" w:rsidR="006B10D9" w:rsidRDefault="00BE6472">
      <w:pPr>
        <w:numPr>
          <w:ilvl w:val="255"/>
          <w:numId w:val="0"/>
        </w:numPr>
        <w:spacing w:line="360" w:lineRule="auto"/>
        <w:ind w:firstLine="600"/>
        <w:jc w:val="left"/>
        <w:rPr>
          <w:rFonts w:eastAsia="宋体" w:cs="Times New Roman"/>
          <w:sz w:val="24"/>
          <w:szCs w:val="24"/>
        </w:rPr>
      </w:pPr>
      <w:r>
        <w:rPr>
          <w:rFonts w:eastAsia="宋体" w:cs="Times New Roman" w:hint="eastAsia"/>
          <w:sz w:val="24"/>
          <w:szCs w:val="24"/>
        </w:rPr>
        <w:t>随着疫情的全面冲击，在不考虑大国之间发生剧烈地缘冲突等重大事件的情况下，可以预期，当前“一超多强”的国际政治格局将加速分化。美国仍将是世界头号政治经济强国，尽管其全球政治领导力和号召力因前特朗普政府的单边主义政策而大幅下降。当前，为了遏制美国全球影响力的下降趋势，拜登政府将极力寻求盟友对美国的忠诚和追随，并对我进行全方位遏制乃至对抗。对于欧洲而言，英国脱欧、社会分化、疫情冲击将对欧洲一体化进程产生不利影响，欧洲试图打造美中欧并驾齐驱的“三极世界”步履维艰。俄罗斯、日本、印度虽然囿于自身经济实力，但仍将彰显其自身国际定位并寻求扩大国际影响力，同时寻求在超大经济体之间维持平衡关系。</w:t>
      </w:r>
    </w:p>
    <w:p w14:paraId="64C241AB"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）治理格局得以重组调整</w:t>
      </w:r>
    </w:p>
    <w:p w14:paraId="0B5E2F7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对全球治理格局也将产生一定的冲击，并使得全球治理格局的重组调整出现多种可能。一是多边体系名存实亡，以主要国家之间博弈为特征的世界多极化呈现出区域集团化态势；二是出现两个或两个以上的平行体系，以产业链脱钩或部分脱钩</w:t>
      </w:r>
      <w:r>
        <w:rPr>
          <w:rFonts w:eastAsia="宋体" w:cs="Times New Roman" w:hint="eastAsia"/>
          <w:sz w:val="24"/>
          <w:szCs w:val="24"/>
        </w:rPr>
        <w:lastRenderedPageBreak/>
        <w:t>为标志，对现行规则体系、政治经济制度，乃至文明背景和意识形态标准进行重新划分；三是全球化力量得以重整旗鼓，尽管面对疫情的巨大冲击，但唯有携手团结才能完善和创新全球多边体系，真正实现人类命运共同体。从当前形势来看，三种情景有可能相互交织，全球治理格局的最终走势将取决于主要经济体之间的博弈以及重大国际事件的影响。</w:t>
      </w:r>
    </w:p>
    <w:p w14:paraId="374FA2C0" w14:textId="77777777" w:rsidR="006B10D9" w:rsidRDefault="00BE6472">
      <w:pPr>
        <w:pStyle w:val="4"/>
      </w:pPr>
      <w:bookmarkStart w:id="31" w:name="_Toc14136"/>
      <w:r>
        <w:rPr>
          <w:rFonts w:hint="eastAsia"/>
        </w:rPr>
        <w:t>2</w:t>
      </w:r>
      <w:r>
        <w:rPr>
          <w:rFonts w:cs="华文楷体" w:hint="eastAsia"/>
        </w:rPr>
        <w:t>.</w:t>
      </w:r>
      <w:r>
        <w:rPr>
          <w:rFonts w:hint="eastAsia"/>
        </w:rPr>
        <w:t>经济环境</w:t>
      </w:r>
      <w:bookmarkEnd w:id="31"/>
    </w:p>
    <w:p w14:paraId="05237446" w14:textId="77777777" w:rsidR="006B10D9" w:rsidRDefault="00BE6472">
      <w:pPr>
        <w:keepNext/>
        <w:keepLines/>
        <w:spacing w:line="360" w:lineRule="auto"/>
        <w:ind w:left="420" w:firstLineChars="0" w:firstLine="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）疫情冲击下全球经济复苏挑战加大</w:t>
      </w:r>
    </w:p>
    <w:p w14:paraId="3C3050B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新冠肺炎疫情对全球经济产生短期巨大冲击，国际贸易和投资大幅萎缩、国际金融市场剧烈动荡、经济全球化遭遇逆流，全球经济出现大萧条以来最严重衰退，对世界经济中长期发展带来的负面影响不容低估。随着疫情的发展，世界经济虽有望重回增长轨道，但仍存在较强“疤痕效应”，增速可能较疫情前明显放缓。在极端情况下，若疫情出现季节性反复甚至长期蔓延，全球经济危机发生可能性将急剧上升，并有可能陷入全面萧条境地。</w:t>
      </w:r>
    </w:p>
    <w:p w14:paraId="24952133"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）国际经贸规则面临重构</w:t>
      </w:r>
    </w:p>
    <w:p w14:paraId="0827552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当前，以货物贸易和外商直接投资为主的经济全球化传统动能日趋疲弱。世界贸易组织改革受挫，主要发达经济体纷纷另起炉灶，推动建立排他性、保护性较强的区域贸易协定，国际贸易规则体系面临复杂调整博弈。在“零关税、零壁垒、零补贴”高标准贸易规则的推动下，一些区域性贸易协定成为强化区域经济循环的重要动力，如欧日经济伙伴协定、美墨加协定、全面和进步跨太平洋伙伴关系协定等。由东盟发起并邀请中国、日本、韩国、澳大利亚、新西兰等经济体加入的区域全面经济伙伴关系协定（</w:t>
      </w:r>
      <w:r>
        <w:rPr>
          <w:rFonts w:eastAsia="宋体" w:cs="Times New Roman" w:hint="eastAsia"/>
          <w:sz w:val="24"/>
          <w:szCs w:val="24"/>
        </w:rPr>
        <w:t>RCEP</w:t>
      </w:r>
      <w:r>
        <w:rPr>
          <w:rFonts w:eastAsia="宋体" w:cs="Times New Roman" w:hint="eastAsia"/>
          <w:sz w:val="24"/>
          <w:szCs w:val="24"/>
        </w:rPr>
        <w:t>）已于</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11</w:t>
      </w:r>
      <w:r>
        <w:rPr>
          <w:rFonts w:eastAsia="宋体" w:cs="Times New Roman" w:hint="eastAsia"/>
          <w:sz w:val="24"/>
          <w:szCs w:val="24"/>
        </w:rPr>
        <w:t>月正式签署，预计将于</w:t>
      </w:r>
      <w:r>
        <w:rPr>
          <w:rFonts w:eastAsia="宋体" w:cs="Times New Roman" w:hint="eastAsia"/>
          <w:sz w:val="24"/>
          <w:szCs w:val="24"/>
        </w:rPr>
        <w:t>2022</w:t>
      </w:r>
      <w:r>
        <w:rPr>
          <w:rFonts w:eastAsia="宋体" w:cs="Times New Roman" w:hint="eastAsia"/>
          <w:sz w:val="24"/>
          <w:szCs w:val="24"/>
        </w:rPr>
        <w:t>年</w:t>
      </w:r>
      <w:r>
        <w:rPr>
          <w:rFonts w:eastAsia="宋体" w:cs="Times New Roman" w:hint="eastAsia"/>
          <w:sz w:val="24"/>
          <w:szCs w:val="24"/>
        </w:rPr>
        <w:t>1</w:t>
      </w:r>
      <w:r>
        <w:rPr>
          <w:rFonts w:eastAsia="宋体" w:cs="Times New Roman" w:hint="eastAsia"/>
          <w:sz w:val="24"/>
          <w:szCs w:val="24"/>
        </w:rPr>
        <w:t>月</w:t>
      </w:r>
      <w:r>
        <w:rPr>
          <w:rFonts w:eastAsia="宋体" w:cs="Times New Roman" w:hint="eastAsia"/>
          <w:sz w:val="24"/>
          <w:szCs w:val="24"/>
        </w:rPr>
        <w:t>1</w:t>
      </w:r>
      <w:r>
        <w:rPr>
          <w:rFonts w:eastAsia="宋体" w:cs="Times New Roman" w:hint="eastAsia"/>
          <w:sz w:val="24"/>
          <w:szCs w:val="24"/>
        </w:rPr>
        <w:t>日全面生效，并成为全球涵盖人口最多、成员构成最多元、发展最具活力的自贸区。</w:t>
      </w:r>
    </w:p>
    <w:p w14:paraId="67FA98C6"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）中长期经济发展风险不容小觑</w:t>
      </w:r>
    </w:p>
    <w:p w14:paraId="13C3DB7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导致世界经济长期存在的风险隐患逐步暴露，劳动生产率增长放缓、收入差距不断扩大、主权债务持续攀升等制约经济增长的长期性结构性问题依然凸显。一是结构性改革进展缓慢。发达经济体全要素生产率增速持续下滑，投资需求增长乏力，不同阶层民众收入差距不断扩大。发展中经济体也普遍面临经济结构单一、经济抗风险能力较弱等风险，保持长期稳定增长的难度进一步加大；二是全球债务水平攀升。由于主要经济体实行宽松货币政策，导致杠杆率整体水平明显升高。</w:t>
      </w:r>
      <w:r>
        <w:rPr>
          <w:rFonts w:eastAsia="宋体" w:cs="Times New Roman" w:hint="eastAsia"/>
          <w:sz w:val="24"/>
          <w:szCs w:val="24"/>
        </w:rPr>
        <w:t>IMF</w:t>
      </w:r>
      <w:r>
        <w:rPr>
          <w:rFonts w:eastAsia="宋体" w:cs="Times New Roman" w:hint="eastAsia"/>
          <w:sz w:val="24"/>
          <w:szCs w:val="24"/>
        </w:rPr>
        <w:t>预计，</w:t>
      </w:r>
      <w:r>
        <w:rPr>
          <w:rFonts w:eastAsia="宋体" w:cs="Times New Roman" w:hint="eastAsia"/>
          <w:sz w:val="24"/>
          <w:szCs w:val="24"/>
        </w:rPr>
        <w:t>2020</w:t>
      </w:r>
      <w:r>
        <w:rPr>
          <w:rFonts w:eastAsia="宋体" w:cs="Times New Roman" w:hint="eastAsia"/>
          <w:sz w:val="24"/>
          <w:szCs w:val="24"/>
        </w:rPr>
        <w:lastRenderedPageBreak/>
        <w:t>年全球政府债务占</w:t>
      </w:r>
      <w:r>
        <w:rPr>
          <w:rFonts w:eastAsia="宋体" w:cs="Times New Roman" w:hint="eastAsia"/>
          <w:sz w:val="24"/>
          <w:szCs w:val="24"/>
        </w:rPr>
        <w:t>GDP</w:t>
      </w:r>
      <w:r>
        <w:rPr>
          <w:rFonts w:eastAsia="宋体" w:cs="Times New Roman" w:hint="eastAsia"/>
          <w:sz w:val="24"/>
          <w:szCs w:val="24"/>
        </w:rPr>
        <w:t>的比重达到</w:t>
      </w:r>
      <w:r>
        <w:rPr>
          <w:rFonts w:eastAsia="宋体" w:cs="Times New Roman" w:hint="eastAsia"/>
          <w:sz w:val="24"/>
          <w:szCs w:val="24"/>
        </w:rPr>
        <w:t>101.5%</w:t>
      </w:r>
      <w:r>
        <w:rPr>
          <w:rFonts w:eastAsia="宋体" w:cs="Times New Roman" w:hint="eastAsia"/>
          <w:sz w:val="24"/>
          <w:szCs w:val="24"/>
        </w:rPr>
        <w:t>，较</w:t>
      </w:r>
      <w:r>
        <w:rPr>
          <w:rFonts w:eastAsia="宋体" w:cs="Times New Roman" w:hint="eastAsia"/>
          <w:sz w:val="24"/>
          <w:szCs w:val="24"/>
        </w:rPr>
        <w:t>2019</w:t>
      </w:r>
      <w:r>
        <w:rPr>
          <w:rFonts w:eastAsia="宋体" w:cs="Times New Roman" w:hint="eastAsia"/>
          <w:sz w:val="24"/>
          <w:szCs w:val="24"/>
        </w:rPr>
        <w:t>年大幅提高</w:t>
      </w:r>
      <w:r>
        <w:rPr>
          <w:rFonts w:eastAsia="宋体" w:cs="Times New Roman" w:hint="eastAsia"/>
          <w:sz w:val="24"/>
          <w:szCs w:val="24"/>
        </w:rPr>
        <w:t>18.7</w:t>
      </w:r>
      <w:r>
        <w:rPr>
          <w:rFonts w:eastAsia="宋体" w:cs="Times New Roman" w:hint="eastAsia"/>
          <w:sz w:val="24"/>
          <w:szCs w:val="24"/>
        </w:rPr>
        <w:t>个百分点；三是宏观经济政策空间明显减少。受疫情影响，一些国家财政赤字货币化趋势明显，政府负债规模持续攀升。预计未来一个时期，发达经济体财政货币政策的空间将进一步收窄，流动性宽松对经济增长的边际效用更趋减弱。</w:t>
      </w:r>
    </w:p>
    <w:p w14:paraId="5BC64D06" w14:textId="77777777" w:rsidR="006B10D9" w:rsidRDefault="00BE6472">
      <w:pPr>
        <w:pStyle w:val="4"/>
      </w:pPr>
      <w:bookmarkStart w:id="32" w:name="_Toc1358"/>
      <w:r>
        <w:rPr>
          <w:rFonts w:hint="eastAsia"/>
        </w:rPr>
        <w:t>3</w:t>
      </w:r>
      <w:r>
        <w:rPr>
          <w:rFonts w:cs="华文楷体" w:hint="eastAsia"/>
        </w:rPr>
        <w:t>.</w:t>
      </w:r>
      <w:r>
        <w:rPr>
          <w:rFonts w:hint="eastAsia"/>
        </w:rPr>
        <w:t>社会环境</w:t>
      </w:r>
      <w:bookmarkEnd w:id="32"/>
    </w:p>
    <w:p w14:paraId="6185CA40"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）人口老龄化影响日益严重</w:t>
      </w:r>
    </w:p>
    <w:p w14:paraId="64ACE8B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当前全球普遍面临人口出生率下降、老龄化加剧的社会压力。预计未来，发达经济体和包括中国在内的部分新兴经济体将普遍出现劳动参与率下降、人口抚养负担加重的局面。根据联合国《</w:t>
      </w:r>
      <w:r>
        <w:rPr>
          <w:rFonts w:eastAsia="宋体" w:cs="Times New Roman" w:hint="eastAsia"/>
          <w:sz w:val="24"/>
          <w:szCs w:val="24"/>
        </w:rPr>
        <w:t>2019</w:t>
      </w:r>
      <w:r>
        <w:rPr>
          <w:rFonts w:eastAsia="宋体" w:cs="Times New Roman" w:hint="eastAsia"/>
          <w:sz w:val="24"/>
          <w:szCs w:val="24"/>
        </w:rPr>
        <w:t>年人口展望报告》预测，全球</w:t>
      </w:r>
      <w:r>
        <w:rPr>
          <w:rFonts w:eastAsia="宋体" w:cs="Times New Roman" w:hint="eastAsia"/>
          <w:sz w:val="24"/>
          <w:szCs w:val="24"/>
        </w:rPr>
        <w:t>60</w:t>
      </w:r>
      <w:r>
        <w:rPr>
          <w:rFonts w:eastAsia="宋体" w:cs="Times New Roman" w:hint="eastAsia"/>
          <w:sz w:val="24"/>
          <w:szCs w:val="24"/>
        </w:rPr>
        <w:t>岁以上人口占比将从目前的</w:t>
      </w:r>
      <w:r>
        <w:rPr>
          <w:rFonts w:eastAsia="宋体" w:cs="Times New Roman" w:hint="eastAsia"/>
          <w:sz w:val="24"/>
          <w:szCs w:val="24"/>
        </w:rPr>
        <w:t>13.5%</w:t>
      </w:r>
      <w:r>
        <w:rPr>
          <w:rFonts w:eastAsia="宋体" w:cs="Times New Roman" w:hint="eastAsia"/>
          <w:sz w:val="24"/>
          <w:szCs w:val="24"/>
        </w:rPr>
        <w:t>增加到</w:t>
      </w:r>
      <w:r>
        <w:rPr>
          <w:rFonts w:eastAsia="宋体" w:cs="Times New Roman" w:hint="eastAsia"/>
          <w:sz w:val="24"/>
          <w:szCs w:val="24"/>
        </w:rPr>
        <w:t>2030</w:t>
      </w:r>
      <w:r>
        <w:rPr>
          <w:rFonts w:eastAsia="宋体" w:cs="Times New Roman" w:hint="eastAsia"/>
          <w:sz w:val="24"/>
          <w:szCs w:val="24"/>
        </w:rPr>
        <w:t>年的</w:t>
      </w:r>
      <w:r>
        <w:rPr>
          <w:rFonts w:eastAsia="宋体" w:cs="Times New Roman" w:hint="eastAsia"/>
          <w:sz w:val="24"/>
          <w:szCs w:val="24"/>
        </w:rPr>
        <w:t>16.5%</w:t>
      </w:r>
      <w:r>
        <w:rPr>
          <w:rFonts w:eastAsia="宋体" w:cs="Times New Roman" w:hint="eastAsia"/>
          <w:sz w:val="24"/>
          <w:szCs w:val="24"/>
        </w:rPr>
        <w:t>，其中，亚洲将从目前的</w:t>
      </w:r>
      <w:r>
        <w:rPr>
          <w:rFonts w:eastAsia="宋体" w:cs="Times New Roman" w:hint="eastAsia"/>
          <w:sz w:val="24"/>
          <w:szCs w:val="24"/>
        </w:rPr>
        <w:t>13.4%</w:t>
      </w:r>
      <w:r>
        <w:rPr>
          <w:rFonts w:eastAsia="宋体" w:cs="Times New Roman" w:hint="eastAsia"/>
          <w:sz w:val="24"/>
          <w:szCs w:val="24"/>
        </w:rPr>
        <w:t>上升到</w:t>
      </w:r>
      <w:r>
        <w:rPr>
          <w:rFonts w:eastAsia="宋体" w:cs="Times New Roman" w:hint="eastAsia"/>
          <w:sz w:val="24"/>
          <w:szCs w:val="24"/>
        </w:rPr>
        <w:t>17.2%</w:t>
      </w:r>
      <w:r>
        <w:rPr>
          <w:rFonts w:eastAsia="宋体" w:cs="Times New Roman" w:hint="eastAsia"/>
          <w:sz w:val="24"/>
          <w:szCs w:val="24"/>
        </w:rPr>
        <w:t>，高于全球平均水平。</w:t>
      </w:r>
      <w:r>
        <w:rPr>
          <w:rFonts w:eastAsia="宋体" w:cs="Times New Roman" w:hint="eastAsia"/>
          <w:sz w:val="24"/>
          <w:szCs w:val="24"/>
        </w:rPr>
        <w:t>IMF</w:t>
      </w:r>
      <w:r>
        <w:rPr>
          <w:rFonts w:eastAsia="宋体" w:cs="Times New Roman" w:hint="eastAsia"/>
          <w:sz w:val="24"/>
          <w:szCs w:val="24"/>
        </w:rPr>
        <w:t>的研究也显示，全球老龄化负担将持续加重，到</w:t>
      </w:r>
      <w:r>
        <w:rPr>
          <w:rFonts w:eastAsia="宋体" w:cs="Times New Roman" w:hint="eastAsia"/>
          <w:sz w:val="24"/>
          <w:szCs w:val="24"/>
        </w:rPr>
        <w:t>2050</w:t>
      </w:r>
      <w:r>
        <w:rPr>
          <w:rFonts w:eastAsia="宋体" w:cs="Times New Roman" w:hint="eastAsia"/>
          <w:sz w:val="24"/>
          <w:szCs w:val="24"/>
        </w:rPr>
        <w:t>年将有</w:t>
      </w:r>
      <w:r>
        <w:rPr>
          <w:rFonts w:eastAsia="宋体" w:cs="Times New Roman" w:hint="eastAsia"/>
          <w:sz w:val="24"/>
          <w:szCs w:val="24"/>
        </w:rPr>
        <w:t>55</w:t>
      </w:r>
      <w:r>
        <w:rPr>
          <w:rFonts w:eastAsia="宋体" w:cs="Times New Roman" w:hint="eastAsia"/>
          <w:sz w:val="24"/>
          <w:szCs w:val="24"/>
        </w:rPr>
        <w:t>个国家老年抚养比超过</w:t>
      </w:r>
      <w:r>
        <w:rPr>
          <w:rFonts w:eastAsia="宋体" w:cs="Times New Roman" w:hint="eastAsia"/>
          <w:sz w:val="24"/>
          <w:szCs w:val="24"/>
        </w:rPr>
        <w:t>40%</w:t>
      </w:r>
      <w:r>
        <w:rPr>
          <w:rFonts w:eastAsia="宋体" w:cs="Times New Roman" w:hint="eastAsia"/>
          <w:sz w:val="24"/>
          <w:szCs w:val="24"/>
        </w:rPr>
        <w:t>。</w:t>
      </w:r>
    </w:p>
    <w:p w14:paraId="5869A5A7"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）气候变化影响日趋显现</w:t>
      </w:r>
    </w:p>
    <w:p w14:paraId="6804CF55"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尽管拜登政府宣布美国于</w:t>
      </w:r>
      <w:r>
        <w:rPr>
          <w:rFonts w:eastAsia="宋体" w:cs="Times New Roman" w:hint="eastAsia"/>
          <w:sz w:val="24"/>
          <w:szCs w:val="24"/>
        </w:rPr>
        <w:t>2021</w:t>
      </w:r>
      <w:r>
        <w:rPr>
          <w:rFonts w:eastAsia="宋体" w:cs="Times New Roman" w:hint="eastAsia"/>
          <w:sz w:val="24"/>
          <w:szCs w:val="24"/>
        </w:rPr>
        <w:t>年</w:t>
      </w:r>
      <w:r>
        <w:rPr>
          <w:rFonts w:eastAsia="宋体" w:cs="Times New Roman" w:hint="eastAsia"/>
          <w:sz w:val="24"/>
          <w:szCs w:val="24"/>
        </w:rPr>
        <w:t>2</w:t>
      </w:r>
      <w:r>
        <w:rPr>
          <w:rFonts w:eastAsia="宋体" w:cs="Times New Roman" w:hint="eastAsia"/>
          <w:sz w:val="24"/>
          <w:szCs w:val="24"/>
        </w:rPr>
        <w:t>月重返应对气候变化的《巴黎协定》，但各国达成气候变化协同政策的难度依然较大。联合国政府间气候变化专门委员会（气候委员会）发布的最新报告《气候变化</w:t>
      </w:r>
      <w:r>
        <w:rPr>
          <w:rFonts w:eastAsia="宋体" w:cs="Times New Roman" w:hint="eastAsia"/>
          <w:sz w:val="24"/>
          <w:szCs w:val="24"/>
        </w:rPr>
        <w:t>2021</w:t>
      </w:r>
      <w:r>
        <w:rPr>
          <w:rFonts w:eastAsia="宋体" w:cs="Times New Roman" w:hint="eastAsia"/>
          <w:sz w:val="24"/>
          <w:szCs w:val="24"/>
        </w:rPr>
        <w:t>：自然科学基础》显示，只有采取强有力的减排措施，在</w:t>
      </w:r>
      <w:r>
        <w:rPr>
          <w:rFonts w:eastAsia="宋体" w:cs="Times New Roman" w:hint="eastAsia"/>
          <w:sz w:val="24"/>
          <w:szCs w:val="24"/>
        </w:rPr>
        <w:t>2050</w:t>
      </w:r>
      <w:r>
        <w:rPr>
          <w:rFonts w:eastAsia="宋体" w:cs="Times New Roman" w:hint="eastAsia"/>
          <w:sz w:val="24"/>
          <w:szCs w:val="24"/>
        </w:rPr>
        <w:t>年前后实现二氧化碳净零排放的情景下，温升才有可能低于</w:t>
      </w:r>
      <w:r>
        <w:rPr>
          <w:rFonts w:eastAsia="宋体" w:cs="Times New Roman" w:hint="eastAsia"/>
          <w:sz w:val="24"/>
          <w:szCs w:val="24"/>
        </w:rPr>
        <w:t>1.6</w:t>
      </w:r>
      <w:r>
        <w:rPr>
          <w:rFonts w:eastAsia="宋体" w:cs="Times New Roman" w:hint="eastAsia"/>
          <w:sz w:val="24"/>
          <w:szCs w:val="24"/>
        </w:rPr>
        <w:t>摄氏度，且在本世纪末降低到</w:t>
      </w:r>
      <w:r>
        <w:rPr>
          <w:rFonts w:eastAsia="宋体" w:cs="Times New Roman" w:hint="eastAsia"/>
          <w:sz w:val="24"/>
          <w:szCs w:val="24"/>
        </w:rPr>
        <w:t>1.5</w:t>
      </w:r>
      <w:r>
        <w:rPr>
          <w:rFonts w:eastAsia="宋体" w:cs="Times New Roman" w:hint="eastAsia"/>
          <w:sz w:val="24"/>
          <w:szCs w:val="24"/>
        </w:rPr>
        <w:t>摄氏度以内。报告还预测，在未来几十年里，暖季将变得更长，冷季将更短，同时极端高温等将变得更加频繁，对农业和人体健康带来更大挑战，严重威胁部分岛国及世界沿海地区安全。</w:t>
      </w:r>
    </w:p>
    <w:p w14:paraId="1B92DDA7"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）社会事业和公共卫生挑战愈加艰巨</w:t>
      </w:r>
    </w:p>
    <w:p w14:paraId="6C4E071D"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随着全球人口增速总体趋缓，生育水平和意愿普遍下降，劳动年龄人口占比持续下降，对医疗保障、养老托幼、社会保险等需求进一步上升，社会保障体系面临严峻挑战。与此同时，全球人员流动更为便捷，各类传染病传播速度和扩散范围不断扩大，包括新冠肺炎疫情在内的新型病毒和耐药性病菌加速涌现，跨区域、跨国界乃至全球性的紧急公共卫生事件频发。全球污染排放持续增加，区域生态环境日趋恶化，对国际公共卫生治理和公众健康产生不利影响。此外，对新技术负面影响估计不足、监管不够的问题极为突出，网络安全和技术伦理问题导致社会不确定性显著增加，人工智能、生物技术的广泛应用将导致传统认知伦理受到重大冲击，给社会治理带来新的挑</w:t>
      </w:r>
      <w:r>
        <w:rPr>
          <w:rFonts w:eastAsia="宋体" w:cs="Times New Roman" w:hint="eastAsia"/>
          <w:sz w:val="24"/>
          <w:szCs w:val="24"/>
        </w:rPr>
        <w:lastRenderedPageBreak/>
        <w:t>战。</w:t>
      </w:r>
    </w:p>
    <w:p w14:paraId="0873CD43" w14:textId="77777777" w:rsidR="006B10D9" w:rsidRDefault="00BE6472">
      <w:pPr>
        <w:pStyle w:val="4"/>
      </w:pPr>
      <w:bookmarkStart w:id="33" w:name="_Toc22072"/>
      <w:r>
        <w:rPr>
          <w:rFonts w:hint="eastAsia"/>
        </w:rPr>
        <w:t>4</w:t>
      </w:r>
      <w:r>
        <w:rPr>
          <w:rFonts w:cs="华文楷体" w:hint="eastAsia"/>
        </w:rPr>
        <w:t>.</w:t>
      </w:r>
      <w:r>
        <w:rPr>
          <w:rFonts w:hint="eastAsia"/>
        </w:rPr>
        <w:t>技术环境</w:t>
      </w:r>
      <w:bookmarkEnd w:id="33"/>
    </w:p>
    <w:p w14:paraId="5D964234"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）技术迭代和创新加速发展</w:t>
      </w:r>
    </w:p>
    <w:p w14:paraId="6876ADF0" w14:textId="77777777" w:rsidR="006B10D9" w:rsidRDefault="00BE6472">
      <w:pPr>
        <w:numPr>
          <w:ilvl w:val="255"/>
          <w:numId w:val="0"/>
        </w:numPr>
        <w:spacing w:line="360" w:lineRule="auto"/>
        <w:ind w:firstLineChars="200" w:firstLine="480"/>
        <w:jc w:val="left"/>
        <w:rPr>
          <w:rFonts w:eastAsia="宋体" w:cs="Times New Roman"/>
          <w:sz w:val="24"/>
          <w:szCs w:val="24"/>
        </w:rPr>
      </w:pPr>
      <w:r>
        <w:rPr>
          <w:rFonts w:eastAsia="宋体" w:cs="Times New Roman" w:hint="eastAsia"/>
          <w:sz w:val="24"/>
          <w:szCs w:val="24"/>
        </w:rPr>
        <w:t>当前，一系列重大技术突破不断涌现，除了信息通信技术发展带来的数字技术创新之外，以基因、仿生、生物医药等为代表的新生物技术，石墨烯、生物材料等新材料技术，以及光伏、氢能、核聚变等新能源技术正在加速取得突破。值得注意的是，数字时代的技术进步呈现出指数级发展的加速状态，以数字技术为主导的新兴技术群落正在全球前沿技术体系中占据主导地位。一些基于数字技术衍生的新技术，如</w:t>
      </w:r>
      <w:r>
        <w:rPr>
          <w:rFonts w:eastAsia="宋体" w:cs="Times New Roman" w:hint="eastAsia"/>
          <w:sz w:val="24"/>
          <w:szCs w:val="24"/>
        </w:rPr>
        <w:t>3D</w:t>
      </w:r>
      <w:r>
        <w:rPr>
          <w:rFonts w:eastAsia="宋体" w:cs="Times New Roman" w:hint="eastAsia"/>
          <w:sz w:val="24"/>
          <w:szCs w:val="24"/>
        </w:rPr>
        <w:t>打印、</w:t>
      </w:r>
      <w:r>
        <w:rPr>
          <w:rFonts w:eastAsia="宋体" w:cs="Times New Roman" w:hint="eastAsia"/>
          <w:sz w:val="24"/>
          <w:szCs w:val="24"/>
        </w:rPr>
        <w:t>VR</w:t>
      </w:r>
      <w:r>
        <w:rPr>
          <w:rFonts w:eastAsia="宋体" w:cs="Times New Roman" w:hint="eastAsia"/>
          <w:sz w:val="24"/>
          <w:szCs w:val="24"/>
        </w:rPr>
        <w:t>等，也拥有良好发展前景，并展现出对社会生产生活方式变革性冲击的端倪。</w:t>
      </w:r>
    </w:p>
    <w:p w14:paraId="2BFBC35B"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）技术交叉融合催生新的技术突破</w:t>
      </w:r>
    </w:p>
    <w:p w14:paraId="7482348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数字技术具有广泛渗透和快速应用的特点，数字技术与其他领域技术的融合创新正在催生新的技术突破。例如，脑科学与数理、信息等学科领域的结合，正在催生脑</w:t>
      </w:r>
      <w:r>
        <w:rPr>
          <w:rFonts w:eastAsia="宋体" w:cs="Times New Roman" w:hint="eastAsia"/>
          <w:sz w:val="24"/>
          <w:szCs w:val="24"/>
        </w:rPr>
        <w:t>-</w:t>
      </w:r>
      <w:r>
        <w:rPr>
          <w:rFonts w:eastAsia="宋体" w:cs="Times New Roman" w:hint="eastAsia"/>
          <w:sz w:val="24"/>
          <w:szCs w:val="24"/>
        </w:rPr>
        <w:t>机交互技术，极大地带动人工智能、复杂网络技术的发展。数字技术与制造、能源、交通、农业等各行业技术的结合，带动了智能制造、智能电网、智慧城市、智能交通、智能农业的迅速发展，深刻改变人们的生产生活方式。</w:t>
      </w:r>
    </w:p>
    <w:p w14:paraId="4225066A"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）数字化转型带动全球生产方式改变</w:t>
      </w:r>
    </w:p>
    <w:p w14:paraId="2173EA5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以数字技术为主导的技术革命正在驱动生产方式的深刻变革，其对生产方式和产业体系产生的革命性影响已经开始显现。随着数据成为关键生产要素，互联网、物联网等数据网络成为要素“连接”的桥梁，人工智能（机器人）则快速替代劳动甚至成为新的生产要素。数字化转型改变了企业生产经营和资源配置的方式和投向，进而改变了世界范围内的生产和投资布局，包括研发、制造在内的产业组织以及分工、投资、贸易等均将围绕新的技术体系和生产要素进行重构。</w:t>
      </w:r>
    </w:p>
    <w:p w14:paraId="76F22A00" w14:textId="77777777" w:rsidR="006B10D9" w:rsidRDefault="00BE6472">
      <w:pPr>
        <w:pStyle w:val="3"/>
        <w:spacing w:before="120" w:after="240"/>
      </w:pPr>
      <w:bookmarkStart w:id="34" w:name="_Toc31781"/>
      <w:bookmarkStart w:id="35" w:name="_Toc93922382"/>
      <w:r>
        <w:rPr>
          <w:rFonts w:hint="eastAsia"/>
        </w:rPr>
        <w:t>（二）中国企业“走出去”面临的新形势</w:t>
      </w:r>
      <w:bookmarkEnd w:id="34"/>
      <w:bookmarkEnd w:id="35"/>
    </w:p>
    <w:p w14:paraId="434241C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新冠疫情的长期存在，势必将加快国际格局调整步伐，中国企业“走出去”的比较优势也将加速转换。总体而言，中国对外投资仍处于全球化发展路径的中级阶段，应牢牢抓住对外投资的战略机遇期，同时积极应对疫情带来的不稳定和不确定性。</w:t>
      </w:r>
    </w:p>
    <w:p w14:paraId="5FE15769" w14:textId="77777777" w:rsidR="006B10D9" w:rsidRDefault="00BE6472">
      <w:pPr>
        <w:pStyle w:val="4"/>
      </w:pPr>
      <w:bookmarkStart w:id="36" w:name="_Toc8657"/>
      <w:r>
        <w:rPr>
          <w:rFonts w:hint="eastAsia"/>
        </w:rPr>
        <w:t>1</w:t>
      </w:r>
      <w:r>
        <w:rPr>
          <w:rFonts w:cs="华文楷体" w:hint="eastAsia"/>
        </w:rPr>
        <w:t>.</w:t>
      </w:r>
      <w:r>
        <w:rPr>
          <w:rFonts w:hint="eastAsia"/>
        </w:rPr>
        <w:t>优势（Strength）</w:t>
      </w:r>
      <w:bookmarkEnd w:id="36"/>
    </w:p>
    <w:p w14:paraId="62E3503A" w14:textId="77777777" w:rsidR="006B10D9" w:rsidRDefault="00BE6472">
      <w:pPr>
        <w:keepNext/>
        <w:keepLines/>
        <w:numPr>
          <w:ilvl w:val="255"/>
          <w:numId w:val="0"/>
        </w:numPr>
        <w:spacing w:line="360" w:lineRule="auto"/>
        <w:ind w:firstLineChars="200"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1</w:t>
      </w:r>
      <w:r>
        <w:rPr>
          <w:rFonts w:eastAsia="宋体" w:cs="Times New Roman" w:hint="eastAsia"/>
          <w:sz w:val="24"/>
          <w:szCs w:val="24"/>
        </w:rPr>
        <w:t>）国家层面保障有力</w:t>
      </w:r>
    </w:p>
    <w:p w14:paraId="4589AF4A" w14:textId="77777777" w:rsidR="006B10D9" w:rsidRDefault="00BE6472">
      <w:pPr>
        <w:numPr>
          <w:ilvl w:val="255"/>
          <w:numId w:val="0"/>
        </w:numPr>
        <w:spacing w:line="360" w:lineRule="auto"/>
        <w:ind w:firstLine="600"/>
        <w:jc w:val="left"/>
        <w:rPr>
          <w:rFonts w:eastAsia="宋体" w:cs="Times New Roman"/>
          <w:sz w:val="24"/>
          <w:szCs w:val="24"/>
        </w:rPr>
      </w:pPr>
      <w:r>
        <w:rPr>
          <w:rFonts w:eastAsia="宋体" w:cs="Times New Roman" w:hint="eastAsia"/>
          <w:sz w:val="24"/>
          <w:szCs w:val="24"/>
        </w:rPr>
        <w:t>作为我国构建更高水平开放型经济体制的重要组成部分，对外直接投资的管理体制、政策体系、安全保障体系正在加快完善。</w:t>
      </w:r>
      <w:r>
        <w:rPr>
          <w:rFonts w:eastAsia="宋体" w:cs="Times New Roman" w:hint="eastAsia"/>
          <w:b/>
          <w:bCs/>
          <w:sz w:val="24"/>
          <w:szCs w:val="24"/>
        </w:rPr>
        <w:t>一是加快境外投资管理制度改革</w:t>
      </w:r>
      <w:r>
        <w:rPr>
          <w:rFonts w:eastAsia="宋体" w:cs="Times New Roman" w:hint="eastAsia"/>
          <w:sz w:val="24"/>
          <w:szCs w:val="24"/>
        </w:rPr>
        <w:t>，大幅提升企业对外便利化水平。同时利用金融财税支持政策，缓解对外投资企业资金短缺问题，如对境外投资企业实施增值税免税、出口退税等优惠政策，不断完善境外所得税抵免政策。</w:t>
      </w:r>
      <w:r>
        <w:rPr>
          <w:rFonts w:eastAsia="宋体" w:cs="Times New Roman" w:hint="eastAsia"/>
          <w:b/>
          <w:bCs/>
          <w:sz w:val="24"/>
          <w:szCs w:val="24"/>
        </w:rPr>
        <w:t>二是加强对企业海外投资行为的监管</w:t>
      </w:r>
      <w:r>
        <w:rPr>
          <w:rFonts w:eastAsia="宋体" w:cs="Times New Roman" w:hint="eastAsia"/>
          <w:sz w:val="24"/>
          <w:szCs w:val="24"/>
        </w:rPr>
        <w:t>，促进对外投资理性发展。如根据企业性质规范央企海外经营行为，加强对境外投资的事前、事中、事后管理；对民营企业强调要完善经营管理体系、依法合规诚信经营、加强境外风险防控等。</w:t>
      </w:r>
    </w:p>
    <w:p w14:paraId="4E168B24"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）企业层面策略得当</w:t>
      </w:r>
    </w:p>
    <w:p w14:paraId="51E4B51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近年来，我国“走出去”企业采取多种策略，增强海外风险防控能力，实现优势结合共同发展。</w:t>
      </w:r>
      <w:r>
        <w:rPr>
          <w:rFonts w:eastAsia="宋体" w:cs="Times New Roman" w:hint="eastAsia"/>
          <w:b/>
          <w:bCs/>
          <w:sz w:val="24"/>
          <w:szCs w:val="24"/>
        </w:rPr>
        <w:t>一是抱团出海。</w:t>
      </w:r>
      <w:r>
        <w:rPr>
          <w:rFonts w:eastAsia="宋体" w:cs="Times New Roman" w:hint="eastAsia"/>
          <w:sz w:val="24"/>
          <w:szCs w:val="24"/>
        </w:rPr>
        <w:t>为分散海外投资风险，中国企业通过组建产业联盟实现资源共享、相互支撑。同时，通过建立境外经济贸易合作区，在中国政府和东道国政府的支持下，主导企业以自建、与中国企业或东道国企业共同投资等方式推进，进而吸引中国企业抱团入驻，产生集聚效应和产业辐射作用。</w:t>
      </w:r>
      <w:r>
        <w:rPr>
          <w:rFonts w:eastAsia="宋体" w:cs="Times New Roman" w:hint="eastAsia"/>
          <w:b/>
          <w:bCs/>
          <w:sz w:val="24"/>
          <w:szCs w:val="24"/>
        </w:rPr>
        <w:t>二是第三方市场合作。</w:t>
      </w:r>
      <w:r>
        <w:rPr>
          <w:rFonts w:eastAsia="宋体" w:cs="Times New Roman" w:hint="eastAsia"/>
          <w:sz w:val="24"/>
          <w:szCs w:val="24"/>
        </w:rPr>
        <w:t>即与发达国家一同开发第三方发展中国家市场，这样既能够使我国企业与发达国家企业进行优势结合，更为关键地是依靠发达国家企业在第三方市场国家积累的历史文化经验，来弥补中国企业作为后来者进入的市场劣势。</w:t>
      </w:r>
      <w:r>
        <w:rPr>
          <w:rFonts w:eastAsia="宋体" w:cs="Times New Roman" w:hint="eastAsia"/>
          <w:b/>
          <w:bCs/>
          <w:sz w:val="24"/>
          <w:szCs w:val="24"/>
        </w:rPr>
        <w:t>三是增强企业软实力。</w:t>
      </w:r>
      <w:r>
        <w:rPr>
          <w:rFonts w:eastAsia="宋体" w:cs="Times New Roman" w:hint="eastAsia"/>
          <w:sz w:val="24"/>
          <w:szCs w:val="24"/>
        </w:rPr>
        <w:t>中国企业“走出去”除了具有资金、运营等基础性支撑外，品牌和企业形象建设对于开拓海外市场的重要性不言而喻。通过开展跨国合作、品牌策划、企业并购等方式，中国企业正在形成本土品牌与国际品牌同步发展的多品牌战略，提升企业整体形象和国际竞争力。</w:t>
      </w:r>
    </w:p>
    <w:p w14:paraId="4E03814E" w14:textId="77777777" w:rsidR="006B10D9" w:rsidRDefault="00BE6472">
      <w:pPr>
        <w:pStyle w:val="4"/>
      </w:pPr>
      <w:bookmarkStart w:id="37" w:name="_Toc1571"/>
      <w:r>
        <w:rPr>
          <w:rFonts w:hint="eastAsia"/>
        </w:rPr>
        <w:t>2</w:t>
      </w:r>
      <w:r>
        <w:rPr>
          <w:rFonts w:cs="华文楷体" w:hint="eastAsia"/>
        </w:rPr>
        <w:t>.</w:t>
      </w:r>
      <w:r>
        <w:rPr>
          <w:rFonts w:hint="eastAsia"/>
        </w:rPr>
        <w:t>劣势（Weakness）</w:t>
      </w:r>
      <w:bookmarkEnd w:id="37"/>
    </w:p>
    <w:p w14:paraId="77845A49"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）政策环境有待完善</w:t>
      </w:r>
    </w:p>
    <w:p w14:paraId="2B889144"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中国至今仍未建立国家层面的对外投资法，无法明确规定投资主体行为、权利和义务，也就难以有效规范海外投资秩序。在管理体制上，对外直接投资由商务部牵头，十余个职能部门共同负责。这些部门在其权责范围内出台相应管理文件进行监管，导致政出多门、多头管理的问题长期难以解决。</w:t>
      </w:r>
    </w:p>
    <w:p w14:paraId="3139A32A"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2</w:t>
      </w:r>
      <w:r>
        <w:rPr>
          <w:rFonts w:eastAsia="宋体" w:cs="Times New Roman" w:hint="eastAsia"/>
          <w:sz w:val="24"/>
          <w:szCs w:val="24"/>
        </w:rPr>
        <w:t>）投资服务有待加强</w:t>
      </w:r>
    </w:p>
    <w:p w14:paraId="0B35445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长期以来，政府对企业对外投资一直是重管理、轻服务；重审批、轻实施，特别是在金融服务、信息服务、预警服务等方面存在薄弱环节。一方面，金融服务体系在境外布点不足，尤其是在“一带一路”国家，难以满足境外投资企业的资金需求。政策性金融机构对企业境外投资的支持不仅门槛高，而且审批时间长、流程繁琐，难以适应快节奏的商业投资变化。另一方面，为对外投资企业服务的信息平台等较为匮乏。企业获取海外投资信息的一个重要渠道就是来自于我商务主管部门、行业协会、商会等平台，但这些机构提供的对外投资信息明显不足、信息发布力度和频次不高。对于一些投资环境信息、风险预警等企业迫切想获得的东道国信息，更是更新频率低、缺少实操性。</w:t>
      </w:r>
    </w:p>
    <w:p w14:paraId="158BC5C1"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）企业自身国际化水平较低</w:t>
      </w:r>
    </w:p>
    <w:p w14:paraId="2E2E322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近年来，虽然中国企业的国际化水平不断提高，但与跨国公司相比，在海外平均资产水平以及市场占有率等方面仍存在较大差距。根据《</w:t>
      </w:r>
      <w:r>
        <w:rPr>
          <w:rFonts w:eastAsia="宋体" w:cs="Times New Roman" w:hint="eastAsia"/>
          <w:sz w:val="24"/>
          <w:szCs w:val="24"/>
        </w:rPr>
        <w:t>2017</w:t>
      </w:r>
      <w:r>
        <w:rPr>
          <w:rFonts w:eastAsia="宋体" w:cs="Times New Roman" w:hint="eastAsia"/>
          <w:sz w:val="24"/>
          <w:szCs w:val="24"/>
        </w:rPr>
        <w:t>年中国对外投资合作发展报告》显示，世界</w:t>
      </w:r>
      <w:r>
        <w:rPr>
          <w:rFonts w:eastAsia="宋体" w:cs="Times New Roman" w:hint="eastAsia"/>
          <w:sz w:val="24"/>
          <w:szCs w:val="24"/>
        </w:rPr>
        <w:t>100</w:t>
      </w:r>
      <w:r>
        <w:rPr>
          <w:rFonts w:eastAsia="宋体" w:cs="Times New Roman" w:hint="eastAsia"/>
          <w:sz w:val="24"/>
          <w:szCs w:val="24"/>
        </w:rPr>
        <w:t>强跨国公司平均跨国指数为</w:t>
      </w:r>
      <w:r>
        <w:rPr>
          <w:rFonts w:eastAsia="宋体" w:cs="Times New Roman" w:hint="eastAsia"/>
          <w:sz w:val="24"/>
          <w:szCs w:val="24"/>
        </w:rPr>
        <w:t>66.1%</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
      </w:r>
      <w:r>
        <w:rPr>
          <w:rFonts w:eastAsia="宋体" w:cs="Times New Roman" w:hint="eastAsia"/>
          <w:sz w:val="24"/>
          <w:szCs w:val="24"/>
          <w:vertAlign w:val="superscript"/>
        </w:rPr>
        <w:t>]</w:t>
      </w:r>
      <w:r>
        <w:rPr>
          <w:rFonts w:eastAsia="宋体" w:cs="Times New Roman" w:hint="eastAsia"/>
          <w:sz w:val="24"/>
          <w:szCs w:val="24"/>
        </w:rPr>
        <w:t>，而中国仅有中海油和中远集团两家公司入围，跨国指数平均值仅为</w:t>
      </w:r>
      <w:r>
        <w:rPr>
          <w:rFonts w:eastAsia="宋体" w:cs="Times New Roman" w:hint="eastAsia"/>
          <w:sz w:val="24"/>
          <w:szCs w:val="24"/>
        </w:rPr>
        <w:t>36.8%</w:t>
      </w:r>
      <w:r>
        <w:rPr>
          <w:rFonts w:eastAsia="宋体" w:cs="Times New Roman" w:hint="eastAsia"/>
          <w:sz w:val="24"/>
          <w:szCs w:val="24"/>
        </w:rPr>
        <w:t>。国际化水平较低导致企业在对外投资时缺少长远规划、投资准备不足，非理性投资行为较为突出。一些企业在不具备跨国经营的资金、运营、人才能力的情况下，贸然出海、盲目跟风，既不了解东道国的法律体系、商业规则和行业标准，也不具备在资产、人力、文化、品牌等方面的资源整合能力，特别是缺少国际化复合型投资和管理人才，使得相当比重的境外投资企业铩羽而归、损失惨重。</w:t>
      </w:r>
    </w:p>
    <w:p w14:paraId="3D473FD0" w14:textId="77777777" w:rsidR="006B10D9" w:rsidRDefault="00BE6472">
      <w:pPr>
        <w:pStyle w:val="4"/>
      </w:pPr>
      <w:bookmarkStart w:id="38" w:name="_Toc17945"/>
      <w:r>
        <w:rPr>
          <w:rFonts w:hint="eastAsia"/>
        </w:rPr>
        <w:t>3</w:t>
      </w:r>
      <w:r>
        <w:rPr>
          <w:rFonts w:cs="华文楷体" w:hint="eastAsia"/>
        </w:rPr>
        <w:t>.</w:t>
      </w:r>
      <w:r>
        <w:rPr>
          <w:rFonts w:hint="eastAsia"/>
        </w:rPr>
        <w:t>机遇（Opportunity）</w:t>
      </w:r>
      <w:bookmarkEnd w:id="38"/>
    </w:p>
    <w:p w14:paraId="7167DE22"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）加速全球产业链格局调整</w:t>
      </w:r>
    </w:p>
    <w:p w14:paraId="38C1BACF"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导致全球产业链供应链格局加速调整，这为打造以我为主的区域产业链、提升区域内投资水平提供了基础。疫情的出现，使得各国更加关注关键原材料、零部件、中间品，特别是战略性产业和医疗产业的自主性和可控性，基于这些产业的全球供应链在很大程度上将呈现纵向收缩、横向集聚的局面。在双循环格局下，我国将更加注重激发国内市场潜力，带动制造、品牌、质量管理等一系列标准和服务输出，加快构</w:t>
      </w:r>
      <w:r>
        <w:rPr>
          <w:rFonts w:eastAsia="宋体" w:cs="Times New Roman" w:hint="eastAsia"/>
          <w:sz w:val="24"/>
          <w:szCs w:val="24"/>
        </w:rPr>
        <w:lastRenderedPageBreak/>
        <w:t>建以我为主的区域价值链体系。</w:t>
      </w:r>
    </w:p>
    <w:p w14:paraId="7B2865CC"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）增加海外投资拓展机会</w:t>
      </w:r>
    </w:p>
    <w:p w14:paraId="57D631B4"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疫情虽然对各国短期经济冲击巨大，但根据</w:t>
      </w:r>
      <w:r>
        <w:rPr>
          <w:rFonts w:eastAsia="宋体" w:cs="Times New Roman" w:hint="eastAsia"/>
          <w:sz w:val="24"/>
          <w:szCs w:val="24"/>
        </w:rPr>
        <w:t>IMF</w:t>
      </w:r>
      <w:r>
        <w:rPr>
          <w:rFonts w:eastAsia="宋体" w:cs="Times New Roman" w:hint="eastAsia"/>
          <w:sz w:val="24"/>
          <w:szCs w:val="24"/>
        </w:rPr>
        <w:t>的预测，全球经济将在</w:t>
      </w:r>
      <w:r>
        <w:rPr>
          <w:rFonts w:eastAsia="宋体" w:cs="Times New Roman" w:hint="eastAsia"/>
          <w:sz w:val="24"/>
          <w:szCs w:val="24"/>
        </w:rPr>
        <w:t>2021</w:t>
      </w:r>
      <w:r>
        <w:rPr>
          <w:rFonts w:eastAsia="宋体" w:cs="Times New Roman" w:hint="eastAsia"/>
          <w:sz w:val="24"/>
          <w:szCs w:val="24"/>
        </w:rPr>
        <w:t>年后触底反弹。在此背景下，尽管多国对外资并购提高门槛并加强审查，但一些有望收购的目标公司在疫情后有所增加，为中国企业海外并购带来了新机遇。此外，受疫情影响，一些发展中国家维持经济稳定增长的难度加大，要求实现经济多元化的诉求更为强烈，部分国家或将推动电力、石油、航空、电信等行业私有化，增加这些行业的海外并购机会。这对于在上述行业具备较强海外拓展实力的中国企业而言意味着新的投资机遇。</w:t>
      </w:r>
    </w:p>
    <w:p w14:paraId="4F3DA420"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）凸显新兴领域合作契机</w:t>
      </w:r>
    </w:p>
    <w:p w14:paraId="0ACE4262"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虽然重创了传统业态，但也使包括大数据、电子商务、人工智能、移动互联网、云计算、物联网、区块链等数字技术和信息技术在短时间内得以大范围应用和普及，并在疫情防控中发挥了重要作用。预计随着疫情的长期存在，包括发达国家在内的各国将对信息基础设施、网络技术等提出更高诉求，而实际上大部分国家并不具备通信网络建设、管理和运营能力，而中国企业在上述领域早已积累了充足的设计、施工、运维经验。如果能够抓住后疫情时代电信网络基础设施的建设高潮，势必将为相关企业扬帆海外创造更为有利的条件。此外，随着我国双碳战略的实施，以及环保议程与疫情后经济复苏的结合，绿色经济在全球的复兴将为中国可再生能源、电力电网、电动车企业等对外投资带来新的机遇。</w:t>
      </w:r>
    </w:p>
    <w:p w14:paraId="25D56C84" w14:textId="77777777" w:rsidR="006B10D9" w:rsidRDefault="00BE6472">
      <w:pPr>
        <w:pStyle w:val="4"/>
      </w:pPr>
      <w:bookmarkStart w:id="39" w:name="_Toc14499"/>
      <w:r>
        <w:rPr>
          <w:rFonts w:hint="eastAsia"/>
        </w:rPr>
        <w:t>4</w:t>
      </w:r>
      <w:r>
        <w:rPr>
          <w:rFonts w:cs="华文楷体" w:hint="eastAsia"/>
        </w:rPr>
        <w:t>.</w:t>
      </w:r>
      <w:r>
        <w:rPr>
          <w:rFonts w:hint="eastAsia"/>
        </w:rPr>
        <w:t>挑战（Challenge）</w:t>
      </w:r>
      <w:bookmarkEnd w:id="39"/>
    </w:p>
    <w:p w14:paraId="07B0BF4D"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）对外投资空间受限</w:t>
      </w:r>
    </w:p>
    <w:p w14:paraId="22A79B0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受疫情影响，各国复苏前景仍充满不确定和不均衡性。全球规模最大的</w:t>
      </w:r>
      <w:r>
        <w:rPr>
          <w:rFonts w:eastAsia="宋体" w:cs="Times New Roman" w:hint="eastAsia"/>
          <w:sz w:val="24"/>
          <w:szCs w:val="24"/>
        </w:rPr>
        <w:t>100</w:t>
      </w:r>
      <w:r>
        <w:rPr>
          <w:rFonts w:eastAsia="宋体" w:cs="Times New Roman" w:hint="eastAsia"/>
          <w:sz w:val="24"/>
          <w:szCs w:val="24"/>
        </w:rPr>
        <w:t>家跨国企业中，有超过三分之二发布了疫情可能对其业务产生冲击的声明，新兴经济体跨国企业预期利润下降</w:t>
      </w:r>
      <w:r>
        <w:rPr>
          <w:rFonts w:eastAsia="宋体" w:cs="Times New Roman" w:hint="eastAsia"/>
          <w:sz w:val="24"/>
          <w:szCs w:val="24"/>
        </w:rPr>
        <w:t>16%</w:t>
      </w:r>
      <w:r>
        <w:rPr>
          <w:rFonts w:eastAsia="宋体" w:cs="Times New Roman" w:hint="eastAsia"/>
          <w:sz w:val="24"/>
          <w:szCs w:val="24"/>
        </w:rPr>
        <w:t>。而根据中国贸促会在疫情期间的调查显示，有超七成受访企业</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
      </w:r>
      <w:r>
        <w:rPr>
          <w:rFonts w:eastAsia="宋体" w:cs="Times New Roman" w:hint="eastAsia"/>
          <w:sz w:val="24"/>
          <w:szCs w:val="24"/>
          <w:vertAlign w:val="superscript"/>
        </w:rPr>
        <w:t>]</w:t>
      </w:r>
      <w:r>
        <w:rPr>
          <w:rFonts w:eastAsia="宋体" w:cs="Times New Roman" w:hint="eastAsia"/>
          <w:sz w:val="24"/>
          <w:szCs w:val="24"/>
        </w:rPr>
        <w:t>称疫情对企业（准备）开展对外直接投资产生较大影响，</w:t>
      </w:r>
      <w:r>
        <w:rPr>
          <w:rFonts w:eastAsia="宋体" w:cs="Times New Roman" w:hint="eastAsia"/>
          <w:sz w:val="24"/>
          <w:szCs w:val="24"/>
        </w:rPr>
        <w:t>61.4%</w:t>
      </w:r>
      <w:r>
        <w:rPr>
          <w:rFonts w:eastAsia="宋体" w:cs="Times New Roman" w:hint="eastAsia"/>
          <w:sz w:val="24"/>
          <w:szCs w:val="24"/>
        </w:rPr>
        <w:t>的受访企业认为疫情将导致其减少对外投资。此外，疫情还对我国船舶、铁路、航空航天等设备运输企业、信息传输、软件、信息服务业企业的对外投资产生负面影响。</w:t>
      </w:r>
    </w:p>
    <w:p w14:paraId="12F436C4"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2</w:t>
      </w:r>
      <w:r>
        <w:rPr>
          <w:rFonts w:eastAsia="宋体" w:cs="Times New Roman" w:hint="eastAsia"/>
          <w:sz w:val="24"/>
          <w:szCs w:val="24"/>
        </w:rPr>
        <w:t>）发达国家战略压制</w:t>
      </w:r>
    </w:p>
    <w:p w14:paraId="3DE5A60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疫情期间，欧美主要发达国家纷纷加强对外资并购的安全审查，通过扩大审查范围、降低审查门槛、重构审查方案等，进一步收紧外资政策。此外，发达国家在针对中国资本并购问题上已经形成了联动态势，并毫不掩饰其对中国企业的打压和敌对。如美国出台《安全和可信网络通信法案》，通过明确“实体清单”，对来自中国已完成的收购交易重启审查程序；欧盟委员会发布《外商直接投资审查指南》，表示要通过强有力的外资审查机制，避免因疫情中部分估值下降的敏感资产被“有问题的”外国投资者廉价收购，德法英等国也迅速对此做出响应，进一步收紧本国外资审查政策。此外，加拿大、澳大利亚、日本、巴西等国也纷纷效仿，迫使中国企业重新考虑海外投资计划及目的地。</w:t>
      </w:r>
    </w:p>
    <w:p w14:paraId="2E1FA740"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）舆论环境有所恶化</w:t>
      </w:r>
    </w:p>
    <w:p w14:paraId="0F5FFF05" w14:textId="77777777" w:rsidR="006B10D9" w:rsidRDefault="00BE6472">
      <w:pPr>
        <w:spacing w:line="360" w:lineRule="auto"/>
        <w:ind w:firstLine="480"/>
        <w:rPr>
          <w:rFonts w:eastAsia="宋体" w:cs="Times New Roman"/>
          <w:bCs/>
          <w:sz w:val="28"/>
        </w:rPr>
      </w:pPr>
      <w:r>
        <w:rPr>
          <w:rFonts w:eastAsia="宋体" w:cs="Times New Roman" w:hint="eastAsia"/>
          <w:sz w:val="24"/>
          <w:szCs w:val="24"/>
        </w:rPr>
        <w:t>当前，在新冠肺炎全球持续蔓延乃至局部恶化的形势下，针对疫情溯源、疫苗分配等方面的舆论战也是愈演愈烈。少数西方国家极力造谣生事，对中国进行污名化和妖魔化，并借机挑拨各国对我国的怨愤，甚至要求我国承担疫情蔓延的所谓“责任”。即使在主流舆论和国际组织将病毒溯源作为严肃认真的科学问题进行研究时，一些西方媒体仍竭尽所能，质疑和污蔑我防控疫情能力及数据的真实性，认为我对外援助疫苗具有地缘政治目的。一些国家和民众受此宣传影响，再加上疫情对当地经济、社会和就业的冲击，对我在境外投资项目产生怨气甚至滋长排华情绪。长此以往，势必会对我“走出去”整体形象产生不利影响，我国企业境外投资将面临更为恶劣的东道国舆情和民意环境。</w:t>
      </w:r>
    </w:p>
    <w:p w14:paraId="70C72234" w14:textId="77777777" w:rsidR="006B10D9" w:rsidRDefault="00BE6472">
      <w:pPr>
        <w:pStyle w:val="3"/>
        <w:spacing w:before="120" w:after="240"/>
      </w:pPr>
      <w:bookmarkStart w:id="40" w:name="_Toc7734"/>
      <w:bookmarkStart w:id="41" w:name="_Toc93922383"/>
      <w:r>
        <w:rPr>
          <w:rFonts w:hint="eastAsia"/>
        </w:rPr>
        <w:t>（三）中国企业“走出去”风险策略模式选择</w:t>
      </w:r>
      <w:bookmarkEnd w:id="40"/>
      <w:bookmarkEnd w:id="41"/>
    </w:p>
    <w:p w14:paraId="2278185B" w14:textId="77777777" w:rsidR="006B10D9" w:rsidRDefault="00BE6472">
      <w:pPr>
        <w:spacing w:line="360" w:lineRule="auto"/>
        <w:ind w:firstLine="480"/>
        <w:rPr>
          <w:rFonts w:eastAsia="宋体" w:cs="Times New Roman"/>
          <w:bCs/>
          <w:sz w:val="24"/>
          <w:szCs w:val="24"/>
        </w:rPr>
      </w:pPr>
      <w:r>
        <w:rPr>
          <w:rFonts w:eastAsia="宋体" w:cs="Times New Roman" w:hint="eastAsia"/>
          <w:sz w:val="24"/>
          <w:szCs w:val="24"/>
        </w:rPr>
        <w:t>通过对中国企业“走出去”过程中政治、经济、社会、技术四个方面的内在优势、劣势和外部机遇、挑战的分析，提出我国企业对外直接投资的风险策略模式和投资模式选择。</w:t>
      </w:r>
    </w:p>
    <w:p w14:paraId="744B3173" w14:textId="77777777" w:rsidR="006B10D9" w:rsidRDefault="00BE6472">
      <w:pPr>
        <w:pStyle w:val="4"/>
      </w:pPr>
      <w:bookmarkStart w:id="42" w:name="_Toc30873"/>
      <w:r>
        <w:rPr>
          <w:rFonts w:hint="eastAsia"/>
        </w:rPr>
        <w:t>1</w:t>
      </w:r>
      <w:r>
        <w:rPr>
          <w:rFonts w:cs="华文楷体" w:hint="eastAsia"/>
        </w:rPr>
        <w:t>.</w:t>
      </w:r>
      <w:r>
        <w:rPr>
          <w:rFonts w:hint="eastAsia"/>
        </w:rPr>
        <w:t>SWOT-PEST分析矩阵</w:t>
      </w:r>
      <w:bookmarkEnd w:id="42"/>
    </w:p>
    <w:p w14:paraId="03B4F32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我国企业在“走出去”过程中，既拥有政治和经济环境上的有利条件，但也面临着社会和技术领域的机遇和挑战。具体分析详见表</w:t>
      </w:r>
      <w:r>
        <w:rPr>
          <w:rFonts w:eastAsia="宋体" w:cs="Times New Roman" w:hint="eastAsia"/>
          <w:sz w:val="24"/>
          <w:szCs w:val="24"/>
        </w:rPr>
        <w:t>2</w:t>
      </w:r>
      <w:r>
        <w:rPr>
          <w:rFonts w:eastAsia="宋体" w:cs="Times New Roman" w:hint="eastAsia"/>
          <w:sz w:val="24"/>
          <w:szCs w:val="24"/>
        </w:rPr>
        <w:t>。</w:t>
      </w:r>
    </w:p>
    <w:p w14:paraId="4FE1DC7D" w14:textId="77777777" w:rsidR="006B10D9" w:rsidRDefault="00BE6472">
      <w:pPr>
        <w:spacing w:line="360" w:lineRule="auto"/>
        <w:ind w:firstLine="480"/>
        <w:jc w:val="center"/>
        <w:rPr>
          <w:rFonts w:eastAsia="宋体" w:cs="方正黑体简体"/>
          <w:sz w:val="24"/>
          <w:szCs w:val="32"/>
        </w:rPr>
      </w:pPr>
      <w:r>
        <w:rPr>
          <w:rFonts w:eastAsia="宋体" w:cs="方正黑体简体"/>
          <w:sz w:val="24"/>
          <w:szCs w:val="32"/>
        </w:rPr>
        <w:br w:type="page"/>
      </w:r>
    </w:p>
    <w:p w14:paraId="26D48AC4" w14:textId="77777777" w:rsidR="006B10D9" w:rsidRDefault="00BE6472">
      <w:pPr>
        <w:pStyle w:val="affd"/>
      </w:pPr>
      <w:r>
        <w:rPr>
          <w:rFonts w:hint="eastAsia"/>
        </w:rPr>
        <w:lastRenderedPageBreak/>
        <w:t>表</w:t>
      </w:r>
      <w:r>
        <w:rPr>
          <w:rFonts w:hint="eastAsia"/>
        </w:rPr>
        <w:t>2  SWOT-PEST</w:t>
      </w:r>
      <w:r>
        <w:rPr>
          <w:rFonts w:hint="eastAsia"/>
        </w:rPr>
        <w:t>矩阵</w:t>
      </w:r>
      <w:r>
        <w:rPr>
          <w:rFonts w:hint="eastAsia"/>
        </w:rPr>
        <w:t xml:space="preserve"> </w:t>
      </w:r>
    </w:p>
    <w:tbl>
      <w:tblPr>
        <w:tblStyle w:val="42"/>
        <w:tblpPr w:leftFromText="180" w:rightFromText="180" w:vertAnchor="text" w:horzAnchor="margin" w:tblpY="26"/>
        <w:tblOverlap w:val="never"/>
        <w:tblW w:w="0" w:type="auto"/>
        <w:tblLook w:val="04A0" w:firstRow="1" w:lastRow="0" w:firstColumn="1" w:lastColumn="0" w:noHBand="0" w:noVBand="1"/>
      </w:tblPr>
      <w:tblGrid>
        <w:gridCol w:w="973"/>
        <w:gridCol w:w="1776"/>
        <w:gridCol w:w="1880"/>
        <w:gridCol w:w="1960"/>
        <w:gridCol w:w="1929"/>
      </w:tblGrid>
      <w:tr w:rsidR="006B10D9" w14:paraId="5522FB1C" w14:textId="77777777">
        <w:tc>
          <w:tcPr>
            <w:tcW w:w="973"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42DC557F" w14:textId="77777777" w:rsidR="006B10D9" w:rsidRDefault="006B10D9">
            <w:pPr>
              <w:snapToGrid w:val="0"/>
              <w:spacing w:before="100" w:line="312" w:lineRule="auto"/>
              <w:ind w:firstLineChars="0" w:firstLine="0"/>
              <w:jc w:val="center"/>
              <w:rPr>
                <w:rFonts w:eastAsia="宋体" w:cs="方正黑体简体"/>
                <w:color w:val="FFFFFF"/>
                <w:sz w:val="21"/>
                <w:szCs w:val="24"/>
              </w:rPr>
            </w:pPr>
          </w:p>
        </w:tc>
        <w:tc>
          <w:tcPr>
            <w:tcW w:w="1776"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19C8D03E" w14:textId="77777777" w:rsidR="006B10D9" w:rsidRDefault="00BE6472">
            <w:pPr>
              <w:snapToGrid w:val="0"/>
              <w:spacing w:before="100" w:line="312" w:lineRule="auto"/>
              <w:ind w:firstLineChars="0" w:firstLine="0"/>
              <w:jc w:val="center"/>
              <w:rPr>
                <w:rFonts w:eastAsia="宋体" w:cs="方正黑体简体"/>
                <w:color w:val="FFFFFF"/>
                <w:sz w:val="21"/>
                <w:szCs w:val="24"/>
              </w:rPr>
            </w:pPr>
            <w:r>
              <w:rPr>
                <w:rFonts w:eastAsia="宋体" w:cs="方正黑体简体" w:hint="eastAsia"/>
                <w:color w:val="FFFFFF"/>
                <w:sz w:val="21"/>
                <w:szCs w:val="24"/>
              </w:rPr>
              <w:t>政治</w:t>
            </w:r>
            <w:r>
              <w:rPr>
                <w:rFonts w:eastAsia="宋体" w:cs="方正黑体简体" w:hint="eastAsia"/>
                <w:color w:val="FFFFFF"/>
                <w:sz w:val="21"/>
                <w:szCs w:val="24"/>
              </w:rPr>
              <w:t>(P)</w:t>
            </w:r>
          </w:p>
        </w:tc>
        <w:tc>
          <w:tcPr>
            <w:tcW w:w="1880"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47E98B9A" w14:textId="77777777" w:rsidR="006B10D9" w:rsidRDefault="00BE6472">
            <w:pPr>
              <w:snapToGrid w:val="0"/>
              <w:spacing w:before="100" w:line="312" w:lineRule="auto"/>
              <w:ind w:firstLineChars="0" w:firstLine="0"/>
              <w:jc w:val="center"/>
              <w:rPr>
                <w:rFonts w:eastAsia="宋体" w:cs="方正黑体简体"/>
                <w:color w:val="FFFFFF"/>
                <w:sz w:val="21"/>
                <w:szCs w:val="24"/>
              </w:rPr>
            </w:pPr>
            <w:r>
              <w:rPr>
                <w:rFonts w:eastAsia="宋体" w:cs="方正黑体简体" w:hint="eastAsia"/>
                <w:color w:val="FFFFFF"/>
                <w:sz w:val="21"/>
                <w:szCs w:val="24"/>
              </w:rPr>
              <w:t>经济</w:t>
            </w:r>
            <w:r>
              <w:rPr>
                <w:rFonts w:eastAsia="宋体" w:cs="方正黑体简体" w:hint="eastAsia"/>
                <w:color w:val="FFFFFF"/>
                <w:sz w:val="21"/>
                <w:szCs w:val="24"/>
              </w:rPr>
              <w:t>(E)</w:t>
            </w:r>
          </w:p>
        </w:tc>
        <w:tc>
          <w:tcPr>
            <w:tcW w:w="1960"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659D6BCF" w14:textId="77777777" w:rsidR="006B10D9" w:rsidRDefault="00BE6472">
            <w:pPr>
              <w:snapToGrid w:val="0"/>
              <w:spacing w:before="100" w:line="312" w:lineRule="auto"/>
              <w:ind w:firstLineChars="0" w:firstLine="0"/>
              <w:jc w:val="center"/>
              <w:rPr>
                <w:rFonts w:eastAsia="宋体" w:cs="方正黑体简体"/>
                <w:color w:val="FFFFFF"/>
                <w:sz w:val="21"/>
                <w:szCs w:val="24"/>
              </w:rPr>
            </w:pPr>
            <w:r>
              <w:rPr>
                <w:rFonts w:eastAsia="宋体" w:cs="方正黑体简体" w:hint="eastAsia"/>
                <w:color w:val="FFFFFF"/>
                <w:sz w:val="21"/>
                <w:szCs w:val="24"/>
              </w:rPr>
              <w:t>社会</w:t>
            </w:r>
            <w:r>
              <w:rPr>
                <w:rFonts w:eastAsia="宋体" w:cs="方正黑体简体" w:hint="eastAsia"/>
                <w:color w:val="FFFFFF"/>
                <w:sz w:val="21"/>
                <w:szCs w:val="24"/>
              </w:rPr>
              <w:t>(S)</w:t>
            </w:r>
          </w:p>
        </w:tc>
        <w:tc>
          <w:tcPr>
            <w:tcW w:w="1929"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633DCE5F" w14:textId="77777777" w:rsidR="006B10D9" w:rsidRDefault="00BE6472">
            <w:pPr>
              <w:snapToGrid w:val="0"/>
              <w:spacing w:before="100" w:line="312" w:lineRule="auto"/>
              <w:ind w:firstLineChars="0" w:firstLine="0"/>
              <w:jc w:val="center"/>
              <w:rPr>
                <w:rFonts w:eastAsia="宋体" w:cs="方正黑体简体"/>
                <w:color w:val="FFFFFF"/>
                <w:sz w:val="21"/>
                <w:szCs w:val="24"/>
              </w:rPr>
            </w:pPr>
            <w:r>
              <w:rPr>
                <w:rFonts w:eastAsia="宋体" w:cs="方正黑体简体" w:hint="eastAsia"/>
                <w:color w:val="FFFFFF"/>
                <w:sz w:val="21"/>
                <w:szCs w:val="24"/>
              </w:rPr>
              <w:t>技术</w:t>
            </w:r>
            <w:r>
              <w:rPr>
                <w:rFonts w:eastAsia="宋体" w:cs="方正黑体简体" w:hint="eastAsia"/>
                <w:color w:val="FFFFFF"/>
                <w:sz w:val="21"/>
                <w:szCs w:val="24"/>
              </w:rPr>
              <w:t>(T)</w:t>
            </w:r>
          </w:p>
        </w:tc>
      </w:tr>
      <w:tr w:rsidR="006B10D9" w14:paraId="0445855B" w14:textId="77777777">
        <w:tc>
          <w:tcPr>
            <w:tcW w:w="973"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3A0850E4" w14:textId="77777777" w:rsidR="006B10D9" w:rsidRDefault="00BE6472">
            <w:pPr>
              <w:snapToGrid w:val="0"/>
              <w:spacing w:before="100" w:line="312" w:lineRule="auto"/>
              <w:ind w:firstLineChars="0" w:firstLine="0"/>
              <w:jc w:val="center"/>
              <w:rPr>
                <w:rFonts w:eastAsia="宋体" w:cs="方正黑体简体"/>
                <w:color w:val="000000"/>
                <w:sz w:val="21"/>
                <w:szCs w:val="24"/>
              </w:rPr>
            </w:pPr>
            <w:r>
              <w:rPr>
                <w:rFonts w:eastAsia="宋体" w:cs="方正黑体简体" w:hint="eastAsia"/>
                <w:color w:val="000000"/>
                <w:sz w:val="21"/>
                <w:szCs w:val="24"/>
              </w:rPr>
              <w:t>优势</w:t>
            </w:r>
            <w:r>
              <w:rPr>
                <w:rFonts w:eastAsia="宋体" w:cs="方正黑体简体" w:hint="eastAsia"/>
                <w:color w:val="000000"/>
                <w:sz w:val="21"/>
                <w:szCs w:val="24"/>
              </w:rPr>
              <w:t>(S)</w:t>
            </w:r>
          </w:p>
        </w:tc>
        <w:tc>
          <w:tcPr>
            <w:tcW w:w="1776"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6C140DFF"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国家层面提供政策、资金、监管等有力保障</w:t>
            </w:r>
          </w:p>
        </w:tc>
        <w:tc>
          <w:tcPr>
            <w:tcW w:w="1880"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5869E14D"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中国企业抱团出海，积累丰富海外投资经验</w:t>
            </w:r>
          </w:p>
        </w:tc>
        <w:tc>
          <w:tcPr>
            <w:tcW w:w="1960"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70F535F0"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与东道国建立的长期友好关系和民意基础</w:t>
            </w:r>
          </w:p>
        </w:tc>
        <w:tc>
          <w:tcPr>
            <w:tcW w:w="1929"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0A2338C5"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在对外工程承包、信息通信、数字经济等领域具有国际领先的技术实力</w:t>
            </w:r>
          </w:p>
        </w:tc>
      </w:tr>
      <w:tr w:rsidR="006B10D9" w14:paraId="3DD55A6D" w14:textId="77777777">
        <w:tc>
          <w:tcPr>
            <w:tcW w:w="973"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7A19B8D7" w14:textId="77777777" w:rsidR="006B10D9" w:rsidRDefault="00BE6472">
            <w:pPr>
              <w:snapToGrid w:val="0"/>
              <w:spacing w:before="100" w:line="312" w:lineRule="auto"/>
              <w:ind w:firstLineChars="0" w:firstLine="0"/>
              <w:jc w:val="center"/>
              <w:rPr>
                <w:rFonts w:eastAsia="宋体" w:cs="方正黑体简体"/>
                <w:color w:val="000000"/>
                <w:sz w:val="21"/>
                <w:szCs w:val="24"/>
              </w:rPr>
            </w:pPr>
            <w:r>
              <w:rPr>
                <w:rFonts w:eastAsia="宋体" w:cs="方正黑体简体" w:hint="eastAsia"/>
                <w:color w:val="000000"/>
                <w:sz w:val="21"/>
                <w:szCs w:val="24"/>
              </w:rPr>
              <w:t>劣势</w:t>
            </w:r>
            <w:r>
              <w:rPr>
                <w:rFonts w:eastAsia="宋体" w:cs="方正黑体简体" w:hint="eastAsia"/>
                <w:color w:val="000000"/>
                <w:sz w:val="21"/>
                <w:szCs w:val="24"/>
              </w:rPr>
              <w:t>(W)</w:t>
            </w:r>
          </w:p>
        </w:tc>
        <w:tc>
          <w:tcPr>
            <w:tcW w:w="1776"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47D50691"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缺少国家层面的对外投资立法，对企业的投资服务不足</w:t>
            </w:r>
          </w:p>
        </w:tc>
        <w:tc>
          <w:tcPr>
            <w:tcW w:w="188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5269C942"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中国企业自身国际化水平较低</w:t>
            </w:r>
          </w:p>
        </w:tc>
        <w:tc>
          <w:tcPr>
            <w:tcW w:w="196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3F5AC7FC"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东道国基础设施落后、产业配套资金和能力有限</w:t>
            </w:r>
          </w:p>
        </w:tc>
        <w:tc>
          <w:tcPr>
            <w:tcW w:w="1929"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18B6F4AD"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创新人才和海外投资管理人才短缺</w:t>
            </w:r>
          </w:p>
        </w:tc>
      </w:tr>
      <w:tr w:rsidR="006B10D9" w14:paraId="78A50A36" w14:textId="77777777">
        <w:tc>
          <w:tcPr>
            <w:tcW w:w="973"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CFAEFAC" w14:textId="77777777" w:rsidR="006B10D9" w:rsidRDefault="00BE6472">
            <w:pPr>
              <w:snapToGrid w:val="0"/>
              <w:spacing w:before="100" w:line="312" w:lineRule="auto"/>
              <w:ind w:firstLineChars="0" w:firstLine="0"/>
              <w:jc w:val="center"/>
              <w:rPr>
                <w:rFonts w:eastAsia="宋体" w:cs="方正黑体简体"/>
                <w:color w:val="000000"/>
                <w:sz w:val="21"/>
                <w:szCs w:val="24"/>
              </w:rPr>
            </w:pPr>
            <w:r>
              <w:rPr>
                <w:rFonts w:eastAsia="宋体" w:cs="方正黑体简体" w:hint="eastAsia"/>
                <w:color w:val="000000"/>
                <w:sz w:val="21"/>
                <w:szCs w:val="24"/>
              </w:rPr>
              <w:t>机遇</w:t>
            </w:r>
            <w:r>
              <w:rPr>
                <w:rFonts w:eastAsia="宋体" w:cs="方正黑体简体" w:hint="eastAsia"/>
                <w:color w:val="000000"/>
                <w:sz w:val="21"/>
                <w:szCs w:val="24"/>
              </w:rPr>
              <w:t>(O)</w:t>
            </w:r>
          </w:p>
        </w:tc>
        <w:tc>
          <w:tcPr>
            <w:tcW w:w="1776"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01C97ECB"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政府对企业“走出去”的决策支持，“一带一路”战略的深入实施</w:t>
            </w:r>
          </w:p>
        </w:tc>
        <w:tc>
          <w:tcPr>
            <w:tcW w:w="1880"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2A11D50A"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新冠疫情增加了企业在数字经济、电信、基建等领域的海外投资拓展机会</w:t>
            </w:r>
          </w:p>
        </w:tc>
        <w:tc>
          <w:tcPr>
            <w:tcW w:w="1960"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0926A952"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发展中国家社会和法治环境明显改善，人民生活水平得到提升</w:t>
            </w:r>
          </w:p>
        </w:tc>
        <w:tc>
          <w:tcPr>
            <w:tcW w:w="1929"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2B3A5A40"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数字技术带动新能源、新材料、生物医药等新兴产业快速发展</w:t>
            </w:r>
          </w:p>
        </w:tc>
      </w:tr>
      <w:tr w:rsidR="006B10D9" w14:paraId="2113B0E5" w14:textId="77777777">
        <w:tc>
          <w:tcPr>
            <w:tcW w:w="973"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6E85A5F6" w14:textId="77777777" w:rsidR="006B10D9" w:rsidRDefault="00BE6472">
            <w:pPr>
              <w:snapToGrid w:val="0"/>
              <w:spacing w:before="100" w:line="312" w:lineRule="auto"/>
              <w:ind w:firstLineChars="0" w:firstLine="0"/>
              <w:jc w:val="center"/>
              <w:rPr>
                <w:rFonts w:eastAsia="宋体" w:cs="方正黑体简体"/>
                <w:color w:val="000000"/>
                <w:sz w:val="21"/>
                <w:szCs w:val="24"/>
              </w:rPr>
            </w:pPr>
            <w:r>
              <w:rPr>
                <w:rFonts w:eastAsia="宋体" w:cs="方正黑体简体" w:hint="eastAsia"/>
                <w:color w:val="000000"/>
                <w:sz w:val="21"/>
                <w:szCs w:val="24"/>
              </w:rPr>
              <w:t>威胁</w:t>
            </w:r>
            <w:r>
              <w:rPr>
                <w:rFonts w:eastAsia="宋体" w:cs="方正黑体简体" w:hint="eastAsia"/>
                <w:color w:val="000000"/>
                <w:sz w:val="21"/>
                <w:szCs w:val="24"/>
              </w:rPr>
              <w:t>(T)</w:t>
            </w:r>
          </w:p>
        </w:tc>
        <w:tc>
          <w:tcPr>
            <w:tcW w:w="1776"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183CC163"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反全球化、单边主义、民族主义势力抬头，中美博弈面临变局</w:t>
            </w:r>
          </w:p>
        </w:tc>
        <w:tc>
          <w:tcPr>
            <w:tcW w:w="188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6DD39F8B"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面临发达国家更为严格的投资审查和战略压制</w:t>
            </w:r>
          </w:p>
        </w:tc>
        <w:tc>
          <w:tcPr>
            <w:tcW w:w="196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6A9C9A9E"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面临更为严峻的人口老龄化、气候变化、公共卫生危机等挑战</w:t>
            </w:r>
          </w:p>
        </w:tc>
        <w:tc>
          <w:tcPr>
            <w:tcW w:w="1929"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14E49ACF" w14:textId="77777777" w:rsidR="006B10D9" w:rsidRDefault="00BE6472">
            <w:pPr>
              <w:snapToGrid w:val="0"/>
              <w:spacing w:before="100" w:line="312" w:lineRule="auto"/>
              <w:ind w:firstLineChars="0" w:firstLine="0"/>
              <w:rPr>
                <w:rFonts w:eastAsia="宋体" w:cs="方正黑体简体"/>
                <w:color w:val="000000"/>
                <w:sz w:val="21"/>
                <w:szCs w:val="24"/>
              </w:rPr>
            </w:pPr>
            <w:r>
              <w:rPr>
                <w:rFonts w:eastAsia="宋体" w:cs="方正黑体简体" w:hint="eastAsia"/>
                <w:color w:val="000000"/>
                <w:sz w:val="21"/>
                <w:szCs w:val="24"/>
              </w:rPr>
              <w:t>数字化对生产方式和产业体系的影响尚未完全展现</w:t>
            </w:r>
          </w:p>
        </w:tc>
      </w:tr>
    </w:tbl>
    <w:p w14:paraId="0B7615CA" w14:textId="77777777" w:rsidR="006B10D9" w:rsidRDefault="006B10D9">
      <w:pPr>
        <w:spacing w:line="360" w:lineRule="auto"/>
        <w:ind w:firstLineChars="0" w:firstLine="0"/>
        <w:rPr>
          <w:rFonts w:eastAsia="宋体" w:cs="方正黑体简体"/>
          <w:sz w:val="24"/>
          <w:szCs w:val="32"/>
        </w:rPr>
      </w:pPr>
    </w:p>
    <w:p w14:paraId="4C2E9CA1" w14:textId="77777777" w:rsidR="006B10D9" w:rsidRDefault="00BE6472">
      <w:pPr>
        <w:pStyle w:val="4"/>
      </w:pPr>
      <w:bookmarkStart w:id="43" w:name="_Toc16392"/>
      <w:r>
        <w:rPr>
          <w:rFonts w:hint="eastAsia"/>
        </w:rPr>
        <w:t>2</w:t>
      </w:r>
      <w:r>
        <w:rPr>
          <w:rFonts w:cs="华文楷体" w:hint="eastAsia"/>
        </w:rPr>
        <w:t>.</w:t>
      </w:r>
      <w:r>
        <w:rPr>
          <w:rFonts w:hint="eastAsia"/>
        </w:rPr>
        <w:t>我国企业“走出去”发展策略选择</w:t>
      </w:r>
      <w:bookmarkEnd w:id="43"/>
    </w:p>
    <w:p w14:paraId="333BB9CF" w14:textId="77777777" w:rsidR="006B10D9" w:rsidRDefault="00BE6472">
      <w:pPr>
        <w:keepNext/>
        <w:keepLines/>
        <w:spacing w:line="360" w:lineRule="auto"/>
        <w:ind w:firstLine="480"/>
        <w:outlineLvl w:val="3"/>
        <w:rPr>
          <w:rFonts w:eastAsia="宋体" w:cs="Times New Roman"/>
          <w:bCs/>
          <w:sz w:val="24"/>
          <w:szCs w:val="24"/>
        </w:rPr>
      </w:pPr>
      <w:r>
        <w:rPr>
          <w:rFonts w:eastAsia="宋体" w:cs="Times New Roman" w:hint="eastAsia"/>
          <w:bCs/>
          <w:sz w:val="24"/>
          <w:szCs w:val="24"/>
        </w:rPr>
        <w:t>（</w:t>
      </w:r>
      <w:r>
        <w:rPr>
          <w:rFonts w:eastAsia="宋体" w:cs="Times New Roman" w:hint="eastAsia"/>
          <w:bCs/>
          <w:sz w:val="24"/>
          <w:szCs w:val="24"/>
        </w:rPr>
        <w:t>1</w:t>
      </w:r>
      <w:r>
        <w:rPr>
          <w:rFonts w:eastAsia="宋体" w:cs="Times New Roman" w:hint="eastAsia"/>
          <w:bCs/>
          <w:sz w:val="24"/>
          <w:szCs w:val="24"/>
        </w:rPr>
        <w:t>）</w:t>
      </w:r>
      <w:r>
        <w:rPr>
          <w:rFonts w:eastAsia="宋体" w:cs="Times New Roman" w:hint="eastAsia"/>
          <w:bCs/>
          <w:sz w:val="24"/>
          <w:szCs w:val="24"/>
        </w:rPr>
        <w:t>SO</w:t>
      </w:r>
      <w:r>
        <w:rPr>
          <w:rFonts w:eastAsia="宋体" w:cs="Times New Roman" w:hint="eastAsia"/>
          <w:bCs/>
          <w:sz w:val="24"/>
          <w:szCs w:val="24"/>
        </w:rPr>
        <w:t>策略——发展型策略</w:t>
      </w:r>
      <w:r>
        <w:rPr>
          <w:rFonts w:eastAsia="宋体" w:cs="Times New Roman" w:hint="eastAsia"/>
          <w:bCs/>
          <w:sz w:val="24"/>
          <w:szCs w:val="24"/>
          <w:vertAlign w:val="superscript"/>
        </w:rPr>
        <w:t>[</w:t>
      </w:r>
      <w:r>
        <w:rPr>
          <w:rFonts w:eastAsia="宋体" w:cs="Times New Roman" w:hint="eastAsia"/>
          <w:bCs/>
          <w:sz w:val="24"/>
          <w:szCs w:val="24"/>
          <w:vertAlign w:val="superscript"/>
        </w:rPr>
        <w:footnoteReference w:id="16"/>
      </w:r>
      <w:r>
        <w:rPr>
          <w:rFonts w:eastAsia="宋体" w:cs="Times New Roman" w:hint="eastAsia"/>
          <w:bCs/>
          <w:sz w:val="24"/>
          <w:szCs w:val="24"/>
          <w:vertAlign w:val="superscript"/>
        </w:rPr>
        <w:t>]</w:t>
      </w:r>
    </w:p>
    <w:p w14:paraId="1554149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在对外投资主体上，要加大对实力强、条件好、信誉高的企业“走出去”扶持力度，推动民营企业和中小企业扬帆海外，拓展国际市场；在产业布局上，利用新兴领域的国际投资机会，推动数字经济、医疗健康、信息网络、人工智能、跨境电商等新兴产业和高技术产业扩大对外投资，加快形成以我为主的全球研发创新体系和供应链体系；在对外投资来源地上，牢牢把握“一带一路”倡议、“升级版”西部大开发战略等国家层面的战略机遇，鼓励中西部地区的企业“走出去”，在区域投资导向、流程手续、融资支持、税收减免等方面加大政策支持力度；在投资目的地布局上，优先支持对“一带一路”沿线国家特别是东盟国家的投资，分散投资风险；在对外投资动机上，加强事前审查和事中、事后监管，细化对外投资的真实性合规性审查，防止</w:t>
      </w:r>
      <w:r>
        <w:rPr>
          <w:rFonts w:eastAsia="宋体" w:cs="Times New Roman" w:hint="eastAsia"/>
          <w:sz w:val="24"/>
          <w:szCs w:val="24"/>
        </w:rPr>
        <w:lastRenderedPageBreak/>
        <w:t>非理性投资和资本外逃，防范基于避税动机的境外投资并购；在企业行为引导上，敦促投资企业合法合规经营，避免不正当竞争，积极履行社会责任，树立中国企业良好投资形象。</w:t>
      </w:r>
    </w:p>
    <w:p w14:paraId="55A5B466"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w:t>
      </w:r>
      <w:r>
        <w:rPr>
          <w:rFonts w:eastAsia="宋体" w:cs="Times New Roman" w:hint="eastAsia"/>
          <w:sz w:val="24"/>
          <w:szCs w:val="24"/>
        </w:rPr>
        <w:t>WO</w:t>
      </w:r>
      <w:r>
        <w:rPr>
          <w:rFonts w:eastAsia="宋体" w:cs="Times New Roman" w:hint="eastAsia"/>
          <w:sz w:val="24"/>
          <w:szCs w:val="24"/>
        </w:rPr>
        <w:t>策略——扭转型策略</w:t>
      </w:r>
      <w:r>
        <w:rPr>
          <w:rFonts w:eastAsia="宋体" w:cs="Times New Roman" w:hint="eastAsia"/>
          <w:bCs/>
          <w:sz w:val="24"/>
          <w:szCs w:val="30"/>
          <w:vertAlign w:val="superscript"/>
        </w:rPr>
        <w:t>[</w:t>
      </w:r>
      <w:r>
        <w:rPr>
          <w:rFonts w:eastAsia="宋体" w:cs="Times New Roman" w:hint="eastAsia"/>
          <w:bCs/>
          <w:sz w:val="24"/>
          <w:szCs w:val="30"/>
          <w:vertAlign w:val="superscript"/>
        </w:rPr>
        <w:footnoteReference w:id="17"/>
      </w:r>
      <w:r>
        <w:rPr>
          <w:rFonts w:eastAsia="宋体" w:cs="Times New Roman" w:hint="eastAsia"/>
          <w:bCs/>
          <w:sz w:val="24"/>
          <w:szCs w:val="30"/>
          <w:vertAlign w:val="superscript"/>
        </w:rPr>
        <w:t>]</w:t>
      </w:r>
    </w:p>
    <w:p w14:paraId="51068FF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企业角度着眼，在疫情期间要加强对投资项目的经济可行性评估，充分考虑疫情导致的原材料成本、经营成本、融资成本、利率以及汇率等变化，要特别重视对东道国政治风险和舆论风险的防范。积极引导境外投资企业统筹疫情防控、生产经营、客户维护等各项工作，促进企业建立危机管理机制和工作方案，完善应急处置措施和安全防范机制，提高应对公共卫生危机和突发事件的能力。从政府角度着眼，考虑建立对外投资安全风险评估和预警制度，定期评估投资东道国的政治经济形势、社会安全形势、民族宗教矛盾、恐怖主义活动、债务风险和偿债能力、舆情影响等因素，及时向企业通报境外安全信息、投资风险、主要国家风险评价等。我驻外使领馆和商务机构应及时掌握企业境外生产经营中存在的突出问题，对于难以按时履约、资金周转困难、资产安全风险较高等情况予以高度关注。</w:t>
      </w:r>
    </w:p>
    <w:p w14:paraId="03CDA138"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w:t>
      </w:r>
      <w:r>
        <w:rPr>
          <w:rFonts w:eastAsia="宋体" w:cs="Times New Roman" w:hint="eastAsia"/>
          <w:sz w:val="24"/>
          <w:szCs w:val="24"/>
        </w:rPr>
        <w:t>ST</w:t>
      </w:r>
      <w:r>
        <w:rPr>
          <w:rFonts w:eastAsia="宋体" w:cs="Times New Roman" w:hint="eastAsia"/>
          <w:sz w:val="24"/>
          <w:szCs w:val="24"/>
        </w:rPr>
        <w:t>策略——多样化策略</w:t>
      </w:r>
      <w:r>
        <w:rPr>
          <w:rFonts w:eastAsia="宋体" w:cs="Times New Roman" w:hint="eastAsia"/>
          <w:bCs/>
          <w:sz w:val="24"/>
          <w:szCs w:val="30"/>
          <w:vertAlign w:val="superscript"/>
        </w:rPr>
        <w:t>[</w:t>
      </w:r>
      <w:r>
        <w:rPr>
          <w:rFonts w:eastAsia="宋体" w:cs="Times New Roman" w:hint="eastAsia"/>
          <w:bCs/>
          <w:sz w:val="24"/>
          <w:szCs w:val="30"/>
          <w:vertAlign w:val="superscript"/>
        </w:rPr>
        <w:footnoteReference w:id="18"/>
      </w:r>
      <w:r>
        <w:rPr>
          <w:rFonts w:eastAsia="宋体" w:cs="Times New Roman" w:hint="eastAsia"/>
          <w:bCs/>
          <w:sz w:val="24"/>
          <w:szCs w:val="30"/>
          <w:vertAlign w:val="superscript"/>
        </w:rPr>
        <w:t>]</w:t>
      </w:r>
    </w:p>
    <w:p w14:paraId="02AE947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30"/>
        </w:rPr>
        <w:t>我国企业应充分抓住后疫情时代海外投资机会增加、新兴领域国际合作契机凸显的宝贵机遇，进一步采取并购、联营、新设等多种形式积极开拓海外业务。一方面，面对欧美发达国家收紧投资审查政策的局面，应灵活应对，不必一定采取控股型并购方式进行收购；另一方面，重点关注与中国关系相对友好、投资审查门槛较低国家的中小型科技公司，或考虑利用国外的知识和智力资源推动绿地投资。支持国资和民资携手“走出去”，进一步明确“走出去”中企业的权责，加强对国有企业作为投资主体的监督，充分发挥社会资本的杠杆作用，合理推进混合所有制改革。加强与境外金融机构的合作，着眼于设立多双边投资基金，搭建跨境投资生态链。加大力度扶持一批功能定位清晰、发展前景看好的境外经贸合作区，为中资企业抱团出海搭建产业合作平台。</w:t>
      </w:r>
    </w:p>
    <w:p w14:paraId="7E81AE9B"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4</w:t>
      </w:r>
      <w:r>
        <w:rPr>
          <w:rFonts w:eastAsia="宋体" w:cs="Times New Roman" w:hint="eastAsia"/>
          <w:sz w:val="24"/>
          <w:szCs w:val="24"/>
        </w:rPr>
        <w:t>）</w:t>
      </w:r>
      <w:r>
        <w:rPr>
          <w:rFonts w:eastAsia="宋体" w:cs="Times New Roman" w:hint="eastAsia"/>
          <w:sz w:val="24"/>
          <w:szCs w:val="24"/>
        </w:rPr>
        <w:t>WT</w:t>
      </w:r>
      <w:r>
        <w:rPr>
          <w:rFonts w:eastAsia="宋体" w:cs="Times New Roman" w:hint="eastAsia"/>
          <w:sz w:val="24"/>
          <w:szCs w:val="24"/>
        </w:rPr>
        <w:t>策略——防御型策略</w:t>
      </w:r>
      <w:r>
        <w:rPr>
          <w:rFonts w:eastAsia="宋体" w:cs="Times New Roman" w:hint="eastAsia"/>
          <w:bCs/>
          <w:sz w:val="24"/>
          <w:szCs w:val="30"/>
          <w:vertAlign w:val="superscript"/>
        </w:rPr>
        <w:t>[</w:t>
      </w:r>
      <w:r>
        <w:rPr>
          <w:rFonts w:eastAsia="宋体" w:cs="Times New Roman" w:hint="eastAsia"/>
          <w:bCs/>
          <w:sz w:val="24"/>
          <w:szCs w:val="30"/>
          <w:vertAlign w:val="superscript"/>
        </w:rPr>
        <w:footnoteReference w:id="19"/>
      </w:r>
      <w:r>
        <w:rPr>
          <w:rFonts w:eastAsia="宋体" w:cs="Times New Roman" w:hint="eastAsia"/>
          <w:bCs/>
          <w:sz w:val="24"/>
          <w:szCs w:val="30"/>
          <w:vertAlign w:val="superscript"/>
        </w:rPr>
        <w:t>]</w:t>
      </w:r>
    </w:p>
    <w:p w14:paraId="50145E4E" w14:textId="77777777" w:rsidR="006B10D9" w:rsidRDefault="00BE6472">
      <w:pPr>
        <w:spacing w:line="360" w:lineRule="auto"/>
        <w:ind w:firstLineChars="0"/>
        <w:rPr>
          <w:rFonts w:eastAsia="宋体" w:cs="Times New Roman"/>
          <w:sz w:val="24"/>
          <w:szCs w:val="24"/>
        </w:rPr>
      </w:pPr>
      <w:r>
        <w:rPr>
          <w:rFonts w:eastAsia="宋体" w:cs="Times New Roman" w:hint="eastAsia"/>
          <w:sz w:val="24"/>
          <w:szCs w:val="24"/>
        </w:rPr>
        <w:t>在持续提升国内产业链供应链安全、稳住外资外贸基本盘的前提下，要主动顺应国际贸易规则变化和产业链供应链重组趋势，推动我国企业深度参与全球分工，主动嵌入跨国公司全球供应链格局。一方面，要加强对跨国公司供应链全球布局和调整的跟踪研究，支持我具有一定产业配套能力、投资环境较为完善的境外经贸合作区与跨国公司进行对接，加强与我境外交通运输通道或重大生产经营项目的协同。另一方面，引导国内供应链上下游企业采取“跟跑”策略，积极融入跨国公司的全球供应链重组格局中，继续为跨国企业海外供应链提供配套支持。鼓励企业向品牌、服务、标准、技术等价值链中高端迈进，拓展海外分销和服务网络，筹划建设物流配送中心、海外仓等设施，提高产业配套服务能力，增强供应链韧性和弹性。</w:t>
      </w:r>
    </w:p>
    <w:p w14:paraId="3872B9C4" w14:textId="77777777" w:rsidR="006B10D9" w:rsidRDefault="00BE6472">
      <w:pPr>
        <w:pStyle w:val="4"/>
      </w:pPr>
      <w:bookmarkStart w:id="44" w:name="_Toc15908"/>
      <w:r>
        <w:rPr>
          <w:rFonts w:hint="eastAsia"/>
        </w:rPr>
        <w:t>3</w:t>
      </w:r>
      <w:r>
        <w:rPr>
          <w:rFonts w:cs="华文楷体" w:hint="eastAsia"/>
        </w:rPr>
        <w:t>.</w:t>
      </w:r>
      <w:r>
        <w:rPr>
          <w:rFonts w:hint="eastAsia"/>
        </w:rPr>
        <w:t>我国企业“走出去”投资模式选择</w:t>
      </w:r>
      <w:bookmarkEnd w:id="44"/>
    </w:p>
    <w:p w14:paraId="244D6F7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通过系统分析我国企业在疫情环境下“走出去”的发展策略选择，同时综合考虑我国对外直接投资的流向和路径选择，提出如下对外直接投资模式：</w:t>
      </w:r>
    </w:p>
    <w:p w14:paraId="49BA0B36"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）制度环境拉动型投资模式</w:t>
      </w:r>
    </w:p>
    <w:p w14:paraId="014CEE70" w14:textId="77777777" w:rsidR="006B10D9" w:rsidRDefault="00BE6472">
      <w:pPr>
        <w:spacing w:line="360" w:lineRule="auto"/>
        <w:ind w:firstLineChars="0"/>
        <w:rPr>
          <w:rFonts w:eastAsia="宋体" w:cs="Times New Roman"/>
          <w:sz w:val="24"/>
          <w:szCs w:val="24"/>
        </w:rPr>
      </w:pPr>
      <w:r>
        <w:rPr>
          <w:rFonts w:eastAsia="宋体" w:cs="Times New Roman" w:hint="eastAsia"/>
          <w:sz w:val="24"/>
          <w:szCs w:val="24"/>
        </w:rPr>
        <w:t>在此种投资模式下，中国企业境外投资主要存在两种可能路径：一种是以获取先进技术与管理经验等战略性资产为主要目的，投资目的国集中于制度治理水平较高的国家。这些国家通常拥有稳定的政治制度、完善的市场结构和资源分配方式以及清晰的产业政策等。此外，考虑到研发活动、知识成果在一定区域范围内具有共享性，因此，企业可以通过在海外设立子公司或将研发机构设置在知识技术密集区的方式，致力于提升企业研发和产品开发能力。例如，以华为为代表的中国信息通信企业多将研发下属企业设立在欧美发达国家，以谋求逆向技术溢出和配套管理知识溢出。华为公司已在欧盟、英国设立多家研发中心，腾讯公司则在新加坡投资寻求获得跨境电商、云技术等技术支持。另一种路径是企业寻求从东道国的制度优势中获取更高效率，选择在制度治理水平较高的国家进行直接投资。这些企业通常在国内已具备较高的生产效率和技术实力，通过在美欧等发达国家开展直接投资，使投资目的国的制度优势能够更好地激活企业资源配置和效率。</w:t>
      </w:r>
    </w:p>
    <w:p w14:paraId="7F63EDAA"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）资源寻求型投资模式</w:t>
      </w:r>
    </w:p>
    <w:p w14:paraId="37A18EB1" w14:textId="77777777" w:rsidR="006B10D9" w:rsidRDefault="00BE6472">
      <w:pPr>
        <w:spacing w:line="360" w:lineRule="auto"/>
        <w:ind w:firstLineChars="0"/>
        <w:rPr>
          <w:rFonts w:eastAsia="宋体" w:cs="Times New Roman"/>
          <w:sz w:val="24"/>
          <w:szCs w:val="24"/>
        </w:rPr>
      </w:pPr>
      <w:r>
        <w:rPr>
          <w:rFonts w:eastAsia="宋体" w:cs="Times New Roman" w:hint="eastAsia"/>
          <w:sz w:val="24"/>
          <w:szCs w:val="24"/>
        </w:rPr>
        <w:t>在此种投资模式下，中国企业热衷投资于自然资源较为丰富但治理水平低下的</w:t>
      </w:r>
      <w:r>
        <w:rPr>
          <w:rFonts w:eastAsia="宋体" w:cs="Times New Roman" w:hint="eastAsia"/>
          <w:sz w:val="24"/>
          <w:szCs w:val="24"/>
        </w:rPr>
        <w:lastRenderedPageBreak/>
        <w:t>国家。大量文献已证明，资源丰富且制度水平较低的国家，存在大量的权力寻租空间。考虑到中国市场化进程早期也存在类似的治理现象，中国企业通常都具有较强的资源整合能力和机会识别能力。在投资东道国面临相似的制度环境下，将会使企业通过关系网络获得市场获利机会。因此，对于诸如巴西、南非、印尼、菲律宾等制度治理水平相对较低的国家，会成为中国企业获取关键生产要素和原材料的重要目的地。</w:t>
      </w:r>
    </w:p>
    <w:p w14:paraId="4BEBEBF3"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）市场驱动型投资模式</w:t>
      </w:r>
    </w:p>
    <w:p w14:paraId="34C7A657" w14:textId="77777777" w:rsidR="006B10D9" w:rsidRDefault="00BE6472">
      <w:pPr>
        <w:spacing w:line="360" w:lineRule="auto"/>
        <w:ind w:firstLineChars="0"/>
        <w:rPr>
          <w:rFonts w:eastAsia="宋体" w:cs="Times New Roman"/>
          <w:sz w:val="24"/>
          <w:szCs w:val="24"/>
        </w:rPr>
      </w:pPr>
      <w:r>
        <w:rPr>
          <w:rFonts w:eastAsia="宋体" w:cs="Times New Roman" w:hint="eastAsia"/>
          <w:sz w:val="24"/>
          <w:szCs w:val="24"/>
        </w:rPr>
        <w:t>在此种模式下，东道国市场是驱动中国企业境外投资的核心动力。一种路径是投资于治理水平较高的国家以进军中高端消费市场。这类国内企业通常具备较为丰富的国际投资经验，通过与目的国所在政府、供应商、经销商建立良好合作关系，从而降低其在海外经营中的风险。这类企业对发达国家的“商业机会”认知更为丰富和清晰，并能够及时调整经营架构和管理以适应不断变化的市场规则和快速变化的消费者需求。在发达国家获得的服务中高端消费者的市场经验，将有助于企业调整国内产业链和供应链，将经验溢出扩散回中国及其他目的国市场。另一种路径是具有较高生产率的国内企业投资于治理水平较低的国家。这是因为，国内市场劳动力供需不平衡和产业梯度转移的需求，迫使制造业企业将投资转移到劳动力、土地和资本更加低廉的低制度治理水平国家。这些国家通常具备便利的交通条件、较为低廉的劳动力和融资成本，且更加贴近低端消费市场，有助于国内企业的生产经验溢出和分享。</w:t>
      </w:r>
    </w:p>
    <w:p w14:paraId="6A452202" w14:textId="77777777" w:rsidR="006B10D9" w:rsidRDefault="00BE6472">
      <w:pPr>
        <w:pStyle w:val="2"/>
        <w:ind w:firstLine="480"/>
      </w:pPr>
      <w:bookmarkStart w:id="45" w:name="_Toc93846694"/>
      <w:bookmarkStart w:id="46" w:name="_Toc32266"/>
      <w:bookmarkStart w:id="47" w:name="_Toc93922384"/>
      <w:r>
        <w:t>三、后疫情时代中国企业海外投资区域风险评估模型</w:t>
      </w:r>
      <w:bookmarkEnd w:id="45"/>
      <w:bookmarkEnd w:id="46"/>
      <w:bookmarkEnd w:id="47"/>
    </w:p>
    <w:p w14:paraId="79368EB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在新冠疫情暴发及全球持续蔓延的背景下，海外市场不断激增的各类风险给中企对外投资带来了前所未有的困难和挑战。一方面，疫情导致的供应链紧张局势加剧了贸易保护主义和“逆全球化”趋势，包括发达经济体在内的许多国家纷纷抬高外资准入“门槛”、加大外资审查力度，这必将对以寻求技术和市场为主要目的的中企海外投资行为产生长期影响；另一方面，疫情导致全球金融市场大幅震荡，各国债务风险陡增，对正常市场秩序和宏观层面的经济稳定产生较大冲击，境外金融市场的风险波动也势必增加中企的资金流动性和汇率风险。此外，少数国家借新冠病毒溯源对我国污名化的企图，造成中企在对外投资东道国面临更为复杂的舆论和社会环境。例如，一些国家出于对公共安全的担忧，对我对外投资项目采取停工排查、检验检疫、人员隔离等措施，显著增加了项目建设和运营风险，使对外投资企业蒙受经济和声誉</w:t>
      </w:r>
      <w:r>
        <w:rPr>
          <w:rFonts w:eastAsia="宋体" w:cs="Times New Roman" w:hint="eastAsia"/>
          <w:sz w:val="24"/>
          <w:szCs w:val="24"/>
        </w:rPr>
        <w:lastRenderedPageBreak/>
        <w:t>损失的双重风险。</w:t>
      </w:r>
    </w:p>
    <w:p w14:paraId="3D0E53E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据此，本章拟以中企“走出去”面临的国家风险</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
      </w:r>
      <w:r>
        <w:rPr>
          <w:rFonts w:eastAsia="宋体" w:cs="Times New Roman" w:hint="eastAsia"/>
          <w:sz w:val="24"/>
          <w:szCs w:val="24"/>
          <w:vertAlign w:val="superscript"/>
        </w:rPr>
        <w:t>]</w:t>
      </w:r>
      <w:r>
        <w:rPr>
          <w:rFonts w:eastAsia="宋体" w:cs="Times New Roman" w:hint="eastAsia"/>
          <w:sz w:val="24"/>
          <w:szCs w:val="24"/>
        </w:rPr>
        <w:t>为研究对象，构建企业海外投资区域风险模型，对中国企业对外投资的风险构成和总体情况进行评估。</w:t>
      </w:r>
    </w:p>
    <w:p w14:paraId="69B5B921" w14:textId="77777777" w:rsidR="006B10D9" w:rsidRDefault="00BE6472">
      <w:pPr>
        <w:pStyle w:val="3"/>
        <w:spacing w:before="120" w:after="240"/>
      </w:pPr>
      <w:bookmarkStart w:id="48" w:name="_Toc93922385"/>
      <w:bookmarkStart w:id="49" w:name="_Toc10583"/>
      <w:r>
        <w:rPr>
          <w:rFonts w:hint="eastAsia"/>
        </w:rPr>
        <w:t>（一）指标选取</w:t>
      </w:r>
      <w:bookmarkEnd w:id="48"/>
      <w:bookmarkEnd w:id="49"/>
    </w:p>
    <w:p w14:paraId="7B8C1C9F"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为了全面量化评估中国企业海外投资面临的主要风险，本评级体系选择了经济基础指标、社会环境指标、政治风险指标、债务风险指标和双边关系五大一级指标，共</w:t>
      </w:r>
      <w:r>
        <w:rPr>
          <w:rFonts w:eastAsia="宋体" w:cs="Times New Roman" w:hint="eastAsia"/>
          <w:sz w:val="24"/>
          <w:szCs w:val="24"/>
        </w:rPr>
        <w:t>22</w:t>
      </w:r>
      <w:r>
        <w:rPr>
          <w:rFonts w:eastAsia="宋体" w:cs="Times New Roman" w:hint="eastAsia"/>
          <w:sz w:val="24"/>
          <w:szCs w:val="24"/>
        </w:rPr>
        <w:t>个二级指标。</w:t>
      </w:r>
    </w:p>
    <w:p w14:paraId="493306B5" w14:textId="77777777" w:rsidR="006B10D9" w:rsidRDefault="00BE6472">
      <w:pPr>
        <w:pStyle w:val="4"/>
      </w:pPr>
      <w:bookmarkStart w:id="50" w:name="_Toc22881"/>
      <w:r>
        <w:rPr>
          <w:rFonts w:hint="eastAsia"/>
        </w:rPr>
        <w:t>1</w:t>
      </w:r>
      <w:r>
        <w:rPr>
          <w:rFonts w:cs="华文楷体" w:hint="eastAsia"/>
        </w:rPr>
        <w:t>.</w:t>
      </w:r>
      <w:r>
        <w:rPr>
          <w:rFonts w:hint="eastAsia"/>
        </w:rPr>
        <w:t>经济基础指标</w:t>
      </w:r>
      <w:bookmarkEnd w:id="50"/>
    </w:p>
    <w:p w14:paraId="45952CD7" w14:textId="77777777" w:rsidR="006B10D9" w:rsidRDefault="00BE6472">
      <w:pPr>
        <w:spacing w:line="360" w:lineRule="auto"/>
        <w:ind w:firstLine="480"/>
        <w:rPr>
          <w:rFonts w:eastAsia="宋体" w:cs="Times New Roman"/>
          <w:sz w:val="24"/>
          <w:szCs w:val="24"/>
        </w:rPr>
      </w:pPr>
      <w:r>
        <w:rPr>
          <w:rFonts w:eastAsia="宋体" w:cs="Times New Roman"/>
          <w:sz w:val="24"/>
          <w:szCs w:val="24"/>
        </w:rPr>
        <w:t>经济基础指标</w:t>
      </w:r>
      <w:r>
        <w:rPr>
          <w:rFonts w:eastAsia="宋体" w:cs="Times New Roman" w:hint="eastAsia"/>
          <w:sz w:val="24"/>
          <w:szCs w:val="24"/>
        </w:rPr>
        <w:t>是指</w:t>
      </w:r>
      <w:r>
        <w:rPr>
          <w:rFonts w:eastAsia="宋体" w:cs="Times New Roman"/>
          <w:sz w:val="24"/>
          <w:szCs w:val="24"/>
        </w:rPr>
        <w:t>国家投资环境的长期基础</w:t>
      </w:r>
      <w:r>
        <w:rPr>
          <w:rFonts w:eastAsia="宋体" w:cs="Times New Roman" w:hint="eastAsia"/>
          <w:sz w:val="24"/>
          <w:szCs w:val="24"/>
        </w:rPr>
        <w:t>，是一个</w:t>
      </w:r>
      <w:r>
        <w:rPr>
          <w:rFonts w:eastAsia="宋体" w:cs="Times New Roman"/>
          <w:sz w:val="24"/>
          <w:szCs w:val="24"/>
        </w:rPr>
        <w:t>国家是否具有优越投融资环境的根本，</w:t>
      </w:r>
      <w:r>
        <w:rPr>
          <w:rFonts w:eastAsia="宋体" w:cs="Times New Roman" w:hint="eastAsia"/>
          <w:sz w:val="24"/>
          <w:szCs w:val="24"/>
        </w:rPr>
        <w:t>良好</w:t>
      </w:r>
      <w:r>
        <w:rPr>
          <w:rFonts w:eastAsia="宋体" w:cs="Times New Roman"/>
          <w:sz w:val="24"/>
          <w:szCs w:val="24"/>
        </w:rPr>
        <w:t>的经济基础</w:t>
      </w:r>
      <w:r>
        <w:rPr>
          <w:rFonts w:eastAsia="宋体" w:cs="Times New Roman" w:hint="eastAsia"/>
          <w:sz w:val="24"/>
          <w:szCs w:val="24"/>
        </w:rPr>
        <w:t>也</w:t>
      </w:r>
      <w:r>
        <w:rPr>
          <w:rFonts w:eastAsia="宋体" w:cs="Times New Roman"/>
          <w:sz w:val="24"/>
          <w:szCs w:val="24"/>
        </w:rPr>
        <w:t>是</w:t>
      </w:r>
      <w:r>
        <w:rPr>
          <w:rFonts w:eastAsia="宋体" w:cs="Times New Roman" w:hint="eastAsia"/>
          <w:sz w:val="24"/>
          <w:szCs w:val="24"/>
        </w:rPr>
        <w:t>确保</w:t>
      </w:r>
      <w:r>
        <w:rPr>
          <w:rFonts w:eastAsia="宋体" w:cs="Times New Roman"/>
          <w:sz w:val="24"/>
          <w:szCs w:val="24"/>
        </w:rPr>
        <w:t>中国企业海外投资收益和安全性的</w:t>
      </w:r>
      <w:r>
        <w:rPr>
          <w:rFonts w:eastAsia="宋体" w:cs="Times New Roman" w:hint="eastAsia"/>
          <w:sz w:val="24"/>
          <w:szCs w:val="24"/>
        </w:rPr>
        <w:t>重要</w:t>
      </w:r>
      <w:r>
        <w:rPr>
          <w:rFonts w:eastAsia="宋体" w:cs="Times New Roman"/>
          <w:sz w:val="24"/>
          <w:szCs w:val="24"/>
        </w:rPr>
        <w:t>保障。经济基础指标包含</w:t>
      </w:r>
      <w:r>
        <w:rPr>
          <w:rFonts w:eastAsia="宋体" w:cs="Times New Roman" w:hint="eastAsia"/>
          <w:sz w:val="24"/>
          <w:szCs w:val="24"/>
        </w:rPr>
        <w:t>6</w:t>
      </w:r>
      <w:r>
        <w:rPr>
          <w:rFonts w:eastAsia="宋体" w:cs="Times New Roman"/>
          <w:sz w:val="24"/>
          <w:szCs w:val="24"/>
        </w:rPr>
        <w:t>个</w:t>
      </w:r>
      <w:r>
        <w:rPr>
          <w:rFonts w:eastAsia="宋体" w:cs="Times New Roman" w:hint="eastAsia"/>
          <w:sz w:val="24"/>
          <w:szCs w:val="24"/>
        </w:rPr>
        <w:t>二级</w:t>
      </w:r>
      <w:r>
        <w:rPr>
          <w:rFonts w:eastAsia="宋体" w:cs="Times New Roman"/>
          <w:sz w:val="24"/>
          <w:szCs w:val="24"/>
        </w:rPr>
        <w:t>指标（见表</w:t>
      </w:r>
      <w:r>
        <w:rPr>
          <w:rFonts w:eastAsia="宋体" w:cs="Times New Roman" w:hint="eastAsia"/>
          <w:sz w:val="24"/>
          <w:szCs w:val="24"/>
        </w:rPr>
        <w:t>3</w:t>
      </w:r>
      <w:r>
        <w:rPr>
          <w:rFonts w:eastAsia="宋体" w:cs="Times New Roman"/>
          <w:sz w:val="24"/>
          <w:szCs w:val="24"/>
        </w:rPr>
        <w:t>），其中：</w:t>
      </w:r>
      <w:r>
        <w:rPr>
          <w:rFonts w:eastAsia="宋体" w:cs="Times New Roman"/>
          <w:sz w:val="24"/>
          <w:szCs w:val="24"/>
        </w:rPr>
        <w:t>GDP</w:t>
      </w:r>
      <w:r>
        <w:rPr>
          <w:rFonts w:eastAsia="宋体" w:cs="Times New Roman"/>
          <w:sz w:val="24"/>
          <w:szCs w:val="24"/>
        </w:rPr>
        <w:t>总量、人均</w:t>
      </w:r>
      <w:r>
        <w:rPr>
          <w:rFonts w:eastAsia="宋体" w:cs="Times New Roman"/>
          <w:sz w:val="24"/>
          <w:szCs w:val="24"/>
        </w:rPr>
        <w:t>GDP</w:t>
      </w:r>
      <w:r>
        <w:rPr>
          <w:rFonts w:eastAsia="宋体" w:cs="Times New Roman"/>
          <w:sz w:val="24"/>
          <w:szCs w:val="24"/>
        </w:rPr>
        <w:t>衡量了一国的</w:t>
      </w:r>
      <w:r>
        <w:rPr>
          <w:rFonts w:eastAsia="宋体" w:cs="Times New Roman" w:hint="eastAsia"/>
          <w:sz w:val="24"/>
          <w:szCs w:val="24"/>
        </w:rPr>
        <w:t>经</w:t>
      </w:r>
      <w:r>
        <w:rPr>
          <w:rFonts w:eastAsia="宋体" w:cs="Times New Roman"/>
          <w:sz w:val="24"/>
          <w:szCs w:val="24"/>
        </w:rPr>
        <w:t>济规模和发展水平；</w:t>
      </w:r>
      <w:r>
        <w:rPr>
          <w:rFonts w:eastAsia="宋体" w:cs="Times New Roman" w:hint="eastAsia"/>
          <w:sz w:val="24"/>
          <w:szCs w:val="24"/>
        </w:rPr>
        <w:t>GDP</w:t>
      </w:r>
      <w:r>
        <w:rPr>
          <w:rFonts w:eastAsia="宋体" w:cs="Times New Roman"/>
          <w:sz w:val="24"/>
          <w:szCs w:val="24"/>
        </w:rPr>
        <w:t>增长率、通货膨胀率和失业率衡量了一国的经济发展的效益</w:t>
      </w:r>
      <w:r>
        <w:rPr>
          <w:rFonts w:eastAsia="宋体" w:cs="Times New Roman" w:hint="eastAsia"/>
          <w:sz w:val="24"/>
          <w:szCs w:val="24"/>
        </w:rPr>
        <w:t>水平；贸易开放度衡量一国参与国际交易的开放程度，是一国进出口总额与</w:t>
      </w:r>
      <w:r>
        <w:rPr>
          <w:rFonts w:eastAsia="宋体" w:cs="Times New Roman" w:hint="eastAsia"/>
          <w:sz w:val="24"/>
          <w:szCs w:val="24"/>
        </w:rPr>
        <w:t>GDP</w:t>
      </w:r>
      <w:r>
        <w:rPr>
          <w:rFonts w:eastAsia="宋体" w:cs="Times New Roman" w:hint="eastAsia"/>
          <w:sz w:val="24"/>
          <w:szCs w:val="24"/>
        </w:rPr>
        <w:t>的比值。</w:t>
      </w:r>
    </w:p>
    <w:p w14:paraId="06E5FAD7" w14:textId="77777777" w:rsidR="006B10D9" w:rsidRDefault="00BE6472">
      <w:pPr>
        <w:pStyle w:val="affd"/>
      </w:pPr>
      <w:r>
        <w:rPr>
          <w:rFonts w:hint="eastAsia"/>
        </w:rPr>
        <w:t>表</w:t>
      </w:r>
      <w:r>
        <w:rPr>
          <w:rFonts w:hint="eastAsia"/>
        </w:rPr>
        <w:t xml:space="preserve">3  </w:t>
      </w:r>
      <w:r>
        <w:rPr>
          <w:rFonts w:hint="eastAsia"/>
        </w:rPr>
        <w:t>经济基础衡量指标</w:t>
      </w:r>
      <w:r>
        <w:rPr>
          <w:rFonts w:hint="eastAsia"/>
          <w:vertAlign w:val="superscript"/>
        </w:rPr>
        <w:t>[</w:t>
      </w:r>
      <w:r>
        <w:rPr>
          <w:rFonts w:hint="eastAsia"/>
          <w:vertAlign w:val="superscript"/>
        </w:rPr>
        <w:footnoteReference w:id="21"/>
      </w:r>
      <w:r>
        <w:rPr>
          <w:rFonts w:hint="eastAsia"/>
          <w:vertAlign w:val="superscript"/>
        </w:rPr>
        <w:t>]</w:t>
      </w:r>
    </w:p>
    <w:tbl>
      <w:tblPr>
        <w:tblW w:w="4789" w:type="pct"/>
        <w:jc w:val="center"/>
        <w:tblLayout w:type="fixed"/>
        <w:tblLook w:val="04A0" w:firstRow="1" w:lastRow="0" w:firstColumn="1" w:lastColumn="0" w:noHBand="0" w:noVBand="1"/>
      </w:tblPr>
      <w:tblGrid>
        <w:gridCol w:w="2274"/>
        <w:gridCol w:w="3290"/>
        <w:gridCol w:w="2788"/>
      </w:tblGrid>
      <w:tr w:rsidR="006B10D9" w14:paraId="1ECB882D" w14:textId="77777777">
        <w:trPr>
          <w:trHeight w:val="56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4CF90"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BAFC3"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指标说明</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AD9F"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rPr>
            </w:pPr>
            <w:r>
              <w:rPr>
                <w:rFonts w:eastAsia="宋体" w:hint="eastAsia"/>
                <w:b/>
                <w:bCs/>
                <w:color w:val="000000"/>
                <w:sz w:val="21"/>
                <w:szCs w:val="21"/>
              </w:rPr>
              <w:t>数据来源</w:t>
            </w:r>
          </w:p>
        </w:tc>
      </w:tr>
      <w:tr w:rsidR="006B10D9" w14:paraId="4316DEA3" w14:textId="77777777">
        <w:trPr>
          <w:trHeight w:val="56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3F0E8"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人均</w:t>
            </w:r>
            <w:r>
              <w:rPr>
                <w:rFonts w:eastAsia="宋体" w:hint="eastAsia"/>
                <w:color w:val="000000"/>
                <w:sz w:val="21"/>
                <w:szCs w:val="21"/>
                <w:lang w:bidi="ar"/>
              </w:rPr>
              <w:t>GDP</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9D7E"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经济发展水平</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C0DE"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rPr>
              <w:t>WEO</w:t>
            </w:r>
            <w:r>
              <w:rPr>
                <w:rFonts w:eastAsia="宋体" w:hint="eastAsia"/>
                <w:color w:val="000000"/>
                <w:sz w:val="21"/>
                <w:szCs w:val="21"/>
              </w:rPr>
              <w:t>、</w:t>
            </w:r>
            <w:r>
              <w:rPr>
                <w:rFonts w:eastAsia="宋体" w:hint="eastAsia"/>
                <w:color w:val="000000"/>
                <w:sz w:val="21"/>
                <w:szCs w:val="21"/>
              </w:rPr>
              <w:t>WDI</w:t>
            </w:r>
          </w:p>
        </w:tc>
      </w:tr>
      <w:tr w:rsidR="006B10D9" w14:paraId="6CE5EC7C" w14:textId="77777777">
        <w:trPr>
          <w:trHeight w:val="56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7F2D2"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GDP</w:t>
            </w:r>
            <w:r>
              <w:rPr>
                <w:rFonts w:eastAsia="宋体" w:hint="eastAsia"/>
                <w:color w:val="000000"/>
                <w:sz w:val="21"/>
                <w:szCs w:val="21"/>
                <w:lang w:bidi="ar"/>
              </w:rPr>
              <w:t>增长率</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59CD"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经济增速</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0DC72"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rPr>
              <w:t>WEO</w:t>
            </w:r>
            <w:r>
              <w:rPr>
                <w:rFonts w:eastAsia="宋体" w:hint="eastAsia"/>
                <w:color w:val="000000"/>
                <w:sz w:val="21"/>
                <w:szCs w:val="21"/>
              </w:rPr>
              <w:t>、</w:t>
            </w:r>
            <w:r>
              <w:rPr>
                <w:rFonts w:eastAsia="宋体" w:hint="eastAsia"/>
                <w:color w:val="000000"/>
                <w:sz w:val="21"/>
                <w:szCs w:val="21"/>
              </w:rPr>
              <w:t>CEIC</w:t>
            </w:r>
          </w:p>
        </w:tc>
      </w:tr>
      <w:tr w:rsidR="006B10D9" w14:paraId="1854F4C9" w14:textId="77777777">
        <w:trPr>
          <w:trHeight w:val="56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E408A"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GDP</w:t>
            </w:r>
            <w:r>
              <w:rPr>
                <w:rFonts w:eastAsia="宋体" w:hint="eastAsia"/>
                <w:color w:val="000000"/>
                <w:sz w:val="21"/>
                <w:szCs w:val="21"/>
                <w:lang w:bidi="ar"/>
              </w:rPr>
              <w:t>总量</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ED2C2"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经济总量</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85A82"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rPr>
              <w:t>WEO</w:t>
            </w:r>
            <w:r>
              <w:rPr>
                <w:rFonts w:eastAsia="宋体" w:hint="eastAsia"/>
                <w:color w:val="000000"/>
                <w:sz w:val="21"/>
                <w:szCs w:val="21"/>
              </w:rPr>
              <w:t>、</w:t>
            </w:r>
            <w:r>
              <w:rPr>
                <w:rFonts w:eastAsia="宋体" w:hint="eastAsia"/>
                <w:color w:val="000000"/>
                <w:sz w:val="21"/>
                <w:szCs w:val="21"/>
              </w:rPr>
              <w:t>WDI</w:t>
            </w:r>
          </w:p>
        </w:tc>
      </w:tr>
      <w:tr w:rsidR="006B10D9" w14:paraId="64E9A48A" w14:textId="77777777">
        <w:trPr>
          <w:trHeight w:val="56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F8868"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通货膨胀率</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B8E7"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居民消费价格指数</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23575"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rPr>
              <w:t>WEO</w:t>
            </w:r>
            <w:r>
              <w:rPr>
                <w:rFonts w:eastAsia="宋体" w:hint="eastAsia"/>
                <w:color w:val="000000"/>
                <w:sz w:val="21"/>
                <w:szCs w:val="21"/>
              </w:rPr>
              <w:t>、</w:t>
            </w:r>
            <w:r>
              <w:rPr>
                <w:rFonts w:eastAsia="宋体" w:hint="eastAsia"/>
                <w:color w:val="000000"/>
                <w:sz w:val="21"/>
                <w:szCs w:val="21"/>
              </w:rPr>
              <w:t>WDI</w:t>
            </w:r>
          </w:p>
        </w:tc>
      </w:tr>
      <w:tr w:rsidR="006B10D9" w14:paraId="44DB6751" w14:textId="77777777">
        <w:trPr>
          <w:trHeight w:val="69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A3692"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lastRenderedPageBreak/>
              <w:t>贸易开放度</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C6339"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进出口总额</w:t>
            </w:r>
            <w:r>
              <w:rPr>
                <w:rFonts w:eastAsia="宋体" w:hint="eastAsia"/>
                <w:color w:val="000000"/>
                <w:sz w:val="21"/>
                <w:szCs w:val="21"/>
                <w:lang w:bidi="ar"/>
              </w:rPr>
              <w:t>/GDP</w:t>
            </w:r>
            <w:r>
              <w:rPr>
                <w:rFonts w:eastAsia="宋体" w:hint="eastAsia"/>
                <w:color w:val="000000"/>
                <w:sz w:val="21"/>
                <w:szCs w:val="21"/>
                <w:lang w:bidi="ar"/>
              </w:rPr>
              <w:t>，衡量贸易依赖度和开放度</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2FA3"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rPr>
              <w:t>WDI</w:t>
            </w:r>
            <w:r>
              <w:rPr>
                <w:rFonts w:eastAsia="宋体" w:hint="eastAsia"/>
                <w:color w:val="000000"/>
                <w:sz w:val="21"/>
                <w:szCs w:val="21"/>
              </w:rPr>
              <w:t>、</w:t>
            </w:r>
            <w:r>
              <w:rPr>
                <w:rFonts w:eastAsia="宋体" w:hint="eastAsia"/>
                <w:color w:val="000000"/>
                <w:sz w:val="21"/>
                <w:szCs w:val="21"/>
              </w:rPr>
              <w:t>UNCTAD</w:t>
            </w:r>
          </w:p>
        </w:tc>
      </w:tr>
      <w:tr w:rsidR="006B10D9" w14:paraId="46995E71" w14:textId="77777777">
        <w:trPr>
          <w:trHeight w:val="567"/>
          <w:jc w:val="center"/>
        </w:trPr>
        <w:tc>
          <w:tcPr>
            <w:tcW w:w="13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765DE"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lang w:bidi="ar"/>
              </w:rPr>
              <w:t>失业率</w:t>
            </w:r>
          </w:p>
        </w:tc>
        <w:tc>
          <w:tcPr>
            <w:tcW w:w="1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CE84"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失业人口占劳动人口的比率</w:t>
            </w:r>
          </w:p>
        </w:tc>
        <w:tc>
          <w:tcPr>
            <w:tcW w:w="16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E61C4" w14:textId="77777777" w:rsidR="006B10D9" w:rsidRDefault="00BE6472">
            <w:pPr>
              <w:widowControl/>
              <w:snapToGrid w:val="0"/>
              <w:spacing w:before="100" w:line="312" w:lineRule="auto"/>
              <w:ind w:firstLineChars="0" w:firstLine="0"/>
              <w:textAlignment w:val="center"/>
              <w:rPr>
                <w:rFonts w:eastAsia="宋体"/>
                <w:color w:val="000000"/>
                <w:sz w:val="21"/>
                <w:szCs w:val="21"/>
              </w:rPr>
            </w:pPr>
            <w:r>
              <w:rPr>
                <w:rFonts w:eastAsia="宋体" w:hint="eastAsia"/>
                <w:color w:val="000000"/>
                <w:sz w:val="21"/>
                <w:szCs w:val="21"/>
              </w:rPr>
              <w:t>WEO</w:t>
            </w:r>
            <w:r>
              <w:rPr>
                <w:rFonts w:eastAsia="宋体" w:hint="eastAsia"/>
                <w:color w:val="000000"/>
                <w:sz w:val="21"/>
                <w:szCs w:val="21"/>
              </w:rPr>
              <w:t>、</w:t>
            </w:r>
            <w:r>
              <w:rPr>
                <w:rFonts w:eastAsia="宋体" w:hint="eastAsia"/>
                <w:color w:val="000000"/>
                <w:sz w:val="21"/>
                <w:szCs w:val="21"/>
              </w:rPr>
              <w:t>EIU</w:t>
            </w:r>
            <w:r>
              <w:rPr>
                <w:rFonts w:eastAsia="宋体" w:hint="eastAsia"/>
                <w:color w:val="000000"/>
                <w:sz w:val="21"/>
                <w:szCs w:val="21"/>
              </w:rPr>
              <w:t>、</w:t>
            </w:r>
            <w:r>
              <w:rPr>
                <w:rFonts w:eastAsia="宋体" w:hint="eastAsia"/>
                <w:color w:val="000000"/>
                <w:sz w:val="21"/>
                <w:szCs w:val="21"/>
              </w:rPr>
              <w:t>WDI</w:t>
            </w:r>
            <w:r>
              <w:rPr>
                <w:rFonts w:eastAsia="宋体" w:hint="eastAsia"/>
                <w:color w:val="000000"/>
                <w:sz w:val="21"/>
                <w:szCs w:val="21"/>
              </w:rPr>
              <w:t>、</w:t>
            </w:r>
            <w:r>
              <w:rPr>
                <w:rFonts w:eastAsia="宋体" w:hint="eastAsia"/>
                <w:color w:val="000000"/>
                <w:sz w:val="21"/>
                <w:szCs w:val="21"/>
              </w:rPr>
              <w:t>CEIC</w:t>
            </w:r>
          </w:p>
        </w:tc>
      </w:tr>
    </w:tbl>
    <w:p w14:paraId="04C8DE69" w14:textId="77777777" w:rsidR="006B10D9" w:rsidRDefault="006B10D9">
      <w:pPr>
        <w:pStyle w:val="afffb"/>
      </w:pPr>
    </w:p>
    <w:p w14:paraId="29090EF4" w14:textId="77777777" w:rsidR="006B10D9" w:rsidRDefault="00BE6472">
      <w:pPr>
        <w:pStyle w:val="4"/>
      </w:pPr>
      <w:bookmarkStart w:id="51" w:name="_Toc6819"/>
      <w:r>
        <w:rPr>
          <w:rFonts w:hint="eastAsia"/>
        </w:rPr>
        <w:t>2</w:t>
      </w:r>
      <w:r>
        <w:rPr>
          <w:rFonts w:cs="华文楷体" w:hint="eastAsia"/>
        </w:rPr>
        <w:t>.</w:t>
      </w:r>
      <w:r>
        <w:rPr>
          <w:rFonts w:hint="eastAsia"/>
        </w:rPr>
        <w:t>社会环境指标</w:t>
      </w:r>
      <w:bookmarkEnd w:id="51"/>
    </w:p>
    <w:p w14:paraId="5B8F71F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社会环境指标主要涵盖影响中国企业海外投资的社会风险因素，包含</w:t>
      </w:r>
      <w:r>
        <w:rPr>
          <w:rFonts w:eastAsia="宋体" w:cs="Times New Roman" w:hint="eastAsia"/>
          <w:sz w:val="24"/>
          <w:szCs w:val="24"/>
        </w:rPr>
        <w:t>4</w:t>
      </w:r>
      <w:r>
        <w:rPr>
          <w:rFonts w:eastAsia="宋体" w:cs="Times New Roman" w:hint="eastAsia"/>
          <w:sz w:val="24"/>
          <w:szCs w:val="24"/>
        </w:rPr>
        <w:t>个二级指标（见表</w:t>
      </w:r>
      <w:r>
        <w:rPr>
          <w:rFonts w:eastAsia="宋体" w:cs="Times New Roman" w:hint="eastAsia"/>
          <w:sz w:val="24"/>
          <w:szCs w:val="24"/>
        </w:rPr>
        <w:t>4</w:t>
      </w:r>
      <w:r>
        <w:rPr>
          <w:rFonts w:eastAsia="宋体" w:cs="Times New Roman" w:hint="eastAsia"/>
          <w:sz w:val="24"/>
          <w:szCs w:val="24"/>
        </w:rPr>
        <w:t>）。其中，教育水平衡量一国基本的劳动力素质；社会安全（犯罪率）衡量一国的内部冲突程度和社会安全；资本和人员流动限制反映一国允许国内外投资企业开展经营的营商环境。从国际金融组织制定的指标评价标准来看，一国劳动力受教育的程度越高、社会安全和营商环境越好，外资企业的投资风险就越小。</w:t>
      </w:r>
    </w:p>
    <w:p w14:paraId="29131972" w14:textId="77777777" w:rsidR="006B10D9" w:rsidRDefault="00BE6472">
      <w:pPr>
        <w:pStyle w:val="affd"/>
      </w:pPr>
      <w:r>
        <w:rPr>
          <w:rFonts w:hint="eastAsia"/>
        </w:rPr>
        <w:t>表</w:t>
      </w:r>
      <w:r>
        <w:rPr>
          <w:rFonts w:hint="eastAsia"/>
        </w:rPr>
        <w:t xml:space="preserve">4  </w:t>
      </w:r>
      <w:r>
        <w:rPr>
          <w:rFonts w:hint="eastAsia"/>
        </w:rPr>
        <w:t>社会环境衡量指标</w:t>
      </w:r>
    </w:p>
    <w:tbl>
      <w:tblPr>
        <w:tblW w:w="8148" w:type="dxa"/>
        <w:jc w:val="center"/>
        <w:tblLayout w:type="fixed"/>
        <w:tblLook w:val="04A0" w:firstRow="1" w:lastRow="0" w:firstColumn="1" w:lastColumn="0" w:noHBand="0" w:noVBand="1"/>
      </w:tblPr>
      <w:tblGrid>
        <w:gridCol w:w="2496"/>
        <w:gridCol w:w="3408"/>
        <w:gridCol w:w="2244"/>
      </w:tblGrid>
      <w:tr w:rsidR="006B10D9" w14:paraId="34AB8707" w14:textId="77777777">
        <w:trPr>
          <w:trHeight w:val="458"/>
          <w:jc w:val="center"/>
        </w:trPr>
        <w:tc>
          <w:tcPr>
            <w:tcW w:w="2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3FDA8"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w:t>
            </w:r>
          </w:p>
        </w:tc>
        <w:tc>
          <w:tcPr>
            <w:tcW w:w="3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0EAA"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指标说明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A7A87"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rPr>
            </w:pPr>
            <w:r>
              <w:rPr>
                <w:rFonts w:eastAsia="宋体" w:hint="eastAsia"/>
                <w:b/>
                <w:bCs/>
                <w:color w:val="000000"/>
                <w:sz w:val="21"/>
                <w:szCs w:val="21"/>
              </w:rPr>
              <w:t>数据来源</w:t>
            </w:r>
          </w:p>
        </w:tc>
      </w:tr>
      <w:tr w:rsidR="006B10D9" w14:paraId="2F712482" w14:textId="77777777">
        <w:trPr>
          <w:trHeight w:val="458"/>
          <w:jc w:val="center"/>
        </w:trPr>
        <w:tc>
          <w:tcPr>
            <w:tcW w:w="2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E64B"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资本和人员流动限制</w:t>
            </w:r>
          </w:p>
        </w:tc>
        <w:tc>
          <w:tcPr>
            <w:tcW w:w="3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AA16A"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对资本和人员流动的限制</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F3501"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EFW</w:t>
            </w:r>
          </w:p>
        </w:tc>
      </w:tr>
      <w:tr w:rsidR="006B10D9" w14:paraId="22E43FD4" w14:textId="77777777">
        <w:trPr>
          <w:trHeight w:val="458"/>
          <w:jc w:val="center"/>
        </w:trPr>
        <w:tc>
          <w:tcPr>
            <w:tcW w:w="2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24B19"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教育水平</w:t>
            </w:r>
          </w:p>
        </w:tc>
        <w:tc>
          <w:tcPr>
            <w:tcW w:w="3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7B694"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学校入学率和文盲率</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423F4"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BTI</w:t>
            </w:r>
          </w:p>
        </w:tc>
      </w:tr>
      <w:tr w:rsidR="006B10D9" w14:paraId="5760D9A2" w14:textId="77777777">
        <w:trPr>
          <w:trHeight w:val="458"/>
          <w:jc w:val="center"/>
        </w:trPr>
        <w:tc>
          <w:tcPr>
            <w:tcW w:w="2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68FB"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社会安全</w:t>
            </w:r>
          </w:p>
        </w:tc>
        <w:tc>
          <w:tcPr>
            <w:tcW w:w="3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2B2A"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每十万人被谋杀数，反映社会治安状况</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DD1F"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UNODC</w:t>
            </w:r>
          </w:p>
        </w:tc>
      </w:tr>
      <w:tr w:rsidR="006B10D9" w14:paraId="761EFE6B" w14:textId="77777777">
        <w:trPr>
          <w:trHeight w:val="458"/>
          <w:jc w:val="center"/>
        </w:trPr>
        <w:tc>
          <w:tcPr>
            <w:tcW w:w="2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A00DB"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其他投资风险</w:t>
            </w:r>
          </w:p>
        </w:tc>
        <w:tc>
          <w:tcPr>
            <w:tcW w:w="34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FA5B3"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除政治、经济、金融风险外的其他投资风险</w:t>
            </w:r>
          </w:p>
        </w:tc>
        <w:tc>
          <w:tcPr>
            <w:tcW w:w="22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4C38E" w14:textId="77777777" w:rsidR="006B10D9" w:rsidRDefault="00BE6472">
            <w:pPr>
              <w:widowControl/>
              <w:snapToGrid w:val="0"/>
              <w:spacing w:before="100" w:line="312" w:lineRule="auto"/>
              <w:ind w:firstLineChars="0" w:firstLine="0"/>
              <w:textAlignment w:val="center"/>
              <w:rPr>
                <w:rFonts w:eastAsia="宋体"/>
                <w:color w:val="000000"/>
                <w:sz w:val="21"/>
                <w:szCs w:val="21"/>
                <w:lang w:bidi="ar"/>
              </w:rPr>
            </w:pPr>
            <w:r>
              <w:rPr>
                <w:rFonts w:eastAsia="宋体" w:hint="eastAsia"/>
                <w:color w:val="000000"/>
                <w:sz w:val="21"/>
                <w:szCs w:val="21"/>
                <w:lang w:bidi="ar"/>
              </w:rPr>
              <w:t>IGRG</w:t>
            </w:r>
          </w:p>
        </w:tc>
      </w:tr>
    </w:tbl>
    <w:p w14:paraId="1E1334ED" w14:textId="77777777" w:rsidR="006B10D9" w:rsidRDefault="006B10D9">
      <w:pPr>
        <w:pStyle w:val="afffb"/>
      </w:pPr>
      <w:bookmarkStart w:id="52" w:name="_Toc27948"/>
    </w:p>
    <w:p w14:paraId="61E22ADB" w14:textId="77777777" w:rsidR="006B10D9" w:rsidRDefault="00BE6472">
      <w:pPr>
        <w:pStyle w:val="4"/>
      </w:pPr>
      <w:r>
        <w:rPr>
          <w:rFonts w:hint="eastAsia"/>
        </w:rPr>
        <w:t>3</w:t>
      </w:r>
      <w:r>
        <w:rPr>
          <w:rFonts w:cs="华文楷体" w:hint="eastAsia"/>
        </w:rPr>
        <w:t>.</w:t>
      </w:r>
      <w:r>
        <w:rPr>
          <w:rFonts w:hint="eastAsia"/>
        </w:rPr>
        <w:t>政治风险指标</w:t>
      </w:r>
      <w:bookmarkEnd w:id="52"/>
    </w:p>
    <w:p w14:paraId="3C930DB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政治风险是指因投资者所在国或东道国政治环境发生变化、东道国政局不稳定、政策法规发生变化给投资企业带来经济损失的可能性。东道国政治状况的稳定性是企业海外投资的重要保障。政治风险指标包含</w:t>
      </w:r>
      <w:r>
        <w:rPr>
          <w:rFonts w:eastAsia="宋体" w:cs="Times New Roman" w:hint="eastAsia"/>
          <w:sz w:val="24"/>
          <w:szCs w:val="24"/>
        </w:rPr>
        <w:t>6</w:t>
      </w:r>
      <w:r>
        <w:rPr>
          <w:rFonts w:eastAsia="宋体" w:cs="Times New Roman" w:hint="eastAsia"/>
          <w:sz w:val="24"/>
          <w:szCs w:val="24"/>
        </w:rPr>
        <w:t>个二级指标（见表</w:t>
      </w:r>
      <w:r>
        <w:rPr>
          <w:rFonts w:eastAsia="宋体" w:cs="Times New Roman" w:hint="eastAsia"/>
          <w:sz w:val="24"/>
          <w:szCs w:val="24"/>
        </w:rPr>
        <w:t>5</w:t>
      </w:r>
      <w:r>
        <w:rPr>
          <w:rFonts w:eastAsia="宋体" w:cs="Times New Roman" w:hint="eastAsia"/>
          <w:sz w:val="24"/>
          <w:szCs w:val="24"/>
        </w:rPr>
        <w:t>）。</w:t>
      </w:r>
    </w:p>
    <w:p w14:paraId="70811BFC" w14:textId="77777777" w:rsidR="006B10D9" w:rsidRDefault="00BE6472">
      <w:pPr>
        <w:pStyle w:val="affd"/>
        <w:rPr>
          <w:szCs w:val="24"/>
        </w:rPr>
      </w:pPr>
      <w:r>
        <w:rPr>
          <w:rFonts w:hint="eastAsia"/>
        </w:rPr>
        <w:t>表</w:t>
      </w:r>
      <w:r>
        <w:rPr>
          <w:rFonts w:hint="eastAsia"/>
        </w:rPr>
        <w:t xml:space="preserve">5  </w:t>
      </w:r>
      <w:r>
        <w:rPr>
          <w:rFonts w:hint="eastAsia"/>
        </w:rPr>
        <w:t>政治风险衡量指标</w:t>
      </w:r>
      <w:r>
        <w:rPr>
          <w:rFonts w:hint="eastAsia"/>
          <w:szCs w:val="24"/>
          <w:vertAlign w:val="superscript"/>
        </w:rPr>
        <w:t>[</w:t>
      </w:r>
      <w:r>
        <w:rPr>
          <w:rFonts w:hint="eastAsia"/>
          <w:szCs w:val="24"/>
          <w:vertAlign w:val="superscript"/>
        </w:rPr>
        <w:footnoteReference w:id="22"/>
      </w:r>
      <w:r>
        <w:rPr>
          <w:rFonts w:hint="eastAsia"/>
          <w:szCs w:val="24"/>
          <w:vertAlign w:val="superscript"/>
        </w:rPr>
        <w:t>]</w:t>
      </w:r>
    </w:p>
    <w:tbl>
      <w:tblPr>
        <w:tblW w:w="8450" w:type="dxa"/>
        <w:jc w:val="center"/>
        <w:tblLayout w:type="fixed"/>
        <w:tblLook w:val="04A0" w:firstRow="1" w:lastRow="0" w:firstColumn="1" w:lastColumn="0" w:noHBand="0" w:noVBand="1"/>
      </w:tblPr>
      <w:tblGrid>
        <w:gridCol w:w="2482"/>
        <w:gridCol w:w="3933"/>
        <w:gridCol w:w="2035"/>
      </w:tblGrid>
      <w:tr w:rsidR="006B10D9" w14:paraId="7D37491B"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B86D6"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095FC"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指标说明</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6C102"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数据来源</w:t>
            </w:r>
          </w:p>
        </w:tc>
      </w:tr>
      <w:tr w:rsidR="006B10D9" w14:paraId="53C01062"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C99C7"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腐败控制</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42A2"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政治体系的腐败程度</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046F"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ICRG</w:t>
            </w:r>
          </w:p>
        </w:tc>
      </w:tr>
      <w:tr w:rsidR="006B10D9" w14:paraId="661207A7"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15553"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政治稳定</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2FCD7"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政权稳定性</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A739C"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ICRG</w:t>
            </w:r>
          </w:p>
        </w:tc>
      </w:tr>
      <w:tr w:rsidR="006B10D9" w14:paraId="0D083BE8"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C85A8"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政府效力</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05EC3"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政府政策承诺的可信度</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04BC9"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WGI</w:t>
            </w:r>
          </w:p>
        </w:tc>
      </w:tr>
      <w:tr w:rsidR="006B10D9" w14:paraId="01F0DB3D"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EFD9D"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lastRenderedPageBreak/>
              <w:t>外部冲突</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2AB4"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国外的行为对在位政府带来的风险</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71DDA"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ICRG</w:t>
            </w:r>
          </w:p>
        </w:tc>
      </w:tr>
      <w:tr w:rsidR="006B10D9" w14:paraId="45DE772A"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758A1"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法制</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FC512"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履约质量和产权保护</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8374D"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WGI</w:t>
            </w:r>
          </w:p>
        </w:tc>
      </w:tr>
      <w:tr w:rsidR="006B10D9" w14:paraId="4F36E870" w14:textId="77777777">
        <w:trPr>
          <w:trHeight w:val="465"/>
          <w:jc w:val="center"/>
        </w:trPr>
        <w:tc>
          <w:tcPr>
            <w:tcW w:w="24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5935"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问责制</w:t>
            </w:r>
          </w:p>
        </w:tc>
        <w:tc>
          <w:tcPr>
            <w:tcW w:w="39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FCA7"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政府对民众诉求的回应</w:t>
            </w:r>
          </w:p>
        </w:tc>
        <w:tc>
          <w:tcPr>
            <w:tcW w:w="2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6791"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ICRG</w:t>
            </w:r>
          </w:p>
        </w:tc>
      </w:tr>
    </w:tbl>
    <w:p w14:paraId="087FE477" w14:textId="77777777" w:rsidR="006B10D9" w:rsidRDefault="006B10D9">
      <w:pPr>
        <w:pStyle w:val="afffb"/>
      </w:pPr>
      <w:bookmarkStart w:id="53" w:name="_Toc21329"/>
    </w:p>
    <w:p w14:paraId="2D6C5032" w14:textId="77777777" w:rsidR="006B10D9" w:rsidRDefault="00BE6472">
      <w:pPr>
        <w:pStyle w:val="4"/>
      </w:pPr>
      <w:r>
        <w:rPr>
          <w:rFonts w:hint="eastAsia"/>
        </w:rPr>
        <w:t>4</w:t>
      </w:r>
      <w:r>
        <w:rPr>
          <w:rFonts w:cs="华文楷体" w:hint="eastAsia"/>
        </w:rPr>
        <w:t>.</w:t>
      </w:r>
      <w:r>
        <w:rPr>
          <w:rFonts w:hint="eastAsia"/>
        </w:rPr>
        <w:t>债务风险指标</w:t>
      </w:r>
      <w:bookmarkEnd w:id="53"/>
    </w:p>
    <w:p w14:paraId="2F4D530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债务风险</w:t>
      </w:r>
      <w:r>
        <w:rPr>
          <w:rFonts w:eastAsia="宋体" w:cs="Times New Roman"/>
          <w:sz w:val="24"/>
          <w:szCs w:val="24"/>
        </w:rPr>
        <w:t>指标衡量了一国公共部门和私人部门的债务动态和偿债能力。如果一国爆发债务危机，包括直接投资和财务投资在内的投资安全都会受到影响</w:t>
      </w:r>
      <w:r>
        <w:rPr>
          <w:rFonts w:eastAsia="宋体" w:cs="Times New Roman" w:hint="eastAsia"/>
          <w:sz w:val="24"/>
          <w:szCs w:val="24"/>
        </w:rPr>
        <w:t>。其中，公共债务</w:t>
      </w:r>
      <w:r>
        <w:rPr>
          <w:rFonts w:eastAsia="宋体" w:cs="Times New Roman"/>
          <w:sz w:val="24"/>
          <w:szCs w:val="24"/>
        </w:rPr>
        <w:t>占</w:t>
      </w:r>
      <w:r>
        <w:rPr>
          <w:rFonts w:eastAsia="宋体" w:cs="Times New Roman"/>
          <w:sz w:val="24"/>
          <w:szCs w:val="24"/>
        </w:rPr>
        <w:t xml:space="preserve"> </w:t>
      </w:r>
      <w:r>
        <w:rPr>
          <w:rFonts w:eastAsia="宋体" w:cs="Times New Roman" w:hint="eastAsia"/>
          <w:sz w:val="24"/>
          <w:szCs w:val="24"/>
        </w:rPr>
        <w:t>G</w:t>
      </w:r>
      <w:r>
        <w:rPr>
          <w:rFonts w:eastAsia="宋体" w:cs="Times New Roman"/>
          <w:sz w:val="24"/>
          <w:szCs w:val="24"/>
        </w:rPr>
        <w:t xml:space="preserve">DP </w:t>
      </w:r>
      <w:r>
        <w:rPr>
          <w:rFonts w:eastAsia="宋体" w:cs="Times New Roman"/>
          <w:sz w:val="24"/>
          <w:szCs w:val="24"/>
        </w:rPr>
        <w:t>比重主要用于衡量一国国内公共部门的债务水平；外债占</w:t>
      </w:r>
      <w:r>
        <w:rPr>
          <w:rFonts w:eastAsia="宋体" w:cs="Times New Roman"/>
          <w:sz w:val="24"/>
          <w:szCs w:val="24"/>
        </w:rPr>
        <w:t xml:space="preserve"> </w:t>
      </w:r>
      <w:r>
        <w:rPr>
          <w:rFonts w:eastAsia="宋体" w:cs="Times New Roman" w:hint="eastAsia"/>
          <w:sz w:val="24"/>
          <w:szCs w:val="24"/>
        </w:rPr>
        <w:t>G</w:t>
      </w:r>
      <w:r>
        <w:rPr>
          <w:rFonts w:eastAsia="宋体" w:cs="Times New Roman"/>
          <w:sz w:val="24"/>
          <w:szCs w:val="24"/>
        </w:rPr>
        <w:t xml:space="preserve">DP </w:t>
      </w:r>
      <w:r>
        <w:rPr>
          <w:rFonts w:eastAsia="宋体" w:cs="Times New Roman"/>
          <w:sz w:val="24"/>
          <w:szCs w:val="24"/>
        </w:rPr>
        <w:t>比重和短期外债占总外债比重衡量了一国的外债规模和短期内爆发偿债危机的风险；财政余额占</w:t>
      </w:r>
      <w:r>
        <w:rPr>
          <w:rFonts w:eastAsia="宋体" w:cs="Times New Roman"/>
          <w:sz w:val="24"/>
          <w:szCs w:val="24"/>
        </w:rPr>
        <w:t xml:space="preserve"> CDP </w:t>
      </w:r>
      <w:r>
        <w:rPr>
          <w:rFonts w:eastAsia="宋体" w:cs="Times New Roman"/>
          <w:sz w:val="24"/>
          <w:szCs w:val="24"/>
        </w:rPr>
        <w:t>比重衡量了一国的财政实力</w:t>
      </w:r>
      <w:r>
        <w:rPr>
          <w:rFonts w:eastAsia="宋体" w:cs="Times New Roman" w:hint="eastAsia"/>
          <w:sz w:val="24"/>
          <w:szCs w:val="24"/>
        </w:rPr>
        <w:t>（见表</w:t>
      </w:r>
      <w:r>
        <w:rPr>
          <w:rFonts w:eastAsia="宋体" w:cs="Times New Roman" w:hint="eastAsia"/>
          <w:sz w:val="24"/>
          <w:szCs w:val="24"/>
        </w:rPr>
        <w:t>6</w:t>
      </w:r>
      <w:r>
        <w:rPr>
          <w:rFonts w:eastAsia="宋体" w:cs="Times New Roman" w:hint="eastAsia"/>
          <w:sz w:val="24"/>
          <w:szCs w:val="24"/>
        </w:rPr>
        <w:t>）</w:t>
      </w:r>
      <w:r>
        <w:rPr>
          <w:rFonts w:eastAsia="宋体" w:cs="Times New Roman"/>
          <w:sz w:val="24"/>
          <w:szCs w:val="24"/>
        </w:rPr>
        <w:t>。</w:t>
      </w:r>
    </w:p>
    <w:p w14:paraId="4476E43F" w14:textId="77777777" w:rsidR="006B10D9" w:rsidRDefault="00BE6472">
      <w:pPr>
        <w:pStyle w:val="affd"/>
      </w:pPr>
      <w:r>
        <w:rPr>
          <w:rFonts w:hint="eastAsia"/>
        </w:rPr>
        <w:t>表</w:t>
      </w:r>
      <w:r>
        <w:rPr>
          <w:rFonts w:hint="eastAsia"/>
        </w:rPr>
        <w:t xml:space="preserve">6  </w:t>
      </w:r>
      <w:r>
        <w:rPr>
          <w:rFonts w:hint="eastAsia"/>
        </w:rPr>
        <w:t>债务风险衡量指标</w:t>
      </w:r>
    </w:p>
    <w:tbl>
      <w:tblPr>
        <w:tblW w:w="8207" w:type="dxa"/>
        <w:jc w:val="center"/>
        <w:tblLayout w:type="fixed"/>
        <w:tblLook w:val="04A0" w:firstRow="1" w:lastRow="0" w:firstColumn="1" w:lastColumn="0" w:noHBand="0" w:noVBand="1"/>
      </w:tblPr>
      <w:tblGrid>
        <w:gridCol w:w="2514"/>
        <w:gridCol w:w="3890"/>
        <w:gridCol w:w="1803"/>
      </w:tblGrid>
      <w:tr w:rsidR="006B10D9" w14:paraId="423ACC21" w14:textId="77777777">
        <w:trPr>
          <w:trHeight w:val="490"/>
          <w:jc w:val="center"/>
        </w:trPr>
        <w:tc>
          <w:tcPr>
            <w:tcW w:w="2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2147" w14:textId="77777777" w:rsidR="006B10D9" w:rsidRDefault="00BE6472">
            <w:pPr>
              <w:widowControl/>
              <w:spacing w:line="360" w:lineRule="auto"/>
              <w:ind w:firstLineChars="0" w:firstLine="0"/>
              <w:jc w:val="center"/>
              <w:textAlignment w:val="center"/>
              <w:rPr>
                <w:rFonts w:eastAsia="宋体" w:cs="Times New Roman"/>
                <w:b/>
                <w:bCs/>
                <w:color w:val="000000"/>
                <w:sz w:val="21"/>
                <w:szCs w:val="21"/>
                <w:lang w:bidi="ar"/>
              </w:rPr>
            </w:pPr>
            <w:r>
              <w:rPr>
                <w:rFonts w:eastAsia="宋体" w:cs="Times New Roman" w:hint="eastAsia"/>
                <w:b/>
                <w:bCs/>
                <w:color w:val="000000"/>
                <w:sz w:val="21"/>
                <w:szCs w:val="21"/>
                <w:lang w:bidi="ar"/>
              </w:rPr>
              <w:t>指标</w:t>
            </w:r>
          </w:p>
        </w:tc>
        <w:tc>
          <w:tcPr>
            <w:tcW w:w="3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C52D8" w14:textId="77777777" w:rsidR="006B10D9" w:rsidRDefault="00BE6472">
            <w:pPr>
              <w:widowControl/>
              <w:spacing w:line="360" w:lineRule="auto"/>
              <w:ind w:firstLineChars="0" w:firstLine="0"/>
              <w:jc w:val="center"/>
              <w:textAlignment w:val="center"/>
              <w:rPr>
                <w:rFonts w:eastAsia="宋体" w:cs="Times New Roman"/>
                <w:b/>
                <w:bCs/>
                <w:color w:val="000000"/>
                <w:sz w:val="21"/>
                <w:szCs w:val="21"/>
                <w:lang w:bidi="ar"/>
              </w:rPr>
            </w:pPr>
            <w:r>
              <w:rPr>
                <w:rFonts w:eastAsia="宋体" w:cs="Times New Roman" w:hint="eastAsia"/>
                <w:b/>
                <w:bCs/>
                <w:color w:val="000000"/>
                <w:sz w:val="21"/>
                <w:szCs w:val="21"/>
                <w:lang w:bidi="ar"/>
              </w:rPr>
              <w:t>指标说明</w:t>
            </w:r>
          </w:p>
        </w:tc>
        <w:tc>
          <w:tcPr>
            <w:tcW w:w="18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30F32" w14:textId="77777777" w:rsidR="006B10D9" w:rsidRDefault="00BE6472">
            <w:pPr>
              <w:widowControl/>
              <w:spacing w:line="360" w:lineRule="auto"/>
              <w:ind w:firstLineChars="0" w:firstLine="0"/>
              <w:jc w:val="center"/>
              <w:textAlignment w:val="center"/>
              <w:rPr>
                <w:rFonts w:eastAsia="宋体" w:cs="Times New Roman"/>
                <w:b/>
                <w:bCs/>
                <w:color w:val="000000"/>
                <w:sz w:val="21"/>
                <w:szCs w:val="21"/>
              </w:rPr>
            </w:pPr>
            <w:r>
              <w:rPr>
                <w:rFonts w:eastAsia="宋体" w:cs="Times New Roman" w:hint="eastAsia"/>
                <w:b/>
                <w:bCs/>
                <w:color w:val="000000"/>
                <w:sz w:val="21"/>
                <w:szCs w:val="21"/>
              </w:rPr>
              <w:t>数据来源</w:t>
            </w:r>
          </w:p>
        </w:tc>
      </w:tr>
      <w:tr w:rsidR="006B10D9" w14:paraId="360E100D" w14:textId="77777777">
        <w:trPr>
          <w:trHeight w:val="490"/>
          <w:jc w:val="center"/>
        </w:trPr>
        <w:tc>
          <w:tcPr>
            <w:tcW w:w="2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5D518"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公共债务</w:t>
            </w:r>
            <w:r>
              <w:rPr>
                <w:rFonts w:eastAsia="宋体" w:hint="eastAsia"/>
                <w:bCs/>
                <w:color w:val="000000"/>
                <w:sz w:val="21"/>
                <w:szCs w:val="21"/>
                <w:lang w:bidi="ar"/>
              </w:rPr>
              <w:t>/GDP</w:t>
            </w:r>
          </w:p>
        </w:tc>
        <w:tc>
          <w:tcPr>
            <w:tcW w:w="3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CE205"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各级政府总债务</w:t>
            </w:r>
            <w:r>
              <w:rPr>
                <w:rFonts w:eastAsia="宋体" w:hint="eastAsia"/>
                <w:bCs/>
                <w:color w:val="000000"/>
                <w:sz w:val="21"/>
                <w:szCs w:val="21"/>
                <w:lang w:bidi="ar"/>
              </w:rPr>
              <w:t>/GDP</w:t>
            </w:r>
          </w:p>
        </w:tc>
        <w:tc>
          <w:tcPr>
            <w:tcW w:w="18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7ADAA"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WEO</w:t>
            </w:r>
            <w:r>
              <w:rPr>
                <w:rFonts w:eastAsia="宋体" w:hint="eastAsia"/>
                <w:bCs/>
                <w:color w:val="000000"/>
                <w:sz w:val="21"/>
                <w:szCs w:val="21"/>
                <w:lang w:bidi="ar"/>
              </w:rPr>
              <w:t>、</w:t>
            </w:r>
            <w:r>
              <w:rPr>
                <w:rFonts w:eastAsia="宋体" w:hint="eastAsia"/>
                <w:bCs/>
                <w:color w:val="000000"/>
                <w:sz w:val="21"/>
                <w:szCs w:val="21"/>
                <w:lang w:bidi="ar"/>
              </w:rPr>
              <w:t>WDI</w:t>
            </w:r>
          </w:p>
        </w:tc>
      </w:tr>
      <w:tr w:rsidR="006B10D9" w14:paraId="5017BF05" w14:textId="77777777">
        <w:trPr>
          <w:trHeight w:val="490"/>
          <w:jc w:val="center"/>
        </w:trPr>
        <w:tc>
          <w:tcPr>
            <w:tcW w:w="2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8C87"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外债</w:t>
            </w:r>
            <w:r>
              <w:rPr>
                <w:rFonts w:eastAsia="宋体" w:hint="eastAsia"/>
                <w:bCs/>
                <w:color w:val="000000"/>
                <w:sz w:val="21"/>
                <w:szCs w:val="21"/>
                <w:lang w:bidi="ar"/>
              </w:rPr>
              <w:t>/GDP</w:t>
            </w:r>
          </w:p>
        </w:tc>
        <w:tc>
          <w:tcPr>
            <w:tcW w:w="3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DEDA9"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年末外债余额</w:t>
            </w:r>
            <w:r>
              <w:rPr>
                <w:rFonts w:eastAsia="宋体" w:hint="eastAsia"/>
                <w:bCs/>
                <w:color w:val="000000"/>
                <w:sz w:val="21"/>
                <w:szCs w:val="21"/>
                <w:lang w:bidi="ar"/>
              </w:rPr>
              <w:t>/GDP</w:t>
            </w:r>
          </w:p>
        </w:tc>
        <w:tc>
          <w:tcPr>
            <w:tcW w:w="18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34555"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WDI</w:t>
            </w:r>
            <w:r>
              <w:rPr>
                <w:rFonts w:eastAsia="宋体" w:hint="eastAsia"/>
                <w:bCs/>
                <w:color w:val="000000"/>
                <w:sz w:val="21"/>
                <w:szCs w:val="21"/>
                <w:lang w:bidi="ar"/>
              </w:rPr>
              <w:t>、</w:t>
            </w:r>
            <w:r>
              <w:rPr>
                <w:rFonts w:eastAsia="宋体" w:hint="eastAsia"/>
                <w:bCs/>
                <w:color w:val="000000"/>
                <w:sz w:val="21"/>
                <w:szCs w:val="21"/>
                <w:lang w:bidi="ar"/>
              </w:rPr>
              <w:t>QEDS</w:t>
            </w:r>
          </w:p>
        </w:tc>
      </w:tr>
      <w:tr w:rsidR="006B10D9" w14:paraId="2F1D8815" w14:textId="77777777">
        <w:trPr>
          <w:trHeight w:val="490"/>
          <w:jc w:val="center"/>
        </w:trPr>
        <w:tc>
          <w:tcPr>
            <w:tcW w:w="2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80772"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短期外债</w:t>
            </w:r>
            <w:r>
              <w:rPr>
                <w:rFonts w:eastAsia="宋体" w:hint="eastAsia"/>
                <w:bCs/>
                <w:color w:val="000000"/>
                <w:sz w:val="21"/>
                <w:szCs w:val="21"/>
                <w:lang w:bidi="ar"/>
              </w:rPr>
              <w:t>/</w:t>
            </w:r>
            <w:r>
              <w:rPr>
                <w:rFonts w:eastAsia="宋体" w:hint="eastAsia"/>
                <w:bCs/>
                <w:color w:val="000000"/>
                <w:sz w:val="21"/>
                <w:szCs w:val="21"/>
                <w:lang w:bidi="ar"/>
              </w:rPr>
              <w:t>总外债</w:t>
            </w:r>
          </w:p>
        </w:tc>
        <w:tc>
          <w:tcPr>
            <w:tcW w:w="3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27814"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短期外债指期限在一年及以下债务</w:t>
            </w:r>
          </w:p>
        </w:tc>
        <w:tc>
          <w:tcPr>
            <w:tcW w:w="18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850A"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WDI</w:t>
            </w:r>
            <w:r>
              <w:rPr>
                <w:rFonts w:eastAsia="宋体" w:hint="eastAsia"/>
                <w:bCs/>
                <w:color w:val="000000"/>
                <w:sz w:val="21"/>
                <w:szCs w:val="21"/>
                <w:lang w:bidi="ar"/>
              </w:rPr>
              <w:t>、</w:t>
            </w:r>
            <w:r>
              <w:rPr>
                <w:rFonts w:eastAsia="宋体" w:hint="eastAsia"/>
                <w:bCs/>
                <w:color w:val="000000"/>
                <w:sz w:val="21"/>
                <w:szCs w:val="21"/>
                <w:lang w:bidi="ar"/>
              </w:rPr>
              <w:t>QEDS</w:t>
            </w:r>
          </w:p>
        </w:tc>
      </w:tr>
      <w:tr w:rsidR="006B10D9" w14:paraId="0861041E" w14:textId="77777777">
        <w:trPr>
          <w:trHeight w:val="490"/>
          <w:jc w:val="center"/>
        </w:trPr>
        <w:tc>
          <w:tcPr>
            <w:tcW w:w="25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A50FE"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财政余额</w:t>
            </w:r>
            <w:r>
              <w:rPr>
                <w:rFonts w:eastAsia="宋体" w:hint="eastAsia"/>
                <w:bCs/>
                <w:color w:val="000000"/>
                <w:sz w:val="21"/>
                <w:szCs w:val="21"/>
                <w:lang w:bidi="ar"/>
              </w:rPr>
              <w:t>/GDP</w:t>
            </w:r>
          </w:p>
        </w:tc>
        <w:tc>
          <w:tcPr>
            <w:tcW w:w="38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1DF11"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财政余额</w:t>
            </w:r>
            <w:r>
              <w:rPr>
                <w:rFonts w:eastAsia="宋体" w:hint="eastAsia"/>
                <w:bCs/>
                <w:color w:val="000000"/>
                <w:sz w:val="21"/>
                <w:szCs w:val="21"/>
                <w:lang w:bidi="ar"/>
              </w:rPr>
              <w:t>=</w:t>
            </w:r>
            <w:r>
              <w:rPr>
                <w:rFonts w:eastAsia="宋体" w:hint="eastAsia"/>
                <w:bCs/>
                <w:color w:val="000000"/>
                <w:sz w:val="21"/>
                <w:szCs w:val="21"/>
                <w:lang w:bidi="ar"/>
              </w:rPr>
              <w:t>财政收入</w:t>
            </w:r>
            <w:r>
              <w:rPr>
                <w:rFonts w:eastAsia="宋体" w:hint="eastAsia"/>
                <w:bCs/>
                <w:color w:val="000000"/>
                <w:sz w:val="21"/>
                <w:szCs w:val="21"/>
                <w:lang w:bidi="ar"/>
              </w:rPr>
              <w:t>-</w:t>
            </w:r>
            <w:r>
              <w:rPr>
                <w:rFonts w:eastAsia="宋体" w:hint="eastAsia"/>
                <w:bCs/>
                <w:color w:val="000000"/>
                <w:sz w:val="21"/>
                <w:szCs w:val="21"/>
                <w:lang w:bidi="ar"/>
              </w:rPr>
              <w:t>财政支出</w:t>
            </w:r>
          </w:p>
        </w:tc>
        <w:tc>
          <w:tcPr>
            <w:tcW w:w="18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4AE5"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WEO</w:t>
            </w:r>
          </w:p>
        </w:tc>
      </w:tr>
    </w:tbl>
    <w:p w14:paraId="0CE7ACF9" w14:textId="77777777" w:rsidR="006B10D9" w:rsidRDefault="006B10D9">
      <w:pPr>
        <w:snapToGrid w:val="0"/>
        <w:spacing w:line="240" w:lineRule="auto"/>
        <w:ind w:firstLineChars="0" w:firstLine="0"/>
      </w:pPr>
      <w:bookmarkStart w:id="54" w:name="_Toc26005"/>
    </w:p>
    <w:p w14:paraId="2EE3772B" w14:textId="77777777" w:rsidR="006B10D9" w:rsidRDefault="00BE6472">
      <w:pPr>
        <w:pStyle w:val="4"/>
      </w:pPr>
      <w:r>
        <w:rPr>
          <w:rFonts w:hint="eastAsia"/>
        </w:rPr>
        <w:t>5</w:t>
      </w:r>
      <w:r>
        <w:rPr>
          <w:rFonts w:cs="华文楷体" w:hint="eastAsia"/>
        </w:rPr>
        <w:t>.</w:t>
      </w:r>
      <w:r>
        <w:rPr>
          <w:rFonts w:hint="eastAsia"/>
        </w:rPr>
        <w:t>双边关系指标</w:t>
      </w:r>
      <w:bookmarkEnd w:id="54"/>
    </w:p>
    <w:p w14:paraId="675F74A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双边关系指标</w:t>
      </w:r>
      <w:r>
        <w:rPr>
          <w:rFonts w:eastAsia="宋体" w:cs="Times New Roman"/>
          <w:sz w:val="24"/>
          <w:szCs w:val="24"/>
        </w:rPr>
        <w:t>主要用于衡量中国企业在东道国</w:t>
      </w:r>
      <w:r>
        <w:rPr>
          <w:rFonts w:eastAsia="宋体" w:cs="Times New Roman" w:hint="eastAsia"/>
          <w:sz w:val="24"/>
          <w:szCs w:val="24"/>
        </w:rPr>
        <w:t>面临的</w:t>
      </w:r>
      <w:r>
        <w:rPr>
          <w:rFonts w:eastAsia="宋体" w:cs="Times New Roman"/>
          <w:sz w:val="24"/>
          <w:szCs w:val="24"/>
        </w:rPr>
        <w:t>投资风险因素，如投资政策、投资通畅度和投资贸易依存度等</w:t>
      </w:r>
      <w:r>
        <w:rPr>
          <w:rFonts w:eastAsia="宋体" w:cs="Times New Roman" w:hint="eastAsia"/>
          <w:sz w:val="24"/>
          <w:szCs w:val="24"/>
        </w:rPr>
        <w:t>，良</w:t>
      </w:r>
      <w:r>
        <w:rPr>
          <w:rFonts w:eastAsia="宋体" w:cs="Times New Roman"/>
          <w:sz w:val="24"/>
          <w:szCs w:val="24"/>
        </w:rPr>
        <w:t>好的双边关系</w:t>
      </w:r>
      <w:r>
        <w:rPr>
          <w:rFonts w:eastAsia="宋体" w:cs="Times New Roman" w:hint="eastAsia"/>
          <w:sz w:val="24"/>
          <w:szCs w:val="24"/>
        </w:rPr>
        <w:t>有助于</w:t>
      </w:r>
      <w:r>
        <w:rPr>
          <w:rFonts w:eastAsia="宋体" w:cs="Times New Roman"/>
          <w:sz w:val="24"/>
          <w:szCs w:val="24"/>
        </w:rPr>
        <w:t>降低中国企业海外投资风险。双边关系包含</w:t>
      </w:r>
      <w:r>
        <w:rPr>
          <w:rFonts w:eastAsia="宋体" w:cs="Times New Roman" w:hint="eastAsia"/>
          <w:sz w:val="24"/>
          <w:szCs w:val="24"/>
        </w:rPr>
        <w:t>2</w:t>
      </w:r>
      <w:r>
        <w:rPr>
          <w:rFonts w:eastAsia="宋体" w:cs="Times New Roman"/>
          <w:sz w:val="24"/>
          <w:szCs w:val="24"/>
        </w:rPr>
        <w:t>个</w:t>
      </w:r>
      <w:r>
        <w:rPr>
          <w:rFonts w:eastAsia="宋体" w:cs="Times New Roman" w:hint="eastAsia"/>
          <w:sz w:val="24"/>
          <w:szCs w:val="24"/>
        </w:rPr>
        <w:t>二级</w:t>
      </w:r>
      <w:r>
        <w:rPr>
          <w:rFonts w:eastAsia="宋体" w:cs="Times New Roman"/>
          <w:sz w:val="24"/>
          <w:szCs w:val="24"/>
        </w:rPr>
        <w:t>指标</w:t>
      </w:r>
      <w:r>
        <w:rPr>
          <w:rFonts w:eastAsia="宋体" w:cs="Times New Roman" w:hint="eastAsia"/>
          <w:sz w:val="24"/>
          <w:szCs w:val="24"/>
        </w:rPr>
        <w:t>（见表</w:t>
      </w:r>
      <w:r>
        <w:rPr>
          <w:rFonts w:eastAsia="宋体" w:cs="Times New Roman" w:hint="eastAsia"/>
          <w:sz w:val="24"/>
          <w:szCs w:val="24"/>
        </w:rPr>
        <w:t>7</w:t>
      </w:r>
      <w:r>
        <w:rPr>
          <w:rFonts w:eastAsia="宋体" w:cs="Times New Roman" w:hint="eastAsia"/>
          <w:sz w:val="24"/>
          <w:szCs w:val="24"/>
        </w:rPr>
        <w:t>），</w:t>
      </w:r>
      <w:r>
        <w:rPr>
          <w:rFonts w:eastAsia="宋体" w:cs="Times New Roman"/>
          <w:sz w:val="24"/>
          <w:szCs w:val="24"/>
        </w:rPr>
        <w:t>其中，贸易依存度衡量了中国和一国双边贸易占该国贸易的比重，比重越高说明贸易依赖性越强</w:t>
      </w:r>
      <w:r>
        <w:rPr>
          <w:rFonts w:eastAsia="宋体" w:cs="Times New Roman" w:hint="eastAsia"/>
          <w:sz w:val="24"/>
          <w:szCs w:val="24"/>
        </w:rPr>
        <w:t>；双边贸易协定是指两国是否签订了双边投资协定，以及该协定是否已经生效；如已签订，则有助于降低中国企业在当地的投资风险。</w:t>
      </w:r>
    </w:p>
    <w:p w14:paraId="540A0D51" w14:textId="77777777" w:rsidR="006B10D9" w:rsidRDefault="00BE6472">
      <w:pPr>
        <w:pStyle w:val="affd"/>
      </w:pPr>
      <w:r>
        <w:rPr>
          <w:rFonts w:hint="eastAsia"/>
        </w:rPr>
        <w:t>表</w:t>
      </w:r>
      <w:r>
        <w:rPr>
          <w:rFonts w:hint="eastAsia"/>
        </w:rPr>
        <w:t xml:space="preserve">7  </w:t>
      </w:r>
      <w:r>
        <w:rPr>
          <w:rFonts w:hint="eastAsia"/>
        </w:rPr>
        <w:t>双边关系衡量指标</w:t>
      </w:r>
    </w:p>
    <w:tbl>
      <w:tblPr>
        <w:tblW w:w="8132" w:type="dxa"/>
        <w:jc w:val="center"/>
        <w:tblLayout w:type="fixed"/>
        <w:tblLook w:val="04A0" w:firstRow="1" w:lastRow="0" w:firstColumn="1" w:lastColumn="0" w:noHBand="0" w:noVBand="1"/>
      </w:tblPr>
      <w:tblGrid>
        <w:gridCol w:w="2491"/>
        <w:gridCol w:w="3724"/>
        <w:gridCol w:w="1917"/>
      </w:tblGrid>
      <w:tr w:rsidR="006B10D9" w14:paraId="42ABE484" w14:textId="77777777">
        <w:trPr>
          <w:trHeight w:val="502"/>
          <w:jc w:val="center"/>
        </w:trPr>
        <w:tc>
          <w:tcPr>
            <w:tcW w:w="24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CB8C"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w:t>
            </w:r>
          </w:p>
        </w:tc>
        <w:tc>
          <w:tcPr>
            <w:tcW w:w="37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67BA5"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指标说明</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25536" w14:textId="77777777" w:rsidR="006B10D9" w:rsidRDefault="00BE6472">
            <w:pPr>
              <w:widowControl/>
              <w:snapToGrid w:val="0"/>
              <w:spacing w:before="100" w:line="312" w:lineRule="auto"/>
              <w:ind w:firstLineChars="0" w:firstLine="0"/>
              <w:jc w:val="center"/>
              <w:textAlignment w:val="center"/>
              <w:rPr>
                <w:rFonts w:eastAsia="宋体"/>
                <w:b/>
                <w:bCs/>
                <w:color w:val="000000"/>
                <w:sz w:val="21"/>
                <w:szCs w:val="21"/>
                <w:lang w:bidi="ar"/>
              </w:rPr>
            </w:pPr>
            <w:r>
              <w:rPr>
                <w:rFonts w:eastAsia="宋体" w:hint="eastAsia"/>
                <w:b/>
                <w:bCs/>
                <w:color w:val="000000"/>
                <w:sz w:val="21"/>
                <w:szCs w:val="21"/>
                <w:lang w:bidi="ar"/>
              </w:rPr>
              <w:t>数据来源</w:t>
            </w:r>
          </w:p>
        </w:tc>
      </w:tr>
      <w:tr w:rsidR="006B10D9" w14:paraId="6ED2F325" w14:textId="77777777">
        <w:trPr>
          <w:trHeight w:val="502"/>
          <w:jc w:val="center"/>
        </w:trPr>
        <w:tc>
          <w:tcPr>
            <w:tcW w:w="24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A6502"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双边贸易协定</w:t>
            </w:r>
          </w:p>
        </w:tc>
        <w:tc>
          <w:tcPr>
            <w:tcW w:w="37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1DB64"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是否签订双边贸易协定</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A40C0"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UNCTAD</w:t>
            </w:r>
          </w:p>
        </w:tc>
      </w:tr>
      <w:tr w:rsidR="006B10D9" w14:paraId="0914972D" w14:textId="77777777">
        <w:trPr>
          <w:trHeight w:val="502"/>
          <w:jc w:val="center"/>
        </w:trPr>
        <w:tc>
          <w:tcPr>
            <w:tcW w:w="24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B3C6"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bCs/>
                <w:color w:val="000000"/>
                <w:sz w:val="21"/>
                <w:szCs w:val="21"/>
                <w:lang w:bidi="ar"/>
              </w:rPr>
              <w:t>贸易依存度</w:t>
            </w:r>
          </w:p>
        </w:tc>
        <w:tc>
          <w:tcPr>
            <w:tcW w:w="37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B8AF9"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分数越高，对中国贸易依存度越高</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3657" w14:textId="77777777" w:rsidR="006B10D9" w:rsidRDefault="00BE6472">
            <w:pPr>
              <w:widowControl/>
              <w:snapToGrid w:val="0"/>
              <w:spacing w:before="100" w:line="312" w:lineRule="auto"/>
              <w:ind w:firstLineChars="0" w:firstLine="0"/>
              <w:jc w:val="center"/>
              <w:textAlignment w:val="center"/>
              <w:rPr>
                <w:rFonts w:eastAsia="宋体"/>
                <w:bCs/>
                <w:color w:val="000000"/>
                <w:sz w:val="21"/>
                <w:szCs w:val="21"/>
                <w:lang w:bidi="ar"/>
              </w:rPr>
            </w:pPr>
            <w:r>
              <w:rPr>
                <w:rFonts w:eastAsia="宋体" w:hint="eastAsia"/>
                <w:bCs/>
                <w:color w:val="000000"/>
                <w:sz w:val="21"/>
                <w:szCs w:val="21"/>
                <w:lang w:bidi="ar"/>
              </w:rPr>
              <w:t>WDI</w:t>
            </w:r>
          </w:p>
        </w:tc>
      </w:tr>
    </w:tbl>
    <w:p w14:paraId="75F85EA7" w14:textId="77777777" w:rsidR="006B10D9" w:rsidRDefault="006B10D9">
      <w:pPr>
        <w:spacing w:line="360" w:lineRule="auto"/>
        <w:ind w:firstLineChars="500" w:firstLine="1200"/>
        <w:rPr>
          <w:rFonts w:eastAsia="宋体" w:cs="Times New Roman"/>
          <w:sz w:val="24"/>
          <w:szCs w:val="24"/>
        </w:rPr>
      </w:pPr>
    </w:p>
    <w:p w14:paraId="54542D8B" w14:textId="77777777" w:rsidR="006B10D9" w:rsidRDefault="00BE6472">
      <w:pPr>
        <w:pStyle w:val="3"/>
        <w:spacing w:before="120" w:after="240"/>
      </w:pPr>
      <w:bookmarkStart w:id="55" w:name="_Toc1757"/>
      <w:bookmarkStart w:id="56" w:name="_Toc93922386"/>
      <w:r>
        <w:rPr>
          <w:rFonts w:hint="eastAsia"/>
        </w:rPr>
        <w:lastRenderedPageBreak/>
        <w:t>（二）</w:t>
      </w:r>
      <w:r>
        <w:t>风险影响因素指标体系评述</w:t>
      </w:r>
      <w:bookmarkEnd w:id="55"/>
      <w:bookmarkEnd w:id="56"/>
    </w:p>
    <w:p w14:paraId="3C641785"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自</w:t>
      </w:r>
      <w:r>
        <w:rPr>
          <w:rFonts w:eastAsia="宋体" w:cs="Times New Roman" w:hint="eastAsia"/>
          <w:sz w:val="24"/>
          <w:szCs w:val="24"/>
        </w:rPr>
        <w:t>2019</w:t>
      </w:r>
      <w:r>
        <w:rPr>
          <w:rFonts w:eastAsia="宋体" w:cs="Times New Roman" w:hint="eastAsia"/>
          <w:sz w:val="24"/>
          <w:szCs w:val="24"/>
        </w:rPr>
        <w:t>年，</w:t>
      </w:r>
      <w:r>
        <w:rPr>
          <w:rFonts w:eastAsia="宋体" w:cs="Times New Roman"/>
          <w:sz w:val="24"/>
          <w:szCs w:val="24"/>
        </w:rPr>
        <w:t>中</w:t>
      </w:r>
      <w:r>
        <w:rPr>
          <w:rFonts w:eastAsia="宋体" w:cs="Times New Roman" w:hint="eastAsia"/>
          <w:sz w:val="24"/>
          <w:szCs w:val="24"/>
        </w:rPr>
        <w:t>国成为</w:t>
      </w:r>
      <w:r>
        <w:rPr>
          <w:rFonts w:eastAsia="宋体" w:cs="Times New Roman"/>
          <w:sz w:val="24"/>
          <w:szCs w:val="24"/>
        </w:rPr>
        <w:t>全球第二大对外直接投资国。随着国内</w:t>
      </w:r>
      <w:r>
        <w:rPr>
          <w:rFonts w:eastAsia="宋体" w:cs="Times New Roman" w:hint="eastAsia"/>
          <w:sz w:val="24"/>
          <w:szCs w:val="24"/>
        </w:rPr>
        <w:t>产业加速</w:t>
      </w:r>
      <w:r>
        <w:rPr>
          <w:rFonts w:eastAsia="宋体" w:cs="Times New Roman"/>
          <w:sz w:val="24"/>
          <w:szCs w:val="24"/>
        </w:rPr>
        <w:t>转型升级和企业竞争力的提高，我国对外直接投资</w:t>
      </w:r>
      <w:r>
        <w:rPr>
          <w:rFonts w:eastAsia="宋体" w:cs="Times New Roman" w:hint="eastAsia"/>
          <w:sz w:val="24"/>
          <w:szCs w:val="24"/>
        </w:rPr>
        <w:t>预计仍</w:t>
      </w:r>
      <w:r>
        <w:rPr>
          <w:rFonts w:eastAsia="宋体" w:cs="Times New Roman"/>
          <w:sz w:val="24"/>
          <w:szCs w:val="24"/>
        </w:rPr>
        <w:t>将</w:t>
      </w:r>
      <w:r>
        <w:rPr>
          <w:rFonts w:eastAsia="宋体" w:cs="Times New Roman" w:hint="eastAsia"/>
          <w:sz w:val="24"/>
          <w:szCs w:val="24"/>
        </w:rPr>
        <w:t>保持</w:t>
      </w:r>
      <w:r>
        <w:rPr>
          <w:rFonts w:eastAsia="宋体" w:cs="Times New Roman"/>
          <w:sz w:val="24"/>
          <w:szCs w:val="24"/>
        </w:rPr>
        <w:t>高速增长。在进行国家风险评级时，本指标体系将定性和定量指标相结合，全面覆盖</w:t>
      </w:r>
      <w:r>
        <w:rPr>
          <w:rFonts w:eastAsia="宋体" w:cs="Times New Roman" w:hint="eastAsia"/>
          <w:sz w:val="24"/>
          <w:szCs w:val="24"/>
        </w:rPr>
        <w:t>后疫情时代中国企业海外投资面临的主要风险，选择了经济基础指标、社会环境指标、政治风险指标、债务风险和双边关系五大一级指标，共</w:t>
      </w:r>
      <w:r>
        <w:rPr>
          <w:rFonts w:eastAsia="宋体" w:cs="Times New Roman" w:hint="eastAsia"/>
          <w:sz w:val="24"/>
          <w:szCs w:val="24"/>
        </w:rPr>
        <w:t>22</w:t>
      </w:r>
      <w:r>
        <w:rPr>
          <w:rFonts w:eastAsia="宋体" w:cs="Times New Roman" w:hint="eastAsia"/>
          <w:sz w:val="24"/>
          <w:szCs w:val="24"/>
        </w:rPr>
        <w:t>个二级指标。特别是考虑到后疫情时代国际政治经济和商业形势的复杂性，</w:t>
      </w:r>
      <w:r>
        <w:rPr>
          <w:rFonts w:eastAsia="宋体" w:cs="Times New Roman"/>
          <w:sz w:val="24"/>
          <w:szCs w:val="24"/>
        </w:rPr>
        <w:t>在传统由经济和金融指标构成的定量评估基础上，增加了社会稳定</w:t>
      </w:r>
      <w:r>
        <w:rPr>
          <w:rFonts w:eastAsia="宋体" w:cs="Times New Roman" w:hint="eastAsia"/>
          <w:sz w:val="24"/>
          <w:szCs w:val="24"/>
        </w:rPr>
        <w:t>、</w:t>
      </w:r>
      <w:r>
        <w:rPr>
          <w:rFonts w:eastAsia="宋体" w:cs="Times New Roman"/>
          <w:sz w:val="24"/>
          <w:szCs w:val="24"/>
        </w:rPr>
        <w:t>双边关系等定性评估指标。</w:t>
      </w:r>
    </w:p>
    <w:p w14:paraId="66E723F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本指标体系的构建主要基于</w:t>
      </w:r>
      <w:r>
        <w:rPr>
          <w:rFonts w:eastAsia="宋体" w:cs="Times New Roman"/>
          <w:sz w:val="24"/>
          <w:szCs w:val="24"/>
        </w:rPr>
        <w:t>中国社会科学院世界经济与政治研究所国际投资研究室《中国海外投资国家风险评级报告》</w:t>
      </w:r>
      <w:r>
        <w:rPr>
          <w:rFonts w:eastAsia="宋体" w:cs="Times New Roman" w:hint="eastAsia"/>
          <w:sz w:val="24"/>
          <w:szCs w:val="24"/>
        </w:rPr>
        <w:t>，并将上述五大指标赋予相同权重，均为</w:t>
      </w:r>
      <w:r>
        <w:rPr>
          <w:rFonts w:eastAsia="宋体" w:cs="Times New Roman" w:hint="eastAsia"/>
          <w:sz w:val="24"/>
          <w:szCs w:val="24"/>
        </w:rPr>
        <w:t>0.2</w:t>
      </w:r>
      <w:r>
        <w:rPr>
          <w:rFonts w:eastAsia="宋体" w:cs="Times New Roman" w:hint="eastAsia"/>
          <w:sz w:val="24"/>
          <w:szCs w:val="24"/>
        </w:rPr>
        <w:t>；二级子指标采用熵值法确定权重。</w:t>
      </w:r>
    </w:p>
    <w:p w14:paraId="4C5C25C8" w14:textId="77777777" w:rsidR="006B10D9" w:rsidRDefault="00BE6472">
      <w:pPr>
        <w:pStyle w:val="4"/>
      </w:pPr>
      <w:bookmarkStart w:id="57" w:name="_Toc26681"/>
      <w:r>
        <w:rPr>
          <w:rFonts w:hint="eastAsia"/>
        </w:rPr>
        <w:t>1</w:t>
      </w:r>
      <w:r>
        <w:rPr>
          <w:rFonts w:cs="华文楷体" w:hint="eastAsia"/>
        </w:rPr>
        <w:t>.</w:t>
      </w:r>
      <w:r>
        <w:rPr>
          <w:rFonts w:hint="eastAsia"/>
        </w:rPr>
        <w:t>评级样本</w:t>
      </w:r>
      <w:bookmarkEnd w:id="57"/>
    </w:p>
    <w:p w14:paraId="06223C15" w14:textId="77777777" w:rsidR="006B10D9" w:rsidRDefault="00BE6472">
      <w:pPr>
        <w:spacing w:line="360" w:lineRule="auto"/>
        <w:ind w:firstLine="480"/>
        <w:rPr>
          <w:rFonts w:eastAsia="宋体" w:cs="Times New Roman"/>
          <w:sz w:val="24"/>
          <w:szCs w:val="24"/>
        </w:rPr>
      </w:pPr>
      <w:r>
        <w:rPr>
          <w:rFonts w:eastAsia="宋体" w:cs="Times New Roman"/>
          <w:sz w:val="24"/>
          <w:szCs w:val="24"/>
        </w:rPr>
        <w:t>截至</w:t>
      </w:r>
      <w:r>
        <w:rPr>
          <w:rFonts w:eastAsia="宋体" w:cs="Times New Roman"/>
          <w:sz w:val="24"/>
          <w:szCs w:val="24"/>
        </w:rPr>
        <w:t>20</w:t>
      </w:r>
      <w:r>
        <w:rPr>
          <w:rFonts w:eastAsia="宋体" w:cs="Times New Roman" w:hint="eastAsia"/>
          <w:sz w:val="24"/>
          <w:szCs w:val="24"/>
        </w:rPr>
        <w:t>20</w:t>
      </w:r>
      <w:r>
        <w:rPr>
          <w:rFonts w:eastAsia="宋体" w:cs="Times New Roman"/>
          <w:sz w:val="24"/>
          <w:szCs w:val="24"/>
        </w:rPr>
        <w:t>年年底，中国对外直接投资分布在全球</w:t>
      </w:r>
      <w:r>
        <w:rPr>
          <w:rFonts w:eastAsia="宋体" w:cs="Times New Roman"/>
          <w:sz w:val="24"/>
          <w:szCs w:val="24"/>
        </w:rPr>
        <w:t>18</w:t>
      </w:r>
      <w:r>
        <w:rPr>
          <w:rFonts w:eastAsia="宋体" w:cs="Times New Roman" w:hint="eastAsia"/>
          <w:sz w:val="24"/>
          <w:szCs w:val="24"/>
        </w:rPr>
        <w:t>9</w:t>
      </w:r>
      <w:r>
        <w:rPr>
          <w:rFonts w:eastAsia="宋体" w:cs="Times New Roman"/>
          <w:sz w:val="24"/>
          <w:szCs w:val="24"/>
        </w:rPr>
        <w:t>个国家和地区，本评级体系选用</w:t>
      </w:r>
      <w:r>
        <w:rPr>
          <w:rFonts w:eastAsia="宋体" w:cs="Times New Roman"/>
          <w:sz w:val="24"/>
          <w:szCs w:val="24"/>
        </w:rPr>
        <w:t>1</w:t>
      </w:r>
      <w:r>
        <w:rPr>
          <w:rFonts w:eastAsia="宋体" w:cs="Times New Roman" w:hint="eastAsia"/>
          <w:sz w:val="24"/>
          <w:szCs w:val="24"/>
        </w:rPr>
        <w:t>04</w:t>
      </w:r>
      <w:r>
        <w:rPr>
          <w:rFonts w:eastAsia="宋体" w:cs="Times New Roman"/>
          <w:sz w:val="24"/>
          <w:szCs w:val="24"/>
        </w:rPr>
        <w:t>个国家作为本次评级样本，主要是基于以下</w:t>
      </w:r>
      <w:r>
        <w:rPr>
          <w:rFonts w:eastAsia="宋体" w:cs="Times New Roman" w:hint="eastAsia"/>
          <w:sz w:val="24"/>
          <w:szCs w:val="24"/>
        </w:rPr>
        <w:t>两</w:t>
      </w:r>
      <w:r>
        <w:rPr>
          <w:rFonts w:eastAsia="宋体" w:cs="Times New Roman"/>
          <w:sz w:val="24"/>
          <w:szCs w:val="24"/>
        </w:rPr>
        <w:t>个标准：</w:t>
      </w:r>
    </w:p>
    <w:p w14:paraId="6A679D9C" w14:textId="77777777" w:rsidR="006B10D9" w:rsidRDefault="00BE6472">
      <w:pPr>
        <w:spacing w:line="360" w:lineRule="auto"/>
        <w:ind w:firstLine="480"/>
        <w:rPr>
          <w:rFonts w:eastAsia="宋体" w:cs="Times New Roman"/>
          <w:sz w:val="24"/>
          <w:szCs w:val="24"/>
        </w:rPr>
      </w:pPr>
      <w:r>
        <w:rPr>
          <w:rFonts w:eastAsia="宋体" w:cs="Times New Roman"/>
          <w:sz w:val="24"/>
          <w:szCs w:val="24"/>
        </w:rPr>
        <w:t>1.</w:t>
      </w:r>
      <w:r>
        <w:rPr>
          <w:rFonts w:eastAsia="宋体" w:cs="Times New Roman" w:hint="eastAsia"/>
          <w:sz w:val="24"/>
          <w:szCs w:val="24"/>
        </w:rPr>
        <w:t>基于</w:t>
      </w:r>
      <w:r>
        <w:rPr>
          <w:rFonts w:eastAsia="宋体" w:cs="Times New Roman"/>
          <w:sz w:val="24"/>
          <w:szCs w:val="24"/>
        </w:rPr>
        <w:t>真实</w:t>
      </w:r>
      <w:r>
        <w:rPr>
          <w:rFonts w:eastAsia="宋体" w:cs="Times New Roman" w:hint="eastAsia"/>
          <w:sz w:val="24"/>
          <w:szCs w:val="24"/>
        </w:rPr>
        <w:t>发生</w:t>
      </w:r>
      <w:r>
        <w:rPr>
          <w:rFonts w:eastAsia="宋体" w:cs="Times New Roman"/>
          <w:sz w:val="24"/>
          <w:szCs w:val="24"/>
        </w:rPr>
        <w:t>的投资活动</w:t>
      </w:r>
      <w:r>
        <w:rPr>
          <w:rFonts w:eastAsia="宋体" w:cs="Times New Roman" w:hint="eastAsia"/>
          <w:sz w:val="24"/>
          <w:szCs w:val="24"/>
        </w:rPr>
        <w:t>和数据可获得性</w:t>
      </w:r>
      <w:r>
        <w:rPr>
          <w:rFonts w:eastAsia="宋体" w:cs="Times New Roman"/>
          <w:sz w:val="24"/>
          <w:szCs w:val="24"/>
        </w:rPr>
        <w:t>。中国在</w:t>
      </w:r>
      <w:r>
        <w:rPr>
          <w:rFonts w:eastAsia="宋体" w:cs="Times New Roman" w:hint="eastAsia"/>
          <w:sz w:val="24"/>
          <w:szCs w:val="24"/>
        </w:rPr>
        <w:t>投资目的地</w:t>
      </w:r>
      <w:r>
        <w:rPr>
          <w:rFonts w:eastAsia="宋体" w:cs="Times New Roman"/>
          <w:sz w:val="24"/>
          <w:szCs w:val="24"/>
        </w:rPr>
        <w:t>进行的是真实的投资活动（生产、研发、雇佣、经营等），而不是以该地为投资中转地或者</w:t>
      </w:r>
      <w:r>
        <w:rPr>
          <w:rFonts w:eastAsia="宋体" w:cs="Times New Roman" w:hint="eastAsia"/>
          <w:sz w:val="24"/>
          <w:szCs w:val="24"/>
        </w:rPr>
        <w:t>以</w:t>
      </w:r>
      <w:r>
        <w:rPr>
          <w:rFonts w:eastAsia="宋体" w:cs="Times New Roman"/>
          <w:sz w:val="24"/>
          <w:szCs w:val="24"/>
        </w:rPr>
        <w:t>避税</w:t>
      </w:r>
      <w:r>
        <w:rPr>
          <w:rFonts w:eastAsia="宋体" w:cs="Times New Roman" w:hint="eastAsia"/>
          <w:sz w:val="24"/>
          <w:szCs w:val="24"/>
        </w:rPr>
        <w:t>为主要目的的</w:t>
      </w:r>
      <w:r>
        <w:rPr>
          <w:rFonts w:eastAsia="宋体" w:cs="Times New Roman"/>
          <w:sz w:val="24"/>
          <w:szCs w:val="24"/>
        </w:rPr>
        <w:t>资金运作中心。本次评级暂不纳入中国香港、开曼群岛、英属维尔京群岛等国际自由港</w:t>
      </w:r>
      <w:r>
        <w:rPr>
          <w:rFonts w:eastAsia="宋体" w:cs="Times New Roman" w:hint="eastAsia"/>
          <w:sz w:val="24"/>
          <w:szCs w:val="24"/>
        </w:rPr>
        <w:t>，将卢森堡（有“避税”功能国家）纳入各分项排名，但在综合排名中不予列出。</w:t>
      </w:r>
    </w:p>
    <w:p w14:paraId="24165B6A" w14:textId="77777777" w:rsidR="006B10D9" w:rsidRDefault="00BE6472">
      <w:pPr>
        <w:spacing w:line="360" w:lineRule="auto"/>
        <w:ind w:firstLine="480"/>
        <w:rPr>
          <w:rFonts w:eastAsia="宋体" w:cs="Times New Roman"/>
          <w:sz w:val="24"/>
          <w:szCs w:val="24"/>
        </w:rPr>
      </w:pPr>
      <w:r>
        <w:rPr>
          <w:rFonts w:eastAsia="宋体" w:cs="Times New Roman"/>
          <w:sz w:val="24"/>
          <w:szCs w:val="24"/>
        </w:rPr>
        <w:t>2.</w:t>
      </w:r>
      <w:r>
        <w:rPr>
          <w:rFonts w:eastAsia="宋体" w:cs="Times New Roman"/>
          <w:sz w:val="24"/>
          <w:szCs w:val="24"/>
        </w:rPr>
        <w:t>重点选择</w:t>
      </w:r>
      <w:r>
        <w:rPr>
          <w:rFonts w:eastAsia="宋体" w:cs="Times New Roman"/>
          <w:sz w:val="24"/>
          <w:szCs w:val="24"/>
        </w:rPr>
        <w:t>G20</w:t>
      </w:r>
      <w:r>
        <w:rPr>
          <w:rFonts w:eastAsia="宋体" w:cs="Times New Roman"/>
          <w:sz w:val="24"/>
          <w:szCs w:val="24"/>
        </w:rPr>
        <w:t>国家以及中国海外投资额较大的国家。</w:t>
      </w:r>
      <w:r>
        <w:rPr>
          <w:rFonts w:eastAsia="宋体" w:cs="Times New Roman" w:hint="eastAsia"/>
          <w:sz w:val="24"/>
          <w:szCs w:val="24"/>
        </w:rPr>
        <w:t>根据《</w:t>
      </w:r>
      <w:r>
        <w:rPr>
          <w:rFonts w:eastAsia="宋体" w:cs="Times New Roman" w:hint="eastAsia"/>
          <w:sz w:val="24"/>
          <w:szCs w:val="24"/>
        </w:rPr>
        <w:t>2020</w:t>
      </w:r>
      <w:r>
        <w:rPr>
          <w:rFonts w:eastAsia="宋体" w:cs="Times New Roman" w:hint="eastAsia"/>
          <w:sz w:val="24"/>
          <w:szCs w:val="24"/>
        </w:rPr>
        <w:t>年度中国对外直接投资统计公报》中表“</w:t>
      </w:r>
      <w:r>
        <w:rPr>
          <w:rFonts w:eastAsia="宋体" w:cs="Times New Roman" w:hint="eastAsia"/>
          <w:sz w:val="24"/>
          <w:szCs w:val="24"/>
        </w:rPr>
        <w:t>2011-2020</w:t>
      </w:r>
      <w:r>
        <w:rPr>
          <w:rFonts w:eastAsia="宋体" w:cs="Times New Roman" w:hint="eastAsia"/>
          <w:sz w:val="24"/>
          <w:szCs w:val="24"/>
        </w:rPr>
        <w:t>各年中国对外直接投资存量情况（分国家</w:t>
      </w:r>
      <w:r>
        <w:rPr>
          <w:rFonts w:eastAsia="宋体" w:cs="Times New Roman" w:hint="eastAsia"/>
          <w:sz w:val="24"/>
          <w:szCs w:val="24"/>
        </w:rPr>
        <w:t>/</w:t>
      </w:r>
      <w:r>
        <w:rPr>
          <w:rFonts w:eastAsia="宋体" w:cs="Times New Roman" w:hint="eastAsia"/>
          <w:sz w:val="24"/>
          <w:szCs w:val="24"/>
        </w:rPr>
        <w:t>地区）”的排名，共选取了</w:t>
      </w:r>
      <w:r>
        <w:rPr>
          <w:rFonts w:eastAsia="宋体" w:cs="Times New Roman"/>
          <w:sz w:val="24"/>
          <w:szCs w:val="24"/>
        </w:rPr>
        <w:t>1</w:t>
      </w:r>
      <w:r>
        <w:rPr>
          <w:rFonts w:eastAsia="宋体" w:cs="Times New Roman" w:hint="eastAsia"/>
          <w:sz w:val="24"/>
          <w:szCs w:val="24"/>
        </w:rPr>
        <w:t>04</w:t>
      </w:r>
      <w:r>
        <w:rPr>
          <w:rFonts w:eastAsia="宋体" w:cs="Times New Roman"/>
          <w:sz w:val="24"/>
          <w:szCs w:val="24"/>
        </w:rPr>
        <w:t>个评级样本</w:t>
      </w:r>
      <w:r>
        <w:rPr>
          <w:rFonts w:eastAsia="宋体" w:cs="Times New Roman" w:hint="eastAsia"/>
          <w:sz w:val="24"/>
          <w:szCs w:val="24"/>
        </w:rPr>
        <w:t>，</w:t>
      </w:r>
      <w:r>
        <w:rPr>
          <w:rFonts w:eastAsia="宋体" w:cs="Times New Roman"/>
          <w:sz w:val="24"/>
          <w:szCs w:val="24"/>
        </w:rPr>
        <w:t>覆盖了北美洲、大洋洲、非洲、拉丁美洲、欧洲和亚洲</w:t>
      </w:r>
      <w:r>
        <w:rPr>
          <w:rFonts w:eastAsia="宋体" w:cs="Times New Roman" w:hint="eastAsia"/>
          <w:sz w:val="24"/>
          <w:szCs w:val="24"/>
        </w:rPr>
        <w:t>的主要国家</w:t>
      </w:r>
      <w:r>
        <w:rPr>
          <w:rFonts w:eastAsia="宋体" w:cs="Times New Roman"/>
          <w:sz w:val="24"/>
          <w:szCs w:val="24"/>
        </w:rPr>
        <w:t>，</w:t>
      </w:r>
      <w:r>
        <w:rPr>
          <w:rFonts w:eastAsia="宋体" w:cs="Times New Roman" w:hint="eastAsia"/>
          <w:sz w:val="24"/>
          <w:szCs w:val="24"/>
        </w:rPr>
        <w:t>且中国对其直接投资存量均在</w:t>
      </w:r>
      <w:r>
        <w:rPr>
          <w:rFonts w:eastAsia="宋体" w:cs="Times New Roman" w:hint="eastAsia"/>
          <w:sz w:val="24"/>
          <w:szCs w:val="24"/>
        </w:rPr>
        <w:t>1000</w:t>
      </w:r>
      <w:r>
        <w:rPr>
          <w:rFonts w:eastAsia="宋体" w:cs="Times New Roman" w:hint="eastAsia"/>
          <w:sz w:val="24"/>
          <w:szCs w:val="24"/>
        </w:rPr>
        <w:t>万美元以上。</w:t>
      </w:r>
    </w:p>
    <w:p w14:paraId="08BDC103" w14:textId="77777777" w:rsidR="006B10D9" w:rsidRDefault="00BE6472">
      <w:pPr>
        <w:pStyle w:val="4"/>
      </w:pPr>
      <w:bookmarkStart w:id="58" w:name="_Toc19519"/>
      <w:r>
        <w:rPr>
          <w:rFonts w:hint="eastAsia"/>
        </w:rPr>
        <w:t>2</w:t>
      </w:r>
      <w:r>
        <w:rPr>
          <w:rFonts w:cs="华文楷体" w:hint="eastAsia"/>
        </w:rPr>
        <w:t>.</w:t>
      </w:r>
      <w:r>
        <w:rPr>
          <w:rFonts w:hint="eastAsia"/>
        </w:rPr>
        <w:t>研究模型</w:t>
      </w:r>
      <w:bookmarkEnd w:id="58"/>
    </w:p>
    <w:p w14:paraId="72A238D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本研究采用熵值法确定二级指标层权重。通过计算指标的信息熵，根据指标的相对变化程度对系统整体的影响来决定指标的权重，相对变化程度大的指标具有较高权重。</w:t>
      </w:r>
    </w:p>
    <w:p w14:paraId="546BD5D7" w14:textId="77777777" w:rsidR="006B10D9" w:rsidRDefault="00BE6472">
      <w:pPr>
        <w:pStyle w:val="4"/>
      </w:pPr>
      <w:bookmarkStart w:id="59" w:name="_Toc16593"/>
      <w:r>
        <w:rPr>
          <w:rFonts w:hint="eastAsia"/>
        </w:rPr>
        <w:t>3</w:t>
      </w:r>
      <w:r>
        <w:rPr>
          <w:rFonts w:cs="华文楷体" w:hint="eastAsia"/>
        </w:rPr>
        <w:t>.</w:t>
      </w:r>
      <w:r>
        <w:rPr>
          <w:rFonts w:hint="eastAsia"/>
        </w:rPr>
        <w:t>指标权重</w:t>
      </w:r>
      <w:bookmarkEnd w:id="59"/>
    </w:p>
    <w:p w14:paraId="47F7806E"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1</w:t>
      </w:r>
      <w:r>
        <w:rPr>
          <w:rFonts w:eastAsia="宋体" w:cs="Times New Roman"/>
          <w:sz w:val="24"/>
          <w:szCs w:val="24"/>
        </w:rPr>
        <w:t>）</w:t>
      </w:r>
      <w:r>
        <w:rPr>
          <w:rFonts w:eastAsia="宋体" w:cs="Times New Roman" w:hint="eastAsia"/>
          <w:sz w:val="24"/>
          <w:szCs w:val="24"/>
        </w:rPr>
        <w:t>数据正逆向化处理</w:t>
      </w:r>
    </w:p>
    <w:p w14:paraId="7D06E84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为剔除不同指标量纲的影响，根据各指标与对外投资风险评估的正负关系，分别运用正向化和逆向化对原始数据进行标准化处理。</w:t>
      </w:r>
    </w:p>
    <w:p w14:paraId="0D0AEB34"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式中：</w:t>
      </w:r>
      <w:r>
        <w:rPr>
          <w:rFonts w:eastAsia="宋体" w:cs="Times New Roman" w:hint="eastAsia"/>
          <w:sz w:val="24"/>
          <w:szCs w:val="24"/>
        </w:rPr>
        <w:t>X</w:t>
      </w:r>
      <w:r>
        <w:rPr>
          <w:rFonts w:eastAsia="宋体" w:cs="Times New Roman" w:hint="eastAsia"/>
          <w:sz w:val="24"/>
          <w:szCs w:val="24"/>
          <w:vertAlign w:val="subscript"/>
        </w:rPr>
        <w:t>ij</w:t>
      </w:r>
      <w:r>
        <w:rPr>
          <w:rFonts w:eastAsia="宋体" w:cs="Times New Roman" w:hint="eastAsia"/>
          <w:sz w:val="24"/>
          <w:szCs w:val="24"/>
        </w:rPr>
        <w:t>表示第</w:t>
      </w:r>
      <w:r>
        <w:rPr>
          <w:rFonts w:eastAsia="宋体" w:cs="Times New Roman" w:hint="eastAsia"/>
          <w:sz w:val="24"/>
          <w:szCs w:val="24"/>
        </w:rPr>
        <w:t>i</w:t>
      </w:r>
      <w:r>
        <w:rPr>
          <w:rFonts w:eastAsia="宋体" w:cs="Times New Roman" w:hint="eastAsia"/>
          <w:sz w:val="24"/>
          <w:szCs w:val="24"/>
        </w:rPr>
        <w:t>个年份第</w:t>
      </w:r>
      <w:r>
        <w:rPr>
          <w:rFonts w:eastAsia="宋体" w:cs="Times New Roman" w:hint="eastAsia"/>
          <w:sz w:val="24"/>
          <w:szCs w:val="24"/>
        </w:rPr>
        <w:t>j</w:t>
      </w:r>
      <w:r>
        <w:rPr>
          <w:rFonts w:eastAsia="宋体" w:cs="Times New Roman" w:hint="eastAsia"/>
          <w:sz w:val="24"/>
          <w:szCs w:val="24"/>
        </w:rPr>
        <w:t>项评价指标的数值，</w:t>
      </w:r>
      <w:r>
        <w:rPr>
          <w:rFonts w:eastAsia="宋体" w:cs="Times New Roman" w:hint="eastAsia"/>
          <w:sz w:val="24"/>
          <w:szCs w:val="24"/>
        </w:rPr>
        <w:t>X</w:t>
      </w:r>
      <w:r>
        <w:rPr>
          <w:rFonts w:eastAsia="宋体" w:cs="Times New Roman" w:hint="eastAsia"/>
          <w:sz w:val="24"/>
          <w:szCs w:val="24"/>
          <w:vertAlign w:val="subscript"/>
        </w:rPr>
        <w:t>min</w:t>
      </w:r>
      <w:r>
        <w:rPr>
          <w:rFonts w:eastAsia="宋体" w:cs="Times New Roman" w:hint="eastAsia"/>
          <w:sz w:val="24"/>
          <w:szCs w:val="24"/>
        </w:rPr>
        <w:t>和</w:t>
      </w:r>
      <w:r>
        <w:rPr>
          <w:rFonts w:eastAsia="宋体" w:cs="Times New Roman" w:hint="eastAsia"/>
          <w:sz w:val="24"/>
          <w:szCs w:val="24"/>
        </w:rPr>
        <w:t>X</w:t>
      </w:r>
      <w:r>
        <w:rPr>
          <w:rFonts w:eastAsia="宋体" w:cs="Times New Roman" w:hint="eastAsia"/>
          <w:sz w:val="24"/>
          <w:szCs w:val="24"/>
          <w:vertAlign w:val="subscript"/>
        </w:rPr>
        <w:t>max</w:t>
      </w:r>
      <w:r>
        <w:rPr>
          <w:rFonts w:eastAsia="宋体" w:cs="Times New Roman" w:hint="eastAsia"/>
          <w:sz w:val="24"/>
          <w:szCs w:val="24"/>
        </w:rPr>
        <w:t>分别为所有年份中第</w:t>
      </w:r>
      <w:r>
        <w:rPr>
          <w:rFonts w:eastAsia="宋体" w:cs="Times New Roman" w:hint="eastAsia"/>
          <w:sz w:val="24"/>
          <w:szCs w:val="24"/>
        </w:rPr>
        <w:t>j</w:t>
      </w:r>
      <w:r>
        <w:rPr>
          <w:rFonts w:eastAsia="宋体" w:cs="Times New Roman" w:hint="eastAsia"/>
          <w:sz w:val="24"/>
          <w:szCs w:val="24"/>
        </w:rPr>
        <w:t>项评价指标的最小值和最大值。</w:t>
      </w:r>
    </w:p>
    <w:p w14:paraId="76EDEEE6" w14:textId="77777777" w:rsidR="006B10D9" w:rsidRDefault="00BE6472">
      <w:pPr>
        <w:spacing w:line="360" w:lineRule="auto"/>
        <w:ind w:firstLine="480"/>
        <w:rPr>
          <w:rFonts w:eastAsia="宋体" w:cs="Times New Roman"/>
          <w:sz w:val="24"/>
          <w:szCs w:val="24"/>
        </w:rPr>
      </w:pPr>
      <w:r>
        <w:rPr>
          <w:rFonts w:eastAsia="宋体" w:cs="Times New Roman"/>
          <w:position w:val="-24"/>
          <w:sz w:val="24"/>
          <w:szCs w:val="24"/>
        </w:rPr>
        <w:object w:dxaOrig="6712" w:dyaOrig="1039" w14:anchorId="05A40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5pt;height:52pt" o:ole="">
            <v:imagedata r:id="rId23" o:title=""/>
            <o:lock v:ext="edit" aspectratio="f" text="t"/>
          </v:shape>
          <o:OLEObject Type="Embed" ProgID="Equation.DSMT4" ShapeID="_x0000_i1025" DrawAspect="Content" ObjectID="_1704950820" r:id="rId24"/>
        </w:object>
      </w:r>
    </w:p>
    <w:p w14:paraId="20F2D28F"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其中，对以下变量进行正向化处理：</w:t>
      </w:r>
      <w:r>
        <w:rPr>
          <w:rFonts w:eastAsia="宋体" w:cs="Times New Roman" w:hint="eastAsia"/>
          <w:sz w:val="24"/>
          <w:szCs w:val="24"/>
        </w:rPr>
        <w:t>GDP</w:t>
      </w:r>
      <w:r>
        <w:rPr>
          <w:rFonts w:eastAsia="宋体" w:cs="Times New Roman" w:hint="eastAsia"/>
          <w:sz w:val="24"/>
          <w:szCs w:val="24"/>
        </w:rPr>
        <w:t>、</w:t>
      </w:r>
      <w:r>
        <w:rPr>
          <w:rFonts w:eastAsia="宋体" w:cs="Times New Roman" w:hint="eastAsia"/>
          <w:sz w:val="24"/>
          <w:szCs w:val="24"/>
        </w:rPr>
        <w:t>GDP</w:t>
      </w:r>
      <w:r>
        <w:rPr>
          <w:rFonts w:eastAsia="宋体" w:cs="Times New Roman" w:hint="eastAsia"/>
          <w:sz w:val="24"/>
          <w:szCs w:val="24"/>
        </w:rPr>
        <w:t>增长率、人均</w:t>
      </w:r>
      <w:r>
        <w:rPr>
          <w:rFonts w:eastAsia="宋体" w:cs="Times New Roman" w:hint="eastAsia"/>
          <w:sz w:val="24"/>
          <w:szCs w:val="24"/>
        </w:rPr>
        <w:t>GDP</w:t>
      </w:r>
      <w:r>
        <w:rPr>
          <w:rFonts w:eastAsia="宋体" w:cs="Times New Roman" w:hint="eastAsia"/>
          <w:sz w:val="24"/>
          <w:szCs w:val="24"/>
        </w:rPr>
        <w:t>、贸易开放度、教育水平、其他投资风险、资本和人员流动限制、法治、腐败控制、问责制度、政府效力、政治稳定、财政余额</w:t>
      </w:r>
      <w:r>
        <w:rPr>
          <w:rFonts w:eastAsia="宋体" w:cs="Times New Roman" w:hint="eastAsia"/>
          <w:sz w:val="24"/>
          <w:szCs w:val="24"/>
        </w:rPr>
        <w:t>/GDP</w:t>
      </w:r>
      <w:r>
        <w:rPr>
          <w:rFonts w:eastAsia="宋体" w:cs="Times New Roman" w:hint="eastAsia"/>
          <w:sz w:val="24"/>
          <w:szCs w:val="24"/>
        </w:rPr>
        <w:t>、贸易依存度、双边贸易协定。</w:t>
      </w:r>
    </w:p>
    <w:p w14:paraId="1E848C1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对以下变量进行逆向化处理：失业率、通货膨胀、社会安全、外部冲突、公共债务</w:t>
      </w:r>
      <w:r>
        <w:rPr>
          <w:rFonts w:eastAsia="宋体" w:cs="Times New Roman" w:hint="eastAsia"/>
          <w:sz w:val="24"/>
          <w:szCs w:val="24"/>
        </w:rPr>
        <w:t>/GDP</w:t>
      </w:r>
      <w:r>
        <w:rPr>
          <w:rFonts w:eastAsia="宋体" w:cs="Times New Roman" w:hint="eastAsia"/>
          <w:sz w:val="24"/>
          <w:szCs w:val="24"/>
        </w:rPr>
        <w:t>、外债</w:t>
      </w:r>
      <w:r>
        <w:rPr>
          <w:rFonts w:eastAsia="宋体" w:cs="Times New Roman" w:hint="eastAsia"/>
          <w:sz w:val="24"/>
          <w:szCs w:val="24"/>
        </w:rPr>
        <w:t>/GDP</w:t>
      </w:r>
      <w:r>
        <w:rPr>
          <w:rFonts w:eastAsia="宋体" w:cs="Times New Roman" w:hint="eastAsia"/>
          <w:sz w:val="24"/>
          <w:szCs w:val="24"/>
        </w:rPr>
        <w:t>、短期外债</w:t>
      </w:r>
      <w:r>
        <w:rPr>
          <w:rFonts w:eastAsia="宋体" w:cs="Times New Roman" w:hint="eastAsia"/>
          <w:sz w:val="24"/>
          <w:szCs w:val="24"/>
        </w:rPr>
        <w:t>/</w:t>
      </w:r>
      <w:r>
        <w:rPr>
          <w:rFonts w:eastAsia="宋体" w:cs="Times New Roman" w:hint="eastAsia"/>
          <w:sz w:val="24"/>
          <w:szCs w:val="24"/>
        </w:rPr>
        <w:t>总外债。</w:t>
      </w:r>
    </w:p>
    <w:p w14:paraId="5DFF4DE2"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sz w:val="24"/>
          <w:szCs w:val="24"/>
        </w:rPr>
        <w:t>）确定各评估指标权重</w:t>
      </w:r>
    </w:p>
    <w:p w14:paraId="265BB6C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为反映投资风险的客观属性，采用客观赋权评估法中的熵值法，利用信息熵原理确定指标权重，避免赋权的主观性。熵值法是结合熵值提供的信息值来确定权重的一种研究方法。</w:t>
      </w:r>
    </w:p>
    <w:p w14:paraId="27801523"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sz w:val="24"/>
          <w:szCs w:val="24"/>
        </w:rPr>
        <w:t>）计算</w:t>
      </w:r>
      <w:r>
        <w:rPr>
          <w:rFonts w:eastAsia="宋体" w:cs="Times New Roman" w:hint="eastAsia"/>
          <w:sz w:val="24"/>
          <w:szCs w:val="24"/>
        </w:rPr>
        <w:t>权重和综合</w:t>
      </w:r>
      <w:r>
        <w:rPr>
          <w:rFonts w:eastAsia="宋体" w:cs="Times New Roman"/>
          <w:sz w:val="24"/>
          <w:szCs w:val="24"/>
        </w:rPr>
        <w:t>风险得分</w:t>
      </w:r>
    </w:p>
    <w:p w14:paraId="77B7AA9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利用指标权重和各指标值，采用加权综合评估模型得到各国投资风险及其</w:t>
      </w:r>
      <w:r>
        <w:rPr>
          <w:rFonts w:eastAsia="宋体" w:cs="Times New Roman" w:hint="eastAsia"/>
          <w:sz w:val="24"/>
          <w:szCs w:val="24"/>
        </w:rPr>
        <w:t>5</w:t>
      </w:r>
      <w:r>
        <w:rPr>
          <w:rFonts w:eastAsia="宋体" w:cs="Times New Roman" w:hint="eastAsia"/>
          <w:sz w:val="24"/>
          <w:szCs w:val="24"/>
        </w:rPr>
        <w:t>个维度的得分，最终得分越高，投资风险越小，具体评价体系见表</w:t>
      </w:r>
      <w:r>
        <w:rPr>
          <w:rFonts w:eastAsia="宋体" w:cs="Times New Roman" w:hint="eastAsia"/>
          <w:sz w:val="24"/>
          <w:szCs w:val="24"/>
        </w:rPr>
        <w:t>8</w:t>
      </w:r>
      <w:r>
        <w:rPr>
          <w:rFonts w:eastAsia="宋体" w:cs="Times New Roman" w:hint="eastAsia"/>
          <w:sz w:val="24"/>
          <w:szCs w:val="24"/>
        </w:rPr>
        <w:t>。</w:t>
      </w:r>
    </w:p>
    <w:p w14:paraId="5C17681F" w14:textId="77777777" w:rsidR="006B10D9" w:rsidRDefault="00BE6472">
      <w:pPr>
        <w:pStyle w:val="affd"/>
      </w:pPr>
      <w:r>
        <w:rPr>
          <w:rFonts w:hint="eastAsia"/>
        </w:rPr>
        <w:t>表</w:t>
      </w:r>
      <w:r>
        <w:rPr>
          <w:rFonts w:hint="eastAsia"/>
        </w:rPr>
        <w:t xml:space="preserve">8  </w:t>
      </w:r>
      <w:r>
        <w:rPr>
          <w:rFonts w:hint="eastAsia"/>
        </w:rPr>
        <w:t>海外投资国别评价体系</w:t>
      </w:r>
    </w:p>
    <w:tbl>
      <w:tblPr>
        <w:tblpPr w:leftFromText="180" w:rightFromText="180" w:vertAnchor="text" w:horzAnchor="page" w:tblpX="1850" w:tblpY="140"/>
        <w:tblOverlap w:val="never"/>
        <w:tblW w:w="5323" w:type="pct"/>
        <w:tblLook w:val="04A0" w:firstRow="1" w:lastRow="0" w:firstColumn="1" w:lastColumn="0" w:noHBand="0" w:noVBand="1"/>
      </w:tblPr>
      <w:tblGrid>
        <w:gridCol w:w="1196"/>
        <w:gridCol w:w="2521"/>
        <w:gridCol w:w="5566"/>
      </w:tblGrid>
      <w:tr w:rsidR="006B10D9" w14:paraId="41EF6095" w14:textId="77777777">
        <w:trPr>
          <w:trHeight w:val="370"/>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25963" w14:textId="77777777" w:rsidR="006B10D9" w:rsidRDefault="00BE6472">
            <w:pPr>
              <w:widowControl/>
              <w:snapToGrid w:val="0"/>
              <w:spacing w:before="100" w:line="312" w:lineRule="auto"/>
              <w:ind w:firstLineChars="0" w:firstLine="0"/>
              <w:jc w:val="center"/>
              <w:textAlignment w:val="center"/>
              <w:rPr>
                <w:rFonts w:eastAsia="宋体" w:cs="微软雅黑"/>
                <w:b/>
                <w:bCs/>
                <w:sz w:val="21"/>
                <w:szCs w:val="21"/>
              </w:rPr>
            </w:pPr>
            <w:r>
              <w:rPr>
                <w:rFonts w:eastAsia="宋体" w:cs="微软雅黑" w:hint="eastAsia"/>
                <w:b/>
                <w:bCs/>
                <w:sz w:val="21"/>
                <w:szCs w:val="21"/>
              </w:rPr>
              <w:t>系统层</w:t>
            </w: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BE290"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1"/>
                <w:lang w:bidi="ar"/>
              </w:rPr>
            </w:pPr>
            <w:r>
              <w:rPr>
                <w:rFonts w:eastAsia="宋体" w:cs="微软雅黑" w:hint="eastAsia"/>
                <w:b/>
                <w:bCs/>
                <w:color w:val="000000"/>
                <w:sz w:val="21"/>
                <w:szCs w:val="21"/>
                <w:lang w:bidi="ar"/>
              </w:rPr>
              <w:t>指标层</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F7F9C"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1"/>
                <w:lang w:bidi="ar"/>
              </w:rPr>
            </w:pPr>
            <w:r>
              <w:rPr>
                <w:rFonts w:eastAsia="宋体" w:cs="微软雅黑" w:hint="eastAsia"/>
                <w:b/>
                <w:bCs/>
                <w:color w:val="000000"/>
                <w:sz w:val="21"/>
                <w:szCs w:val="21"/>
                <w:lang w:bidi="ar"/>
              </w:rPr>
              <w:t>指标含义</w:t>
            </w:r>
          </w:p>
        </w:tc>
      </w:tr>
      <w:tr w:rsidR="006B10D9" w14:paraId="0D01D9C7" w14:textId="77777777">
        <w:trPr>
          <w:trHeight w:val="370"/>
        </w:trPr>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5916F6"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经济风险</w:t>
            </w:r>
            <w:r>
              <w:rPr>
                <w:rFonts w:eastAsia="宋体" w:cs="Times New Roman" w:hint="eastAsia"/>
                <w:sz w:val="21"/>
                <w:szCs w:val="21"/>
              </w:rPr>
              <w:t>A</w:t>
            </w: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2A53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1 </w:t>
            </w:r>
            <w:r>
              <w:rPr>
                <w:rFonts w:eastAsia="宋体" w:cs="微软雅黑" w:hint="eastAsia"/>
                <w:color w:val="000000"/>
                <w:sz w:val="21"/>
                <w:szCs w:val="21"/>
                <w:lang w:bidi="ar"/>
              </w:rPr>
              <w:t>GDP</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A3F78"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经济总量</w:t>
            </w:r>
          </w:p>
        </w:tc>
      </w:tr>
      <w:tr w:rsidR="006B10D9" w14:paraId="22E6E986"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0C7273"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F605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2 </w:t>
            </w:r>
            <w:r>
              <w:rPr>
                <w:rFonts w:eastAsia="宋体" w:cs="微软雅黑" w:hint="eastAsia"/>
                <w:color w:val="000000"/>
                <w:sz w:val="21"/>
                <w:szCs w:val="21"/>
                <w:lang w:bidi="ar"/>
              </w:rPr>
              <w:t>人均</w:t>
            </w:r>
            <w:r>
              <w:rPr>
                <w:rFonts w:eastAsia="宋体" w:cs="微软雅黑" w:hint="eastAsia"/>
                <w:color w:val="000000"/>
                <w:sz w:val="21"/>
                <w:szCs w:val="21"/>
                <w:lang w:bidi="ar"/>
              </w:rPr>
              <w:t>GDP</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0F7FF"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经济发展水平</w:t>
            </w:r>
          </w:p>
        </w:tc>
      </w:tr>
      <w:tr w:rsidR="006B10D9" w14:paraId="78CFDE43"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998523"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53FD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3 </w:t>
            </w:r>
            <w:r>
              <w:rPr>
                <w:rFonts w:eastAsia="宋体" w:cs="微软雅黑" w:hint="eastAsia"/>
                <w:color w:val="000000"/>
                <w:sz w:val="21"/>
                <w:szCs w:val="21"/>
                <w:lang w:bidi="ar"/>
              </w:rPr>
              <w:t>GDP</w:t>
            </w:r>
            <w:r>
              <w:rPr>
                <w:rFonts w:eastAsia="宋体" w:cs="微软雅黑" w:hint="eastAsia"/>
                <w:color w:val="000000"/>
                <w:sz w:val="21"/>
                <w:szCs w:val="21"/>
                <w:lang w:bidi="ar"/>
              </w:rPr>
              <w:t>增长率</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E264A"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经济增速</w:t>
            </w:r>
          </w:p>
        </w:tc>
      </w:tr>
      <w:tr w:rsidR="006B10D9" w14:paraId="38140AF9"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EBA6E"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3052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贸易开放度</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A427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进出口总额</w:t>
            </w:r>
            <w:r>
              <w:rPr>
                <w:rFonts w:eastAsia="宋体" w:cs="方正仿宋_GBK" w:hint="eastAsia"/>
                <w:color w:val="000000"/>
                <w:sz w:val="21"/>
                <w:szCs w:val="21"/>
                <w:lang w:bidi="ar"/>
              </w:rPr>
              <w:t>/GDP</w:t>
            </w:r>
            <w:r>
              <w:rPr>
                <w:rFonts w:eastAsia="宋体" w:cs="方正仿宋_GBK" w:hint="eastAsia"/>
                <w:color w:val="000000"/>
                <w:sz w:val="21"/>
                <w:szCs w:val="21"/>
                <w:lang w:bidi="ar"/>
              </w:rPr>
              <w:t>，衡量贸易依赖度指数</w:t>
            </w:r>
          </w:p>
        </w:tc>
      </w:tr>
      <w:tr w:rsidR="006B10D9" w14:paraId="72CC57AE"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F5BA16"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0D0B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5</w:t>
            </w:r>
            <w:r>
              <w:rPr>
                <w:rFonts w:eastAsia="宋体" w:cs="微软雅黑" w:hint="eastAsia"/>
                <w:color w:val="000000"/>
                <w:sz w:val="21"/>
                <w:szCs w:val="21"/>
                <w:lang w:bidi="ar"/>
              </w:rPr>
              <w:t>失业率</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38D31"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失业人口占劳动人口的比率，衡量失业状况</w:t>
            </w:r>
          </w:p>
        </w:tc>
      </w:tr>
      <w:tr w:rsidR="006B10D9" w14:paraId="7FF0EC1F"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4CA7F9"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4B56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6</w:t>
            </w:r>
            <w:r>
              <w:rPr>
                <w:rFonts w:eastAsia="宋体" w:cs="微软雅黑" w:hint="eastAsia"/>
                <w:color w:val="000000"/>
                <w:sz w:val="21"/>
                <w:szCs w:val="21"/>
                <w:lang w:bidi="ar"/>
              </w:rPr>
              <w:t>通货膨胀</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F0D6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整个经济体的价格变动率</w:t>
            </w:r>
          </w:p>
        </w:tc>
      </w:tr>
      <w:tr w:rsidR="006B10D9" w14:paraId="4D6AAECD" w14:textId="77777777">
        <w:trPr>
          <w:trHeight w:val="370"/>
        </w:trPr>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9F4FB4"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社会风险</w:t>
            </w:r>
            <w:r>
              <w:rPr>
                <w:rFonts w:eastAsia="宋体" w:cs="Times New Roman" w:hint="eastAsia"/>
                <w:sz w:val="21"/>
                <w:szCs w:val="21"/>
              </w:rPr>
              <w:t>B</w:t>
            </w: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1A2B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教育水平</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BA5F7"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教育、培训和研发机构的水平</w:t>
            </w:r>
          </w:p>
        </w:tc>
      </w:tr>
      <w:tr w:rsidR="006B10D9" w14:paraId="1E7EFD71"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0BF8C"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125DD"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其他投资风险</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67E7A"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除政治风险、经济风险、金融风险等之外的其他投资风险</w:t>
            </w:r>
          </w:p>
        </w:tc>
      </w:tr>
      <w:tr w:rsidR="006B10D9" w14:paraId="64B3942B"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CD99EB"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672E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社会安全</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22FE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每年每十万人中因谋杀死亡的人数</w:t>
            </w:r>
          </w:p>
        </w:tc>
      </w:tr>
      <w:tr w:rsidR="006B10D9" w14:paraId="2F1CF9B8"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480FC2"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1730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资本和人员流动限制</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6761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对资本和人员流动的限制</w:t>
            </w:r>
          </w:p>
        </w:tc>
      </w:tr>
      <w:tr w:rsidR="006B10D9" w14:paraId="21DD8FC8" w14:textId="77777777">
        <w:trPr>
          <w:trHeight w:val="370"/>
        </w:trPr>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A4C583"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政治风险</w:t>
            </w:r>
            <w:r>
              <w:rPr>
                <w:rFonts w:eastAsia="宋体" w:cs="Times New Roman" w:hint="eastAsia"/>
                <w:sz w:val="21"/>
                <w:szCs w:val="21"/>
              </w:rPr>
              <w:t>C</w:t>
            </w: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F8E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腐败控制</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D6B6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政治体系的腐败控制程度</w:t>
            </w:r>
          </w:p>
        </w:tc>
      </w:tr>
      <w:tr w:rsidR="006B10D9" w14:paraId="5195B6AC"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E1A4D3"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D233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外部冲突</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C084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国外的行为对在位政府带来的风险</w:t>
            </w:r>
          </w:p>
        </w:tc>
      </w:tr>
      <w:tr w:rsidR="006B10D9" w14:paraId="7F3ACF17"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8DD77F"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1C6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法治</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A3E7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履约质量和产权保护</w:t>
            </w:r>
          </w:p>
        </w:tc>
      </w:tr>
      <w:tr w:rsidR="006B10D9" w14:paraId="5E724D14"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7953A"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48CE4"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问责制度</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DD0DC"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政府对民众诉求的回应</w:t>
            </w:r>
          </w:p>
        </w:tc>
      </w:tr>
      <w:tr w:rsidR="006B10D9" w14:paraId="7D83620D"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03EB34"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31C28"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5</w:t>
            </w:r>
            <w:r>
              <w:rPr>
                <w:rFonts w:eastAsia="宋体" w:cs="微软雅黑" w:hint="eastAsia"/>
                <w:color w:val="000000"/>
                <w:sz w:val="21"/>
                <w:szCs w:val="21"/>
                <w:lang w:bidi="ar"/>
              </w:rPr>
              <w:t>政府效力</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C0472"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政府政策承诺的可信度</w:t>
            </w:r>
          </w:p>
        </w:tc>
      </w:tr>
      <w:tr w:rsidR="006B10D9" w14:paraId="08A6DBA5"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55885B"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CD9C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6</w:t>
            </w:r>
            <w:r>
              <w:rPr>
                <w:rFonts w:eastAsia="宋体" w:cs="微软雅黑" w:hint="eastAsia"/>
                <w:color w:val="000000"/>
                <w:sz w:val="21"/>
                <w:szCs w:val="21"/>
                <w:lang w:bidi="ar"/>
              </w:rPr>
              <w:t>政治稳定</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CB05F"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政权稳定性</w:t>
            </w:r>
          </w:p>
        </w:tc>
      </w:tr>
      <w:tr w:rsidR="006B10D9" w14:paraId="0A5F2BDA" w14:textId="77777777">
        <w:trPr>
          <w:trHeight w:val="422"/>
        </w:trPr>
        <w:tc>
          <w:tcPr>
            <w:tcW w:w="644" w:type="pct"/>
            <w:vMerge w:val="restart"/>
            <w:tcBorders>
              <w:top w:val="single" w:sz="4" w:space="0" w:color="000000"/>
              <w:left w:val="single" w:sz="4" w:space="0" w:color="000000"/>
              <w:right w:val="single" w:sz="4" w:space="0" w:color="000000"/>
            </w:tcBorders>
            <w:shd w:val="clear" w:color="auto" w:fill="auto"/>
            <w:vAlign w:val="center"/>
          </w:tcPr>
          <w:p w14:paraId="04450616" w14:textId="77777777" w:rsidR="006B10D9" w:rsidRDefault="00BE6472">
            <w:pPr>
              <w:widowControl/>
              <w:snapToGrid w:val="0"/>
              <w:spacing w:before="100" w:line="312" w:lineRule="auto"/>
              <w:ind w:firstLineChars="0" w:firstLine="0"/>
              <w:jc w:val="center"/>
              <w:rPr>
                <w:rFonts w:eastAsia="宋体" w:cs="微软雅黑"/>
                <w:color w:val="000000"/>
                <w:sz w:val="21"/>
                <w:szCs w:val="21"/>
              </w:rPr>
            </w:pPr>
            <w:r>
              <w:rPr>
                <w:rFonts w:eastAsia="宋体" w:cs="微软雅黑" w:hint="eastAsia"/>
                <w:color w:val="000000"/>
                <w:sz w:val="21"/>
                <w:szCs w:val="21"/>
              </w:rPr>
              <w:t>债务风险</w:t>
            </w:r>
            <w:r>
              <w:rPr>
                <w:rFonts w:eastAsia="宋体" w:cs="微软雅黑" w:hint="eastAsia"/>
                <w:color w:val="000000"/>
                <w:sz w:val="21"/>
                <w:szCs w:val="21"/>
              </w:rPr>
              <w:t>D</w:t>
            </w: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735DC"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1</w:t>
            </w:r>
            <w:r>
              <w:rPr>
                <w:rFonts w:eastAsia="宋体" w:cs="方正仿宋_GBK" w:hint="eastAsia"/>
                <w:color w:val="000000"/>
                <w:sz w:val="21"/>
                <w:szCs w:val="21"/>
                <w:lang w:bidi="ar"/>
              </w:rPr>
              <w:t>公共债务</w:t>
            </w:r>
            <w:r>
              <w:rPr>
                <w:rFonts w:eastAsia="宋体" w:cs="方正仿宋_GBK" w:hint="eastAsia"/>
                <w:color w:val="000000"/>
                <w:sz w:val="21"/>
                <w:szCs w:val="21"/>
                <w:lang w:bidi="ar"/>
              </w:rPr>
              <w:t>/GDP</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A17C9"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各级政府总债务</w:t>
            </w:r>
            <w:r>
              <w:rPr>
                <w:rFonts w:eastAsia="宋体" w:cs="方正仿宋_GBK" w:hint="eastAsia"/>
                <w:color w:val="000000"/>
                <w:sz w:val="21"/>
                <w:szCs w:val="21"/>
                <w:lang w:bidi="ar"/>
              </w:rPr>
              <w:t>/GDP</w:t>
            </w:r>
          </w:p>
        </w:tc>
      </w:tr>
      <w:tr w:rsidR="006B10D9" w14:paraId="28E418A7" w14:textId="77777777">
        <w:trPr>
          <w:trHeight w:val="370"/>
        </w:trPr>
        <w:tc>
          <w:tcPr>
            <w:tcW w:w="644" w:type="pct"/>
            <w:vMerge/>
            <w:tcBorders>
              <w:left w:val="single" w:sz="4" w:space="0" w:color="000000"/>
              <w:right w:val="single" w:sz="4" w:space="0" w:color="000000"/>
            </w:tcBorders>
            <w:shd w:val="clear" w:color="auto" w:fill="auto"/>
            <w:vAlign w:val="center"/>
          </w:tcPr>
          <w:p w14:paraId="0021F5A8"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9EEFF"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2</w:t>
            </w:r>
            <w:r>
              <w:rPr>
                <w:rFonts w:eastAsia="宋体" w:cs="方正仿宋_GBK" w:hint="eastAsia"/>
                <w:color w:val="000000"/>
                <w:sz w:val="21"/>
                <w:szCs w:val="21"/>
                <w:lang w:bidi="ar"/>
              </w:rPr>
              <w:t>外债</w:t>
            </w:r>
            <w:r>
              <w:rPr>
                <w:rFonts w:eastAsia="宋体" w:cs="方正仿宋_GBK" w:hint="eastAsia"/>
                <w:color w:val="000000"/>
                <w:sz w:val="21"/>
                <w:szCs w:val="21"/>
                <w:lang w:bidi="ar"/>
              </w:rPr>
              <w:t>/GDP</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272A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年末外债余额</w:t>
            </w:r>
            <w:r>
              <w:rPr>
                <w:rFonts w:eastAsia="宋体" w:cs="方正仿宋_GBK" w:hint="eastAsia"/>
                <w:color w:val="000000"/>
                <w:sz w:val="21"/>
                <w:szCs w:val="21"/>
                <w:lang w:bidi="ar"/>
              </w:rPr>
              <w:t>/GDP</w:t>
            </w:r>
          </w:p>
        </w:tc>
      </w:tr>
      <w:tr w:rsidR="006B10D9" w14:paraId="551650BD" w14:textId="77777777">
        <w:trPr>
          <w:trHeight w:val="370"/>
        </w:trPr>
        <w:tc>
          <w:tcPr>
            <w:tcW w:w="644" w:type="pct"/>
            <w:vMerge/>
            <w:tcBorders>
              <w:left w:val="single" w:sz="4" w:space="0" w:color="000000"/>
              <w:right w:val="single" w:sz="4" w:space="0" w:color="000000"/>
            </w:tcBorders>
            <w:shd w:val="clear" w:color="auto" w:fill="auto"/>
            <w:vAlign w:val="center"/>
          </w:tcPr>
          <w:p w14:paraId="51927ECE"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79141"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3</w:t>
            </w:r>
            <w:r>
              <w:rPr>
                <w:rFonts w:eastAsia="宋体" w:cs="方正仿宋_GBK" w:hint="eastAsia"/>
                <w:color w:val="000000"/>
                <w:sz w:val="21"/>
                <w:szCs w:val="21"/>
                <w:lang w:bidi="ar"/>
              </w:rPr>
              <w:t>短期外债</w:t>
            </w:r>
            <w:r>
              <w:rPr>
                <w:rFonts w:eastAsia="宋体" w:cs="方正仿宋_GBK" w:hint="eastAsia"/>
                <w:color w:val="000000"/>
                <w:sz w:val="21"/>
                <w:szCs w:val="21"/>
                <w:lang w:bidi="ar"/>
              </w:rPr>
              <w:t>/</w:t>
            </w:r>
            <w:r>
              <w:rPr>
                <w:rFonts w:eastAsia="宋体" w:cs="方正仿宋_GBK" w:hint="eastAsia"/>
                <w:color w:val="000000"/>
                <w:sz w:val="21"/>
                <w:szCs w:val="21"/>
                <w:lang w:bidi="ar"/>
              </w:rPr>
              <w:t>总外债</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C647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短期外债指期限在一年及以下债务</w:t>
            </w:r>
          </w:p>
        </w:tc>
      </w:tr>
      <w:tr w:rsidR="006B10D9" w14:paraId="5647CC2F" w14:textId="77777777">
        <w:trPr>
          <w:trHeight w:val="370"/>
        </w:trPr>
        <w:tc>
          <w:tcPr>
            <w:tcW w:w="644" w:type="pct"/>
            <w:vMerge/>
            <w:tcBorders>
              <w:left w:val="single" w:sz="4" w:space="0" w:color="000000"/>
              <w:bottom w:val="single" w:sz="4" w:space="0" w:color="000000"/>
              <w:right w:val="single" w:sz="4" w:space="0" w:color="000000"/>
            </w:tcBorders>
            <w:shd w:val="clear" w:color="auto" w:fill="auto"/>
            <w:vAlign w:val="center"/>
          </w:tcPr>
          <w:p w14:paraId="54244F01"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7CC3B"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4</w:t>
            </w:r>
            <w:r>
              <w:rPr>
                <w:rFonts w:eastAsia="宋体" w:cs="方正仿宋_GBK" w:hint="eastAsia"/>
                <w:color w:val="000000"/>
                <w:sz w:val="21"/>
                <w:szCs w:val="21"/>
                <w:lang w:bidi="ar"/>
              </w:rPr>
              <w:t>财政余额</w:t>
            </w:r>
            <w:r>
              <w:rPr>
                <w:rFonts w:eastAsia="宋体" w:cs="方正仿宋_GBK" w:hint="eastAsia"/>
                <w:color w:val="000000"/>
                <w:sz w:val="21"/>
                <w:szCs w:val="21"/>
                <w:lang w:bidi="ar"/>
              </w:rPr>
              <w:t>/GDP</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2B85E"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财政余额</w:t>
            </w:r>
            <w:r>
              <w:rPr>
                <w:rFonts w:eastAsia="宋体" w:cs="方正仿宋_GBK" w:hint="eastAsia"/>
                <w:color w:val="000000"/>
                <w:sz w:val="21"/>
                <w:szCs w:val="21"/>
                <w:lang w:bidi="ar"/>
              </w:rPr>
              <w:t>=</w:t>
            </w:r>
            <w:r>
              <w:rPr>
                <w:rFonts w:eastAsia="宋体" w:cs="方正仿宋_GBK" w:hint="eastAsia"/>
                <w:color w:val="000000"/>
                <w:sz w:val="21"/>
                <w:szCs w:val="21"/>
                <w:lang w:bidi="ar"/>
              </w:rPr>
              <w:t>财政收入</w:t>
            </w:r>
            <w:r>
              <w:rPr>
                <w:rFonts w:eastAsia="宋体" w:cs="方正仿宋_GBK" w:hint="eastAsia"/>
                <w:color w:val="000000"/>
                <w:sz w:val="21"/>
                <w:szCs w:val="21"/>
                <w:lang w:bidi="ar"/>
              </w:rPr>
              <w:t>-</w:t>
            </w:r>
            <w:r>
              <w:rPr>
                <w:rFonts w:eastAsia="宋体" w:cs="方正仿宋_GBK" w:hint="eastAsia"/>
                <w:color w:val="000000"/>
                <w:sz w:val="21"/>
                <w:szCs w:val="21"/>
                <w:lang w:bidi="ar"/>
              </w:rPr>
              <w:t>财政支出</w:t>
            </w:r>
          </w:p>
        </w:tc>
      </w:tr>
      <w:tr w:rsidR="006B10D9" w14:paraId="1BB47BEA" w14:textId="77777777">
        <w:trPr>
          <w:trHeight w:val="370"/>
        </w:trPr>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70FF58"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双边关系</w:t>
            </w:r>
            <w:r>
              <w:rPr>
                <w:rFonts w:eastAsia="宋体" w:cs="Times New Roman" w:hint="eastAsia"/>
                <w:sz w:val="21"/>
                <w:szCs w:val="21"/>
              </w:rPr>
              <w:t>E</w:t>
            </w: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0856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E</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贸易依存度</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A56E7"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是否签订双边贸易协定</w:t>
            </w:r>
          </w:p>
        </w:tc>
      </w:tr>
      <w:tr w:rsidR="006B10D9" w14:paraId="40372716" w14:textId="77777777">
        <w:trPr>
          <w:trHeight w:val="370"/>
        </w:trPr>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0288FC"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1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E289A"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E</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双边贸易协定</w:t>
            </w:r>
          </w:p>
        </w:tc>
        <w:tc>
          <w:tcPr>
            <w:tcW w:w="29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87BEF"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分数越高，对中国贸易依存度越高</w:t>
            </w:r>
          </w:p>
        </w:tc>
      </w:tr>
    </w:tbl>
    <w:p w14:paraId="1EE357BA" w14:textId="77777777" w:rsidR="006B10D9" w:rsidRDefault="006B10D9">
      <w:pPr>
        <w:spacing w:line="360" w:lineRule="auto"/>
        <w:ind w:firstLine="480"/>
        <w:rPr>
          <w:rFonts w:eastAsia="宋体" w:cs="Times New Roman"/>
          <w:sz w:val="24"/>
          <w:szCs w:val="24"/>
        </w:rPr>
      </w:pPr>
    </w:p>
    <w:p w14:paraId="12A94128" w14:textId="77777777" w:rsidR="006B10D9" w:rsidRDefault="006B10D9">
      <w:pPr>
        <w:snapToGrid w:val="0"/>
        <w:spacing w:line="240" w:lineRule="auto"/>
        <w:ind w:firstLineChars="0" w:firstLine="0"/>
      </w:pPr>
      <w:bookmarkStart w:id="60" w:name="_Toc5728"/>
    </w:p>
    <w:p w14:paraId="0235530F" w14:textId="77777777" w:rsidR="006B10D9" w:rsidRDefault="00BE6472">
      <w:pPr>
        <w:pStyle w:val="3"/>
        <w:spacing w:before="120" w:after="240"/>
      </w:pPr>
      <w:bookmarkStart w:id="61" w:name="_Toc93922387"/>
      <w:r>
        <w:rPr>
          <w:rFonts w:hint="eastAsia"/>
        </w:rPr>
        <w:t>（三）</w:t>
      </w:r>
      <w:r>
        <w:rPr>
          <w:rFonts w:hint="eastAsia"/>
        </w:rPr>
        <w:t>2019</w:t>
      </w:r>
      <w:r>
        <w:rPr>
          <w:rFonts w:hint="eastAsia"/>
        </w:rPr>
        <w:t>年国别风险综合得分情况</w:t>
      </w:r>
      <w:bookmarkEnd w:id="60"/>
      <w:bookmarkEnd w:id="61"/>
    </w:p>
    <w:p w14:paraId="52C00A6A" w14:textId="77777777" w:rsidR="006B10D9" w:rsidRDefault="00BE6472">
      <w:pPr>
        <w:pStyle w:val="4"/>
      </w:pPr>
      <w:bookmarkStart w:id="62" w:name="_Toc31826"/>
      <w:r>
        <w:rPr>
          <w:rFonts w:hint="eastAsia"/>
        </w:rPr>
        <w:t>1</w:t>
      </w:r>
      <w:r>
        <w:rPr>
          <w:rFonts w:cs="华文楷体" w:hint="eastAsia"/>
        </w:rPr>
        <w:t>.</w:t>
      </w:r>
      <w:r>
        <w:rPr>
          <w:rFonts w:hint="eastAsia"/>
        </w:rPr>
        <w:t>研究方法</w:t>
      </w:r>
      <w:bookmarkEnd w:id="62"/>
    </w:p>
    <w:p w14:paraId="2C5C658B" w14:textId="77777777" w:rsidR="006B10D9" w:rsidRDefault="00BE6472">
      <w:pPr>
        <w:spacing w:line="360" w:lineRule="auto"/>
        <w:ind w:firstLine="480"/>
        <w:rPr>
          <w:rFonts w:eastAsia="宋体" w:cs="Times New Roman"/>
          <w:sz w:val="24"/>
          <w:szCs w:val="24"/>
        </w:rPr>
      </w:pPr>
      <w:r>
        <w:rPr>
          <w:rFonts w:eastAsia="宋体" w:cs="Times New Roman"/>
          <w:sz w:val="24"/>
          <w:szCs w:val="24"/>
        </w:rPr>
        <w:t>首先，对</w:t>
      </w:r>
      <w:r>
        <w:rPr>
          <w:rFonts w:eastAsia="宋体" w:cs="Times New Roman" w:hint="eastAsia"/>
          <w:sz w:val="24"/>
          <w:szCs w:val="24"/>
        </w:rPr>
        <w:t>收集的</w:t>
      </w:r>
      <w:r>
        <w:rPr>
          <w:rFonts w:eastAsia="宋体" w:cs="Times New Roman"/>
          <w:sz w:val="24"/>
          <w:szCs w:val="24"/>
        </w:rPr>
        <w:t>数据进行处理。</w:t>
      </w:r>
      <w:r>
        <w:rPr>
          <w:rFonts w:eastAsia="宋体" w:cs="Times New Roman" w:hint="eastAsia"/>
          <w:sz w:val="24"/>
          <w:szCs w:val="24"/>
        </w:rPr>
        <w:t>不同评价指标往往具有不同的量纲和量纲单位，直接将它们进行综合既不合适，也没有实际意义。所以，必须将指标值转化为无量纲的相对数。在多指标综合评价中，有些指标值越大，评价越好，称为正向指标；有些指标值越小，评价越好，称为逆向指标。在综合评价时，首先将数据导入到</w:t>
      </w:r>
      <w:r>
        <w:rPr>
          <w:rFonts w:eastAsia="宋体" w:cs="Times New Roman" w:hint="eastAsia"/>
          <w:sz w:val="24"/>
          <w:szCs w:val="24"/>
        </w:rPr>
        <w:t>stata</w:t>
      </w:r>
      <w:r>
        <w:rPr>
          <w:rFonts w:eastAsia="宋体" w:cs="Times New Roman" w:hint="eastAsia"/>
          <w:sz w:val="24"/>
          <w:szCs w:val="24"/>
        </w:rPr>
        <w:t>中，并对各项指标进行正向化和逆向化处理，消除量纲影响。</w:t>
      </w:r>
    </w:p>
    <w:p w14:paraId="6FB05897" w14:textId="77777777" w:rsidR="006B10D9" w:rsidRDefault="00BE6472">
      <w:pPr>
        <w:spacing w:line="360" w:lineRule="auto"/>
        <w:ind w:firstLine="480"/>
        <w:rPr>
          <w:rFonts w:eastAsia="宋体" w:cs="Times New Roman"/>
          <w:sz w:val="24"/>
          <w:szCs w:val="24"/>
        </w:rPr>
      </w:pPr>
      <w:r>
        <w:rPr>
          <w:rFonts w:eastAsia="宋体" w:cs="Times New Roman"/>
          <w:sz w:val="24"/>
          <w:szCs w:val="24"/>
        </w:rPr>
        <w:t>其次，对产生的数据进行熵值法分析。</w:t>
      </w:r>
      <w:r>
        <w:rPr>
          <w:rFonts w:eastAsia="宋体" w:cs="Times New Roman" w:hint="eastAsia"/>
          <w:sz w:val="24"/>
          <w:szCs w:val="24"/>
        </w:rPr>
        <w:t>由于数据可能存在</w:t>
      </w:r>
      <w:r>
        <w:rPr>
          <w:rFonts w:eastAsia="宋体" w:cs="Times New Roman" w:hint="eastAsia"/>
          <w:sz w:val="24"/>
          <w:szCs w:val="24"/>
        </w:rPr>
        <w:t>0</w:t>
      </w:r>
      <w:r>
        <w:rPr>
          <w:rFonts w:eastAsia="宋体" w:cs="Times New Roman" w:hint="eastAsia"/>
          <w:sz w:val="24"/>
          <w:szCs w:val="24"/>
        </w:rPr>
        <w:t>的情况，在计算综合得分时进行非负平移，即标准化后等于</w:t>
      </w:r>
      <w:r>
        <w:rPr>
          <w:rFonts w:eastAsia="宋体" w:cs="Times New Roman" w:hint="eastAsia"/>
          <w:sz w:val="24"/>
          <w:szCs w:val="24"/>
        </w:rPr>
        <w:t>0</w:t>
      </w:r>
      <w:r>
        <w:rPr>
          <w:rFonts w:eastAsia="宋体" w:cs="Times New Roman" w:hint="eastAsia"/>
          <w:sz w:val="24"/>
          <w:szCs w:val="24"/>
        </w:rPr>
        <w:t>的数值加上</w:t>
      </w:r>
      <w:r>
        <w:rPr>
          <w:rFonts w:eastAsia="宋体" w:cs="Times New Roman" w:hint="eastAsia"/>
          <w:sz w:val="24"/>
          <w:szCs w:val="24"/>
        </w:rPr>
        <w:t>0.01</w:t>
      </w:r>
      <w:r>
        <w:rPr>
          <w:rFonts w:eastAsia="宋体" w:cs="Times New Roman" w:hint="eastAsia"/>
          <w:sz w:val="24"/>
          <w:szCs w:val="24"/>
        </w:rPr>
        <w:t>，最终得出熵值权重。</w:t>
      </w:r>
    </w:p>
    <w:p w14:paraId="5B43838D" w14:textId="77777777" w:rsidR="006B10D9" w:rsidRDefault="00BE6472">
      <w:pPr>
        <w:spacing w:line="360" w:lineRule="auto"/>
        <w:ind w:firstLineChars="0" w:firstLine="0"/>
        <w:jc w:val="center"/>
        <w:rPr>
          <w:rFonts w:eastAsia="宋体" w:cs="Times New Roman"/>
          <w:sz w:val="24"/>
          <w:szCs w:val="24"/>
        </w:rPr>
      </w:pPr>
      <w:r>
        <w:rPr>
          <w:rFonts w:eastAsia="宋体" w:cs="Times New Roman" w:hint="eastAsia"/>
          <w:noProof/>
          <w:sz w:val="24"/>
          <w:szCs w:val="24"/>
        </w:rPr>
        <w:lastRenderedPageBreak/>
        <w:drawing>
          <wp:inline distT="0" distB="0" distL="114300" distR="114300" wp14:anchorId="00E04B79" wp14:editId="37BC02FA">
            <wp:extent cx="5267325" cy="3009900"/>
            <wp:effectExtent l="0" t="0" r="5715" b="7620"/>
            <wp:docPr id="45724" name="图片 45724" descr="权重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4" name="图片 45724" descr="权重 (12)"/>
                    <pic:cNvPicPr>
                      <a:picLocks noChangeAspect="1"/>
                    </pic:cNvPicPr>
                  </pic:nvPicPr>
                  <pic:blipFill>
                    <a:blip r:embed="rId25"/>
                    <a:stretch>
                      <a:fillRect/>
                    </a:stretch>
                  </pic:blipFill>
                  <pic:spPr>
                    <a:xfrm>
                      <a:off x="0" y="0"/>
                      <a:ext cx="5267325" cy="3009900"/>
                    </a:xfrm>
                    <a:prstGeom prst="rect">
                      <a:avLst/>
                    </a:prstGeom>
                  </pic:spPr>
                </pic:pic>
              </a:graphicData>
            </a:graphic>
          </wp:inline>
        </w:drawing>
      </w:r>
    </w:p>
    <w:p w14:paraId="481AAB3D" w14:textId="77777777" w:rsidR="006B10D9" w:rsidRDefault="00BE6472">
      <w:pPr>
        <w:pStyle w:val="affb"/>
        <w:rPr>
          <w:szCs w:val="24"/>
        </w:rPr>
      </w:pPr>
      <w:r>
        <w:rPr>
          <w:rFonts w:hint="eastAsia"/>
        </w:rPr>
        <w:t>图</w:t>
      </w:r>
      <w:r>
        <w:rPr>
          <w:rFonts w:hint="eastAsia"/>
        </w:rPr>
        <w:t xml:space="preserve">9 </w:t>
      </w:r>
      <w:r>
        <w:t xml:space="preserve"> </w:t>
      </w:r>
      <w:r>
        <w:rPr>
          <w:rFonts w:hint="eastAsia"/>
        </w:rPr>
        <w:t>熵值权重</w:t>
      </w:r>
    </w:p>
    <w:p w14:paraId="4228160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再次，使用熵值法对</w:t>
      </w:r>
      <w:r>
        <w:rPr>
          <w:rFonts w:eastAsia="宋体" w:cs="Times New Roman" w:hint="eastAsia"/>
          <w:sz w:val="24"/>
          <w:szCs w:val="24"/>
        </w:rPr>
        <w:t>22</w:t>
      </w:r>
      <w:r>
        <w:rPr>
          <w:rFonts w:eastAsia="宋体" w:cs="Times New Roman" w:hint="eastAsia"/>
          <w:sz w:val="24"/>
          <w:szCs w:val="24"/>
        </w:rPr>
        <w:t>项二级指标进行权重计算。从图</w:t>
      </w:r>
      <w:r>
        <w:rPr>
          <w:rFonts w:eastAsia="宋体" w:cs="Times New Roman" w:hint="eastAsia"/>
          <w:sz w:val="24"/>
          <w:szCs w:val="24"/>
        </w:rPr>
        <w:t>9</w:t>
      </w:r>
      <w:r>
        <w:rPr>
          <w:rFonts w:eastAsia="宋体" w:cs="Times New Roman" w:hint="eastAsia"/>
          <w:sz w:val="24"/>
          <w:szCs w:val="24"/>
        </w:rPr>
        <w:t>可以看出：</w:t>
      </w:r>
      <w:r>
        <w:rPr>
          <w:rFonts w:eastAsia="宋体" w:cs="Times New Roman" w:hint="eastAsia"/>
          <w:sz w:val="24"/>
          <w:szCs w:val="24"/>
        </w:rPr>
        <w:t>GDP</w:t>
      </w:r>
      <w:r>
        <w:rPr>
          <w:rFonts w:eastAsia="宋体" w:cs="Times New Roman" w:hint="eastAsia"/>
          <w:sz w:val="24"/>
          <w:szCs w:val="24"/>
        </w:rPr>
        <w:t>、</w:t>
      </w:r>
      <w:r>
        <w:rPr>
          <w:rFonts w:eastAsia="宋体" w:cs="Times New Roman" w:hint="eastAsia"/>
          <w:sz w:val="24"/>
          <w:szCs w:val="24"/>
        </w:rPr>
        <w:t>GDP</w:t>
      </w:r>
      <w:r>
        <w:rPr>
          <w:rFonts w:eastAsia="宋体" w:cs="Times New Roman" w:hint="eastAsia"/>
          <w:sz w:val="24"/>
          <w:szCs w:val="24"/>
        </w:rPr>
        <w:t>增长率、人均</w:t>
      </w:r>
      <w:r>
        <w:rPr>
          <w:rFonts w:eastAsia="宋体" w:cs="Times New Roman" w:hint="eastAsia"/>
          <w:sz w:val="24"/>
          <w:szCs w:val="24"/>
        </w:rPr>
        <w:t>GDP</w:t>
      </w:r>
      <w:r>
        <w:rPr>
          <w:rFonts w:eastAsia="宋体" w:cs="Times New Roman" w:hint="eastAsia"/>
          <w:sz w:val="24"/>
          <w:szCs w:val="24"/>
        </w:rPr>
        <w:t>、贸易开放度、教育水平、其他投资风险、资本和人员流动限制、法治、腐败控制、问责制度、政府有效性、政治稳定性、贸易依存度、双边贸易协定、财政余额</w:t>
      </w:r>
      <w:r>
        <w:rPr>
          <w:rFonts w:eastAsia="宋体" w:cs="Times New Roman" w:hint="eastAsia"/>
          <w:sz w:val="24"/>
          <w:szCs w:val="24"/>
        </w:rPr>
        <w:t>/GDP</w:t>
      </w:r>
      <w:r>
        <w:rPr>
          <w:rFonts w:eastAsia="宋体" w:cs="Times New Roman" w:hint="eastAsia"/>
          <w:sz w:val="24"/>
          <w:szCs w:val="24"/>
        </w:rPr>
        <w:t>、失业率、通货膨胀、社会安全、外部冲突、公共债务</w:t>
      </w:r>
      <w:r>
        <w:rPr>
          <w:rFonts w:eastAsia="宋体" w:cs="Times New Roman" w:hint="eastAsia"/>
          <w:sz w:val="24"/>
          <w:szCs w:val="24"/>
        </w:rPr>
        <w:t>/GDP</w:t>
      </w:r>
      <w:r>
        <w:rPr>
          <w:rFonts w:eastAsia="宋体" w:cs="Times New Roman" w:hint="eastAsia"/>
          <w:sz w:val="24"/>
          <w:szCs w:val="24"/>
        </w:rPr>
        <w:t>、短期外债</w:t>
      </w:r>
      <w:r>
        <w:rPr>
          <w:rFonts w:eastAsia="宋体" w:cs="Times New Roman" w:hint="eastAsia"/>
          <w:sz w:val="24"/>
          <w:szCs w:val="24"/>
        </w:rPr>
        <w:t>/</w:t>
      </w:r>
      <w:r>
        <w:rPr>
          <w:rFonts w:eastAsia="宋体" w:cs="Times New Roman" w:hint="eastAsia"/>
          <w:sz w:val="24"/>
          <w:szCs w:val="24"/>
        </w:rPr>
        <w:t>总外债</w:t>
      </w:r>
      <w:r>
        <w:rPr>
          <w:rFonts w:eastAsia="宋体" w:cs="Times New Roman" w:hint="eastAsia"/>
          <w:sz w:val="24"/>
          <w:szCs w:val="24"/>
        </w:rPr>
        <w:t>,</w:t>
      </w:r>
      <w:r>
        <w:rPr>
          <w:rFonts w:eastAsia="宋体" w:cs="Times New Roman" w:hint="eastAsia"/>
          <w:sz w:val="24"/>
          <w:szCs w:val="24"/>
        </w:rPr>
        <w:t>外债</w:t>
      </w:r>
      <w:r>
        <w:rPr>
          <w:rFonts w:eastAsia="宋体" w:cs="Times New Roman" w:hint="eastAsia"/>
          <w:sz w:val="24"/>
          <w:szCs w:val="24"/>
        </w:rPr>
        <w:t>/GDP</w:t>
      </w:r>
      <w:r>
        <w:rPr>
          <w:rFonts w:eastAsia="宋体" w:cs="Times New Roman" w:hint="eastAsia"/>
          <w:sz w:val="24"/>
          <w:szCs w:val="24"/>
        </w:rPr>
        <w:t>的权重值分别是</w:t>
      </w:r>
      <w:r>
        <w:rPr>
          <w:rFonts w:eastAsia="宋体" w:cs="Times New Roman" w:hint="eastAsia"/>
          <w:sz w:val="24"/>
          <w:szCs w:val="24"/>
        </w:rPr>
        <w:t>0.246</w:t>
      </w:r>
      <w:r>
        <w:rPr>
          <w:rFonts w:eastAsia="宋体" w:cs="Times New Roman" w:hint="eastAsia"/>
          <w:sz w:val="24"/>
          <w:szCs w:val="24"/>
        </w:rPr>
        <w:t>，</w:t>
      </w:r>
      <w:r>
        <w:rPr>
          <w:rFonts w:eastAsia="宋体" w:cs="Times New Roman" w:hint="eastAsia"/>
          <w:sz w:val="24"/>
          <w:szCs w:val="24"/>
        </w:rPr>
        <w:t>0.009</w:t>
      </w:r>
      <w:r>
        <w:rPr>
          <w:rFonts w:eastAsia="宋体" w:cs="Times New Roman" w:hint="eastAsia"/>
          <w:sz w:val="24"/>
          <w:szCs w:val="24"/>
        </w:rPr>
        <w:t>，</w:t>
      </w:r>
      <w:r>
        <w:rPr>
          <w:rFonts w:eastAsia="宋体" w:cs="Times New Roman" w:hint="eastAsia"/>
          <w:sz w:val="24"/>
          <w:szCs w:val="24"/>
        </w:rPr>
        <w:t>0.149</w:t>
      </w:r>
      <w:r>
        <w:rPr>
          <w:rFonts w:eastAsia="宋体" w:cs="Times New Roman" w:hint="eastAsia"/>
          <w:sz w:val="24"/>
          <w:szCs w:val="24"/>
        </w:rPr>
        <w:t>，</w:t>
      </w:r>
      <w:r>
        <w:rPr>
          <w:rFonts w:eastAsia="宋体" w:cs="Times New Roman" w:hint="eastAsia"/>
          <w:sz w:val="24"/>
          <w:szCs w:val="24"/>
        </w:rPr>
        <w:t>0.080</w:t>
      </w:r>
      <w:r>
        <w:rPr>
          <w:rFonts w:eastAsia="宋体" w:cs="Times New Roman" w:hint="eastAsia"/>
          <w:sz w:val="24"/>
          <w:szCs w:val="24"/>
        </w:rPr>
        <w:t>，</w:t>
      </w:r>
      <w:r>
        <w:rPr>
          <w:rFonts w:eastAsia="宋体" w:cs="Times New Roman" w:hint="eastAsia"/>
          <w:sz w:val="24"/>
          <w:szCs w:val="24"/>
        </w:rPr>
        <w:t>0.031</w:t>
      </w:r>
      <w:r>
        <w:rPr>
          <w:rFonts w:eastAsia="宋体" w:cs="Times New Roman" w:hint="eastAsia"/>
          <w:sz w:val="24"/>
          <w:szCs w:val="24"/>
        </w:rPr>
        <w:t>，</w:t>
      </w:r>
      <w:r>
        <w:rPr>
          <w:rFonts w:eastAsia="宋体" w:cs="Times New Roman" w:hint="eastAsia"/>
          <w:sz w:val="24"/>
          <w:szCs w:val="24"/>
        </w:rPr>
        <w:t>0.025</w:t>
      </w:r>
      <w:r>
        <w:rPr>
          <w:rFonts w:eastAsia="宋体" w:cs="Times New Roman" w:hint="eastAsia"/>
          <w:sz w:val="24"/>
          <w:szCs w:val="24"/>
        </w:rPr>
        <w:t>，</w:t>
      </w:r>
      <w:r>
        <w:rPr>
          <w:rFonts w:eastAsia="宋体" w:cs="Times New Roman" w:hint="eastAsia"/>
          <w:sz w:val="24"/>
          <w:szCs w:val="24"/>
        </w:rPr>
        <w:t>0.039</w:t>
      </w:r>
      <w:r>
        <w:rPr>
          <w:rFonts w:eastAsia="宋体" w:cs="Times New Roman" w:hint="eastAsia"/>
          <w:sz w:val="24"/>
          <w:szCs w:val="24"/>
        </w:rPr>
        <w:t>，</w:t>
      </w:r>
      <w:r>
        <w:rPr>
          <w:rFonts w:eastAsia="宋体" w:cs="Times New Roman" w:hint="eastAsia"/>
          <w:sz w:val="24"/>
          <w:szCs w:val="24"/>
        </w:rPr>
        <w:t>0.037</w:t>
      </w:r>
      <w:r>
        <w:rPr>
          <w:rFonts w:eastAsia="宋体" w:cs="Times New Roman" w:hint="eastAsia"/>
          <w:sz w:val="24"/>
          <w:szCs w:val="24"/>
        </w:rPr>
        <w:t>，</w:t>
      </w:r>
      <w:r>
        <w:rPr>
          <w:rFonts w:eastAsia="宋体" w:cs="Times New Roman" w:hint="eastAsia"/>
          <w:sz w:val="24"/>
          <w:szCs w:val="24"/>
        </w:rPr>
        <w:t>0.032</w:t>
      </w:r>
      <w:r>
        <w:rPr>
          <w:rFonts w:eastAsia="宋体" w:cs="Times New Roman" w:hint="eastAsia"/>
          <w:sz w:val="24"/>
          <w:szCs w:val="24"/>
        </w:rPr>
        <w:t>，</w:t>
      </w:r>
      <w:r>
        <w:rPr>
          <w:rFonts w:eastAsia="宋体" w:cs="Times New Roman" w:hint="eastAsia"/>
          <w:sz w:val="24"/>
          <w:szCs w:val="24"/>
        </w:rPr>
        <w:t>0.028</w:t>
      </w:r>
      <w:r>
        <w:rPr>
          <w:rFonts w:eastAsia="宋体" w:cs="Times New Roman" w:hint="eastAsia"/>
          <w:sz w:val="24"/>
          <w:szCs w:val="24"/>
        </w:rPr>
        <w:t>，</w:t>
      </w:r>
      <w:r>
        <w:rPr>
          <w:rFonts w:eastAsia="宋体" w:cs="Times New Roman" w:hint="eastAsia"/>
          <w:sz w:val="24"/>
          <w:szCs w:val="24"/>
        </w:rPr>
        <w:t>0.034</w:t>
      </w:r>
      <w:r>
        <w:rPr>
          <w:rFonts w:eastAsia="宋体" w:cs="Times New Roman" w:hint="eastAsia"/>
          <w:sz w:val="24"/>
          <w:szCs w:val="24"/>
        </w:rPr>
        <w:t>，</w:t>
      </w:r>
      <w:r>
        <w:rPr>
          <w:rFonts w:eastAsia="宋体" w:cs="Times New Roman" w:hint="eastAsia"/>
          <w:sz w:val="24"/>
          <w:szCs w:val="24"/>
        </w:rPr>
        <w:t>0.026</w:t>
      </w:r>
      <w:r>
        <w:rPr>
          <w:rFonts w:eastAsia="宋体" w:cs="Times New Roman" w:hint="eastAsia"/>
          <w:sz w:val="24"/>
          <w:szCs w:val="24"/>
        </w:rPr>
        <w:t>，</w:t>
      </w:r>
      <w:r>
        <w:rPr>
          <w:rFonts w:eastAsia="宋体" w:cs="Times New Roman" w:hint="eastAsia"/>
          <w:sz w:val="24"/>
          <w:szCs w:val="24"/>
        </w:rPr>
        <w:t>0.092</w:t>
      </w:r>
      <w:r>
        <w:rPr>
          <w:rFonts w:eastAsia="宋体" w:cs="Times New Roman" w:hint="eastAsia"/>
          <w:sz w:val="24"/>
          <w:szCs w:val="24"/>
        </w:rPr>
        <w:t>，</w:t>
      </w:r>
      <w:r>
        <w:rPr>
          <w:rFonts w:eastAsia="宋体" w:cs="Times New Roman" w:hint="eastAsia"/>
          <w:sz w:val="24"/>
          <w:szCs w:val="24"/>
        </w:rPr>
        <w:t>0.059</w:t>
      </w:r>
      <w:r>
        <w:rPr>
          <w:rFonts w:eastAsia="宋体" w:cs="Times New Roman" w:hint="eastAsia"/>
          <w:sz w:val="24"/>
          <w:szCs w:val="24"/>
        </w:rPr>
        <w:t>，</w:t>
      </w:r>
      <w:r>
        <w:rPr>
          <w:rFonts w:eastAsia="宋体" w:cs="Times New Roman" w:hint="eastAsia"/>
          <w:sz w:val="24"/>
          <w:szCs w:val="24"/>
        </w:rPr>
        <w:t>0.023</w:t>
      </w:r>
      <w:r>
        <w:rPr>
          <w:rFonts w:eastAsia="宋体" w:cs="Times New Roman" w:hint="eastAsia"/>
          <w:sz w:val="24"/>
          <w:szCs w:val="24"/>
        </w:rPr>
        <w:t>，</w:t>
      </w:r>
      <w:r>
        <w:rPr>
          <w:rFonts w:eastAsia="宋体" w:cs="Times New Roman" w:hint="eastAsia"/>
          <w:sz w:val="24"/>
          <w:szCs w:val="24"/>
        </w:rPr>
        <w:t>0.009</w:t>
      </w:r>
      <w:r>
        <w:rPr>
          <w:rFonts w:eastAsia="宋体" w:cs="Times New Roman" w:hint="eastAsia"/>
          <w:sz w:val="24"/>
          <w:szCs w:val="24"/>
        </w:rPr>
        <w:t>，</w:t>
      </w:r>
      <w:r>
        <w:rPr>
          <w:rFonts w:eastAsia="宋体" w:cs="Times New Roman" w:hint="eastAsia"/>
          <w:sz w:val="24"/>
          <w:szCs w:val="24"/>
        </w:rPr>
        <w:t>0.006</w:t>
      </w:r>
      <w:r>
        <w:rPr>
          <w:rFonts w:eastAsia="宋体" w:cs="Times New Roman" w:hint="eastAsia"/>
          <w:sz w:val="24"/>
          <w:szCs w:val="24"/>
        </w:rPr>
        <w:t>，</w:t>
      </w:r>
      <w:r>
        <w:rPr>
          <w:rFonts w:eastAsia="宋体" w:cs="Times New Roman" w:hint="eastAsia"/>
          <w:sz w:val="24"/>
          <w:szCs w:val="24"/>
        </w:rPr>
        <w:t>0.012</w:t>
      </w:r>
      <w:r>
        <w:rPr>
          <w:rFonts w:eastAsia="宋体" w:cs="Times New Roman" w:hint="eastAsia"/>
          <w:sz w:val="24"/>
          <w:szCs w:val="24"/>
        </w:rPr>
        <w:t>，</w:t>
      </w:r>
      <w:r>
        <w:rPr>
          <w:rFonts w:eastAsia="宋体" w:cs="Times New Roman" w:hint="eastAsia"/>
          <w:sz w:val="24"/>
          <w:szCs w:val="24"/>
        </w:rPr>
        <w:t>0.037</w:t>
      </w:r>
      <w:r>
        <w:rPr>
          <w:rFonts w:eastAsia="宋体" w:cs="Times New Roman" w:hint="eastAsia"/>
          <w:sz w:val="24"/>
          <w:szCs w:val="24"/>
        </w:rPr>
        <w:t>，</w:t>
      </w:r>
      <w:r>
        <w:rPr>
          <w:rFonts w:eastAsia="宋体" w:cs="Times New Roman" w:hint="eastAsia"/>
          <w:sz w:val="24"/>
          <w:szCs w:val="24"/>
        </w:rPr>
        <w:t>0.007</w:t>
      </w:r>
      <w:r>
        <w:rPr>
          <w:rFonts w:eastAsia="宋体" w:cs="Times New Roman" w:hint="eastAsia"/>
          <w:sz w:val="24"/>
          <w:szCs w:val="24"/>
        </w:rPr>
        <w:t>，</w:t>
      </w:r>
      <w:r>
        <w:rPr>
          <w:rFonts w:eastAsia="宋体" w:cs="Times New Roman" w:hint="eastAsia"/>
          <w:sz w:val="24"/>
          <w:szCs w:val="24"/>
        </w:rPr>
        <w:t>0.016</w:t>
      </w:r>
      <w:r>
        <w:rPr>
          <w:rFonts w:eastAsia="宋体" w:cs="Times New Roman" w:hint="eastAsia"/>
          <w:sz w:val="24"/>
          <w:szCs w:val="24"/>
        </w:rPr>
        <w:t>，</w:t>
      </w:r>
      <w:r>
        <w:rPr>
          <w:rFonts w:eastAsia="宋体" w:cs="Times New Roman" w:hint="eastAsia"/>
          <w:sz w:val="24"/>
          <w:szCs w:val="24"/>
        </w:rPr>
        <w:t>0.003</w:t>
      </w:r>
      <w:r>
        <w:rPr>
          <w:rFonts w:eastAsia="宋体" w:cs="Times New Roman" w:hint="eastAsia"/>
          <w:sz w:val="24"/>
          <w:szCs w:val="24"/>
        </w:rPr>
        <w:t>。</w:t>
      </w:r>
    </w:p>
    <w:p w14:paraId="16E206B4" w14:textId="77777777" w:rsidR="006B10D9" w:rsidRDefault="00BE6472">
      <w:pPr>
        <w:pStyle w:val="4"/>
      </w:pPr>
      <w:bookmarkStart w:id="63" w:name="_Toc21837"/>
      <w:r>
        <w:rPr>
          <w:rFonts w:hint="eastAsia"/>
        </w:rPr>
        <w:t>2</w:t>
      </w:r>
      <w:r>
        <w:rPr>
          <w:rFonts w:cs="华文楷体" w:hint="eastAsia"/>
        </w:rPr>
        <w:t>.</w:t>
      </w:r>
      <w:r>
        <w:rPr>
          <w:rFonts w:hint="eastAsia"/>
        </w:rPr>
        <w:t>设置熵值法权重体系</w:t>
      </w:r>
      <w:bookmarkEnd w:id="63"/>
    </w:p>
    <w:p w14:paraId="7827DA0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在熵值法权重体系中，将经济风险、政治风险、社会风险、债务风险、双边关系五个一级指标权重均设置为</w:t>
      </w:r>
      <w:r>
        <w:rPr>
          <w:rFonts w:eastAsia="宋体" w:cs="Times New Roman" w:hint="eastAsia"/>
          <w:sz w:val="24"/>
          <w:szCs w:val="24"/>
        </w:rPr>
        <w:t>0.2</w:t>
      </w:r>
      <w:r>
        <w:rPr>
          <w:rFonts w:eastAsia="宋体" w:cs="Times New Roman" w:hint="eastAsia"/>
          <w:sz w:val="24"/>
          <w:szCs w:val="24"/>
        </w:rPr>
        <w:t>，</w:t>
      </w:r>
      <w:r>
        <w:rPr>
          <w:rFonts w:eastAsia="宋体" w:cs="Times New Roman" w:hint="eastAsia"/>
          <w:sz w:val="24"/>
          <w:szCs w:val="24"/>
        </w:rPr>
        <w:t>22</w:t>
      </w:r>
      <w:r>
        <w:rPr>
          <w:rFonts w:eastAsia="宋体" w:cs="Times New Roman" w:hint="eastAsia"/>
          <w:sz w:val="24"/>
          <w:szCs w:val="24"/>
        </w:rPr>
        <w:t>个二级子指标根据熵值法计算各指标信息含量，确定熵值权重，具体权重值见表</w:t>
      </w:r>
      <w:r>
        <w:rPr>
          <w:rFonts w:eastAsia="宋体" w:cs="Times New Roman" w:hint="eastAsia"/>
          <w:sz w:val="24"/>
          <w:szCs w:val="24"/>
        </w:rPr>
        <w:t>9</w:t>
      </w:r>
      <w:r>
        <w:rPr>
          <w:rFonts w:eastAsia="宋体" w:cs="Times New Roman" w:hint="eastAsia"/>
          <w:sz w:val="24"/>
          <w:szCs w:val="24"/>
        </w:rPr>
        <w:t>。</w:t>
      </w:r>
    </w:p>
    <w:tbl>
      <w:tblPr>
        <w:tblpPr w:leftFromText="180" w:rightFromText="180" w:vertAnchor="text" w:horzAnchor="page" w:tblpX="1957" w:tblpY="526"/>
        <w:tblOverlap w:val="never"/>
        <w:tblW w:w="8804" w:type="dxa"/>
        <w:tblLook w:val="04A0" w:firstRow="1" w:lastRow="0" w:firstColumn="1" w:lastColumn="0" w:noHBand="0" w:noVBand="1"/>
      </w:tblPr>
      <w:tblGrid>
        <w:gridCol w:w="1144"/>
        <w:gridCol w:w="2404"/>
        <w:gridCol w:w="3876"/>
        <w:gridCol w:w="1380"/>
      </w:tblGrid>
      <w:tr w:rsidR="006B10D9" w14:paraId="66CDCC93" w14:textId="77777777">
        <w:trPr>
          <w:trHeight w:val="370"/>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A9BF" w14:textId="77777777" w:rsidR="006B10D9" w:rsidRDefault="00BE6472">
            <w:pPr>
              <w:snapToGrid w:val="0"/>
              <w:spacing w:before="100" w:line="312" w:lineRule="auto"/>
              <w:ind w:firstLineChars="0" w:firstLine="0"/>
              <w:jc w:val="center"/>
              <w:rPr>
                <w:rFonts w:eastAsia="宋体" w:cs="微软雅黑"/>
                <w:b/>
                <w:bCs/>
                <w:color w:val="000000"/>
                <w:sz w:val="21"/>
                <w:szCs w:val="21"/>
              </w:rPr>
            </w:pPr>
            <w:r>
              <w:rPr>
                <w:rFonts w:eastAsia="宋体" w:cs="微软雅黑" w:hint="eastAsia"/>
                <w:b/>
                <w:bCs/>
                <w:color w:val="000000"/>
                <w:sz w:val="21"/>
                <w:szCs w:val="21"/>
              </w:rPr>
              <w:t>系统层</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0BE74"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1"/>
              </w:rPr>
            </w:pPr>
            <w:r>
              <w:rPr>
                <w:rFonts w:eastAsia="宋体" w:cs="微软雅黑" w:hint="eastAsia"/>
                <w:b/>
                <w:bCs/>
                <w:color w:val="000000"/>
                <w:sz w:val="21"/>
                <w:szCs w:val="21"/>
              </w:rPr>
              <w:t>指标层</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75F93"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1"/>
              </w:rPr>
            </w:pPr>
            <w:r>
              <w:rPr>
                <w:rFonts w:eastAsia="宋体" w:cs="微软雅黑" w:hint="eastAsia"/>
                <w:b/>
                <w:bCs/>
                <w:color w:val="000000"/>
                <w:sz w:val="21"/>
                <w:szCs w:val="21"/>
              </w:rPr>
              <w:t>指标含义</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A78ED"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1"/>
              </w:rPr>
            </w:pPr>
            <w:r>
              <w:rPr>
                <w:rFonts w:eastAsia="宋体" w:cs="微软雅黑" w:hint="eastAsia"/>
                <w:b/>
                <w:bCs/>
                <w:color w:val="000000"/>
                <w:sz w:val="21"/>
                <w:szCs w:val="21"/>
              </w:rPr>
              <w:t>熵值权重</w:t>
            </w:r>
          </w:p>
        </w:tc>
      </w:tr>
      <w:tr w:rsidR="006B10D9" w14:paraId="3DF04247" w14:textId="77777777">
        <w:trPr>
          <w:trHeight w:val="370"/>
        </w:trPr>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2E1141"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经济风险</w:t>
            </w:r>
            <w:r>
              <w:rPr>
                <w:rFonts w:eastAsia="宋体" w:cs="Times New Roman" w:hint="eastAsia"/>
                <w:sz w:val="21"/>
                <w:szCs w:val="21"/>
              </w:rPr>
              <w:t>A 0.2</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899A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1 </w:t>
            </w:r>
            <w:r>
              <w:rPr>
                <w:rFonts w:eastAsia="宋体" w:cs="微软雅黑" w:hint="eastAsia"/>
                <w:color w:val="000000"/>
                <w:sz w:val="21"/>
                <w:szCs w:val="21"/>
                <w:lang w:bidi="ar"/>
              </w:rPr>
              <w:t>GDP</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11A9"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经济总量</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4EC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24.6%</w:t>
            </w:r>
          </w:p>
        </w:tc>
      </w:tr>
      <w:tr w:rsidR="006B10D9" w14:paraId="63B18C96"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B7F2A"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367D"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2 </w:t>
            </w:r>
            <w:r>
              <w:rPr>
                <w:rFonts w:eastAsia="宋体" w:cs="微软雅黑" w:hint="eastAsia"/>
                <w:color w:val="000000"/>
                <w:sz w:val="21"/>
                <w:szCs w:val="21"/>
                <w:lang w:bidi="ar"/>
              </w:rPr>
              <w:t>人均</w:t>
            </w:r>
            <w:r>
              <w:rPr>
                <w:rFonts w:eastAsia="宋体" w:cs="微软雅黑" w:hint="eastAsia"/>
                <w:color w:val="000000"/>
                <w:sz w:val="21"/>
                <w:szCs w:val="21"/>
                <w:lang w:bidi="ar"/>
              </w:rPr>
              <w:t>GDP</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372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经济发展水平</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5693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14.94%</w:t>
            </w:r>
          </w:p>
        </w:tc>
      </w:tr>
      <w:tr w:rsidR="006B10D9" w14:paraId="0B3DC779"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6B4623"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E78E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GDP</w:t>
            </w:r>
            <w:r>
              <w:rPr>
                <w:rFonts w:eastAsia="宋体" w:cs="微软雅黑" w:hint="eastAsia"/>
                <w:color w:val="000000"/>
                <w:sz w:val="21"/>
                <w:szCs w:val="21"/>
                <w:lang w:bidi="ar"/>
              </w:rPr>
              <w:t>增长率</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19ECC"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经济增速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5C04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0.93%</w:t>
            </w:r>
          </w:p>
        </w:tc>
      </w:tr>
      <w:tr w:rsidR="006B10D9" w14:paraId="036AB466"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A2D78"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F3D7E"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贸易开放度</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F00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进出口总额</w:t>
            </w:r>
            <w:r>
              <w:rPr>
                <w:rFonts w:eastAsia="宋体" w:cs="方正仿宋_GBK" w:hint="eastAsia"/>
                <w:color w:val="000000"/>
                <w:sz w:val="21"/>
                <w:szCs w:val="21"/>
                <w:lang w:bidi="ar"/>
              </w:rPr>
              <w:t>/GDP</w:t>
            </w:r>
            <w:r>
              <w:rPr>
                <w:rFonts w:eastAsia="宋体" w:cs="方正仿宋_GBK" w:hint="eastAsia"/>
                <w:color w:val="000000"/>
                <w:sz w:val="21"/>
                <w:szCs w:val="21"/>
                <w:lang w:bidi="ar"/>
              </w:rPr>
              <w:t>，衡量贸易依赖度指数</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2192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8.03%</w:t>
            </w:r>
          </w:p>
        </w:tc>
      </w:tr>
      <w:tr w:rsidR="006B10D9" w14:paraId="73A0CDC0"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976361"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C4E2A"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5</w:t>
            </w:r>
            <w:r>
              <w:rPr>
                <w:rFonts w:eastAsia="宋体" w:cs="微软雅黑" w:hint="eastAsia"/>
                <w:color w:val="000000"/>
                <w:sz w:val="21"/>
                <w:szCs w:val="21"/>
                <w:lang w:bidi="ar"/>
              </w:rPr>
              <w:t>失业率</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F7781"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衡量失业状况</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45F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0.86%</w:t>
            </w:r>
          </w:p>
        </w:tc>
      </w:tr>
      <w:tr w:rsidR="006B10D9" w14:paraId="57469186"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2385B"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8F3C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6</w:t>
            </w:r>
            <w:r>
              <w:rPr>
                <w:rFonts w:eastAsia="宋体" w:cs="微软雅黑" w:hint="eastAsia"/>
                <w:color w:val="000000"/>
                <w:sz w:val="21"/>
                <w:szCs w:val="21"/>
                <w:lang w:bidi="ar"/>
              </w:rPr>
              <w:t>通货膨胀</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C9804"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整个经济体的价格变动率</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0CE49"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0.62%</w:t>
            </w:r>
          </w:p>
        </w:tc>
      </w:tr>
      <w:tr w:rsidR="006B10D9" w14:paraId="62F23AB3" w14:textId="77777777">
        <w:trPr>
          <w:trHeight w:val="370"/>
        </w:trPr>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4994B3"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社会风险</w:t>
            </w:r>
            <w:r>
              <w:rPr>
                <w:rFonts w:eastAsia="宋体" w:cs="Times New Roman" w:hint="eastAsia"/>
                <w:sz w:val="21"/>
                <w:szCs w:val="21"/>
              </w:rPr>
              <w:t>B 0.2</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A7AC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教育水平</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4354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教育、培训和研发机构的水平</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BAAC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3.14%</w:t>
            </w:r>
          </w:p>
        </w:tc>
      </w:tr>
      <w:tr w:rsidR="006B10D9" w14:paraId="5F2E05BA"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2D2A7"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7FA2E"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其他投资风险</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5825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除政治风险、经济风险、金融风险等之外的其他投资风险</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3279"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2.54%</w:t>
            </w:r>
          </w:p>
        </w:tc>
      </w:tr>
      <w:tr w:rsidR="006B10D9" w14:paraId="5086E6FB"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9E8C23"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CCD7"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社会安全</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941CC"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每年每十万人中因谋杀死亡的人数</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E2C5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1.15%</w:t>
            </w:r>
          </w:p>
        </w:tc>
      </w:tr>
      <w:tr w:rsidR="006B10D9" w14:paraId="381EE3C9"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816EE"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489F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资本和人员流动限制</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CC874"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对资本和人员流动的限制</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2E52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3.94%</w:t>
            </w:r>
          </w:p>
        </w:tc>
      </w:tr>
      <w:tr w:rsidR="006B10D9" w14:paraId="420A3E3B" w14:textId="77777777">
        <w:trPr>
          <w:trHeight w:val="370"/>
        </w:trPr>
        <w:tc>
          <w:tcPr>
            <w:tcW w:w="11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157A34"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政治风险</w:t>
            </w:r>
            <w:r>
              <w:rPr>
                <w:rFonts w:eastAsia="宋体" w:cs="Times New Roman" w:hint="eastAsia"/>
                <w:sz w:val="21"/>
                <w:szCs w:val="21"/>
              </w:rPr>
              <w:t>C 0.2</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DCAC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腐败</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7E186"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政治体系的腐败控制程度</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386E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3.22%</w:t>
            </w:r>
          </w:p>
        </w:tc>
      </w:tr>
      <w:tr w:rsidR="006B10D9" w14:paraId="3AF0CCB4"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0224C5"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94A0B"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外部冲突</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75D7"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国外的行为对在位政府带来的风险</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79DE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3.66%</w:t>
            </w:r>
          </w:p>
        </w:tc>
      </w:tr>
      <w:tr w:rsidR="006B10D9" w14:paraId="7774986D"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E9FAEB"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BE7E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法治</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7824"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履约质量和产权保护</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6DF6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3.65%</w:t>
            </w:r>
          </w:p>
        </w:tc>
      </w:tr>
      <w:tr w:rsidR="006B10D9" w14:paraId="77B5670D"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088808"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76D4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问责制度</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21FD"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政府对民众诉求的回应</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FDCC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2.76%</w:t>
            </w:r>
          </w:p>
        </w:tc>
      </w:tr>
      <w:tr w:rsidR="006B10D9" w14:paraId="5AF5E4F7"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3F56BC"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F2B4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5</w:t>
            </w:r>
            <w:r>
              <w:rPr>
                <w:rFonts w:eastAsia="宋体" w:cs="微软雅黑" w:hint="eastAsia"/>
                <w:color w:val="000000"/>
                <w:sz w:val="21"/>
                <w:szCs w:val="21"/>
                <w:lang w:bidi="ar"/>
              </w:rPr>
              <w:t>政府效力</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B6F5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政府政策承诺的可信度</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A8FA8"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3.39%</w:t>
            </w:r>
          </w:p>
        </w:tc>
      </w:tr>
      <w:tr w:rsidR="006B10D9" w14:paraId="43B6016D" w14:textId="77777777">
        <w:trPr>
          <w:trHeight w:val="370"/>
        </w:trPr>
        <w:tc>
          <w:tcPr>
            <w:tcW w:w="11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5DB5C4"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2F877"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6</w:t>
            </w:r>
            <w:r>
              <w:rPr>
                <w:rFonts w:eastAsia="宋体" w:cs="微软雅黑" w:hint="eastAsia"/>
                <w:color w:val="000000"/>
                <w:sz w:val="21"/>
                <w:szCs w:val="21"/>
                <w:lang w:bidi="ar"/>
              </w:rPr>
              <w:t>政治稳定</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2EC6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政治稳定性</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34EE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2.61%</w:t>
            </w:r>
          </w:p>
        </w:tc>
      </w:tr>
      <w:tr w:rsidR="006B10D9" w14:paraId="3399DAFD" w14:textId="77777777">
        <w:trPr>
          <w:trHeight w:val="370"/>
        </w:trPr>
        <w:tc>
          <w:tcPr>
            <w:tcW w:w="1144" w:type="dxa"/>
            <w:vMerge w:val="restart"/>
            <w:tcBorders>
              <w:top w:val="single" w:sz="4" w:space="0" w:color="000000"/>
              <w:left w:val="single" w:sz="4" w:space="0" w:color="000000"/>
              <w:right w:val="single" w:sz="4" w:space="0" w:color="000000"/>
            </w:tcBorders>
            <w:shd w:val="clear" w:color="auto" w:fill="auto"/>
            <w:vAlign w:val="center"/>
          </w:tcPr>
          <w:p w14:paraId="38619DD2"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债务风险</w:t>
            </w:r>
          </w:p>
          <w:p w14:paraId="13F0585C"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D 0.2</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A777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1</w:t>
            </w:r>
            <w:r>
              <w:rPr>
                <w:rFonts w:eastAsia="宋体" w:cs="方正仿宋_GBK" w:hint="eastAsia"/>
                <w:color w:val="000000"/>
                <w:sz w:val="21"/>
                <w:szCs w:val="21"/>
                <w:lang w:bidi="ar"/>
              </w:rPr>
              <w:t>公共债务</w:t>
            </w:r>
            <w:r>
              <w:rPr>
                <w:rFonts w:eastAsia="宋体" w:cs="方正仿宋_GBK" w:hint="eastAsia"/>
                <w:color w:val="000000"/>
                <w:sz w:val="21"/>
                <w:szCs w:val="21"/>
                <w:lang w:bidi="ar"/>
              </w:rPr>
              <w:t>/GDP</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28D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各级政府总债务</w:t>
            </w:r>
            <w:r>
              <w:rPr>
                <w:rFonts w:eastAsia="宋体" w:cs="方正仿宋_GBK" w:hint="eastAsia"/>
                <w:color w:val="000000"/>
                <w:sz w:val="21"/>
                <w:szCs w:val="21"/>
                <w:lang w:bidi="ar"/>
              </w:rPr>
              <w:t>/GDP</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C33BE"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0.72%</w:t>
            </w:r>
          </w:p>
        </w:tc>
      </w:tr>
      <w:tr w:rsidR="006B10D9" w14:paraId="0DFCDE34" w14:textId="77777777">
        <w:trPr>
          <w:trHeight w:val="370"/>
        </w:trPr>
        <w:tc>
          <w:tcPr>
            <w:tcW w:w="1144" w:type="dxa"/>
            <w:vMerge/>
            <w:tcBorders>
              <w:left w:val="single" w:sz="4" w:space="0" w:color="000000"/>
              <w:right w:val="single" w:sz="4" w:space="0" w:color="000000"/>
            </w:tcBorders>
            <w:shd w:val="clear" w:color="auto" w:fill="auto"/>
            <w:vAlign w:val="center"/>
          </w:tcPr>
          <w:p w14:paraId="3072E305"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BF8C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2</w:t>
            </w:r>
            <w:r>
              <w:rPr>
                <w:rFonts w:eastAsia="宋体" w:cs="方正仿宋_GBK" w:hint="eastAsia"/>
                <w:color w:val="000000"/>
                <w:sz w:val="21"/>
                <w:szCs w:val="21"/>
                <w:lang w:bidi="ar"/>
              </w:rPr>
              <w:t>外债</w:t>
            </w:r>
            <w:r>
              <w:rPr>
                <w:rFonts w:eastAsia="宋体" w:cs="方正仿宋_GBK" w:hint="eastAsia"/>
                <w:color w:val="000000"/>
                <w:sz w:val="21"/>
                <w:szCs w:val="21"/>
                <w:lang w:bidi="ar"/>
              </w:rPr>
              <w:t>/GDP</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2D7F6"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年末外债余额</w:t>
            </w:r>
            <w:r>
              <w:rPr>
                <w:rFonts w:eastAsia="宋体" w:cs="方正仿宋_GBK" w:hint="eastAsia"/>
                <w:color w:val="000000"/>
                <w:sz w:val="21"/>
                <w:szCs w:val="21"/>
                <w:lang w:bidi="ar"/>
              </w:rPr>
              <w:t>/GDP</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3B5A8"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0.25%</w:t>
            </w:r>
          </w:p>
        </w:tc>
      </w:tr>
      <w:tr w:rsidR="006B10D9" w14:paraId="39657BF1" w14:textId="77777777">
        <w:trPr>
          <w:trHeight w:val="370"/>
        </w:trPr>
        <w:tc>
          <w:tcPr>
            <w:tcW w:w="1144" w:type="dxa"/>
            <w:vMerge/>
            <w:tcBorders>
              <w:left w:val="single" w:sz="4" w:space="0" w:color="000000"/>
              <w:right w:val="single" w:sz="4" w:space="0" w:color="000000"/>
            </w:tcBorders>
            <w:shd w:val="clear" w:color="auto" w:fill="auto"/>
            <w:vAlign w:val="center"/>
          </w:tcPr>
          <w:p w14:paraId="38E52138"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8414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3</w:t>
            </w:r>
            <w:r>
              <w:rPr>
                <w:rFonts w:eastAsia="宋体" w:cs="方正仿宋_GBK" w:hint="eastAsia"/>
                <w:color w:val="000000"/>
                <w:sz w:val="21"/>
                <w:szCs w:val="21"/>
                <w:lang w:bidi="ar"/>
              </w:rPr>
              <w:t>短期外债</w:t>
            </w:r>
            <w:r>
              <w:rPr>
                <w:rFonts w:eastAsia="宋体" w:cs="方正仿宋_GBK" w:hint="eastAsia"/>
                <w:color w:val="000000"/>
                <w:sz w:val="21"/>
                <w:szCs w:val="21"/>
                <w:lang w:bidi="ar"/>
              </w:rPr>
              <w:t>/</w:t>
            </w:r>
            <w:r>
              <w:rPr>
                <w:rFonts w:eastAsia="宋体" w:cs="方正仿宋_GBK" w:hint="eastAsia"/>
                <w:color w:val="000000"/>
                <w:sz w:val="21"/>
                <w:szCs w:val="21"/>
                <w:lang w:bidi="ar"/>
              </w:rPr>
              <w:t>总外债</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C2146"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短期外债指期限在一年及以下债务</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538EB"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1.61%</w:t>
            </w:r>
          </w:p>
        </w:tc>
      </w:tr>
      <w:tr w:rsidR="006B10D9" w14:paraId="6613719C" w14:textId="77777777">
        <w:trPr>
          <w:trHeight w:val="370"/>
        </w:trPr>
        <w:tc>
          <w:tcPr>
            <w:tcW w:w="1144" w:type="dxa"/>
            <w:vMerge/>
            <w:tcBorders>
              <w:left w:val="single" w:sz="4" w:space="0" w:color="000000"/>
              <w:bottom w:val="single" w:sz="4" w:space="0" w:color="000000"/>
              <w:right w:val="single" w:sz="4" w:space="0" w:color="000000"/>
            </w:tcBorders>
            <w:shd w:val="clear" w:color="auto" w:fill="auto"/>
            <w:vAlign w:val="center"/>
          </w:tcPr>
          <w:p w14:paraId="0550ADF6"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E6EF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4</w:t>
            </w:r>
            <w:r>
              <w:rPr>
                <w:rFonts w:eastAsia="宋体" w:cs="方正仿宋_GBK" w:hint="eastAsia"/>
                <w:color w:val="000000"/>
                <w:sz w:val="21"/>
                <w:szCs w:val="21"/>
                <w:lang w:bidi="ar"/>
              </w:rPr>
              <w:t>财政余额</w:t>
            </w:r>
            <w:r>
              <w:rPr>
                <w:rFonts w:eastAsia="宋体" w:cs="方正仿宋_GBK" w:hint="eastAsia"/>
                <w:color w:val="000000"/>
                <w:sz w:val="21"/>
                <w:szCs w:val="21"/>
                <w:lang w:bidi="ar"/>
              </w:rPr>
              <w:t>/GDP</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2CC59"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财政余额</w:t>
            </w:r>
            <w:r>
              <w:rPr>
                <w:rFonts w:eastAsia="宋体" w:cs="方正仿宋_GBK" w:hint="eastAsia"/>
                <w:color w:val="000000"/>
                <w:sz w:val="21"/>
                <w:szCs w:val="21"/>
                <w:lang w:bidi="ar"/>
              </w:rPr>
              <w:t>=</w:t>
            </w:r>
            <w:r>
              <w:rPr>
                <w:rFonts w:eastAsia="宋体" w:cs="方正仿宋_GBK" w:hint="eastAsia"/>
                <w:color w:val="000000"/>
                <w:sz w:val="21"/>
                <w:szCs w:val="21"/>
                <w:lang w:bidi="ar"/>
              </w:rPr>
              <w:t>财政收入</w:t>
            </w:r>
            <w:r>
              <w:rPr>
                <w:rFonts w:eastAsia="宋体" w:cs="方正仿宋_GBK" w:hint="eastAsia"/>
                <w:color w:val="000000"/>
                <w:sz w:val="21"/>
                <w:szCs w:val="21"/>
                <w:lang w:bidi="ar"/>
              </w:rPr>
              <w:t>-</w:t>
            </w:r>
            <w:r>
              <w:rPr>
                <w:rFonts w:eastAsia="宋体" w:cs="方正仿宋_GBK" w:hint="eastAsia"/>
                <w:color w:val="000000"/>
                <w:sz w:val="21"/>
                <w:szCs w:val="21"/>
                <w:lang w:bidi="ar"/>
              </w:rPr>
              <w:t>财政支出</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6400A"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2.3%</w:t>
            </w:r>
          </w:p>
        </w:tc>
      </w:tr>
      <w:tr w:rsidR="006B10D9" w14:paraId="56F0DBDF" w14:textId="77777777">
        <w:trPr>
          <w:trHeight w:val="370"/>
        </w:trPr>
        <w:tc>
          <w:tcPr>
            <w:tcW w:w="1144" w:type="dxa"/>
            <w:vMerge w:val="restart"/>
            <w:tcBorders>
              <w:top w:val="single" w:sz="4" w:space="0" w:color="000000"/>
              <w:left w:val="single" w:sz="4" w:space="0" w:color="000000"/>
              <w:right w:val="single" w:sz="4" w:space="0" w:color="000000"/>
            </w:tcBorders>
            <w:shd w:val="clear" w:color="auto" w:fill="auto"/>
            <w:vAlign w:val="center"/>
          </w:tcPr>
          <w:p w14:paraId="12FA4D6F" w14:textId="77777777" w:rsidR="006B10D9" w:rsidRDefault="00BE6472">
            <w:pPr>
              <w:snapToGrid w:val="0"/>
              <w:spacing w:before="100" w:line="312" w:lineRule="auto"/>
              <w:ind w:firstLineChars="0" w:firstLine="0"/>
              <w:jc w:val="center"/>
              <w:rPr>
                <w:rFonts w:eastAsia="宋体" w:cs="微软雅黑"/>
                <w:color w:val="000000"/>
                <w:sz w:val="21"/>
                <w:szCs w:val="21"/>
              </w:rPr>
            </w:pPr>
            <w:r>
              <w:rPr>
                <w:rFonts w:eastAsia="宋体" w:cs="Times New Roman" w:hint="eastAsia"/>
                <w:sz w:val="21"/>
                <w:szCs w:val="21"/>
              </w:rPr>
              <w:t>双边关系</w:t>
            </w:r>
            <w:r>
              <w:rPr>
                <w:rFonts w:eastAsia="宋体" w:cs="Times New Roman" w:hint="eastAsia"/>
                <w:sz w:val="21"/>
                <w:szCs w:val="21"/>
              </w:rPr>
              <w:t>E 0.2</w:t>
            </w: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9540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E</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贸易依存度</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A1717"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是否签订双边贸易协定</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4B92D"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9.15%</w:t>
            </w:r>
          </w:p>
        </w:tc>
      </w:tr>
      <w:tr w:rsidR="006B10D9" w14:paraId="342ACDFF" w14:textId="77777777">
        <w:trPr>
          <w:trHeight w:val="370"/>
        </w:trPr>
        <w:tc>
          <w:tcPr>
            <w:tcW w:w="1144" w:type="dxa"/>
            <w:vMerge/>
            <w:tcBorders>
              <w:left w:val="single" w:sz="4" w:space="0" w:color="000000"/>
              <w:bottom w:val="single" w:sz="4" w:space="0" w:color="000000"/>
              <w:right w:val="single" w:sz="4" w:space="0" w:color="000000"/>
            </w:tcBorders>
            <w:shd w:val="clear" w:color="auto" w:fill="auto"/>
            <w:vAlign w:val="center"/>
          </w:tcPr>
          <w:p w14:paraId="712FE2C2" w14:textId="77777777" w:rsidR="006B10D9" w:rsidRDefault="006B10D9">
            <w:pPr>
              <w:snapToGrid w:val="0"/>
              <w:spacing w:before="100" w:line="312" w:lineRule="auto"/>
              <w:ind w:firstLineChars="0" w:firstLine="0"/>
              <w:jc w:val="center"/>
              <w:rPr>
                <w:rFonts w:eastAsia="宋体" w:cs="微软雅黑"/>
                <w:color w:val="000000"/>
                <w:sz w:val="21"/>
                <w:szCs w:val="21"/>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B2A2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E</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双边贸易协定</w:t>
            </w:r>
          </w:p>
        </w:tc>
        <w:tc>
          <w:tcPr>
            <w:tcW w:w="3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C255C"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分数越高，对中国贸易依存度越高</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E714"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5.93%</w:t>
            </w:r>
          </w:p>
        </w:tc>
      </w:tr>
    </w:tbl>
    <w:p w14:paraId="692D8068" w14:textId="77777777" w:rsidR="006B10D9" w:rsidRDefault="00BE6472">
      <w:pPr>
        <w:pStyle w:val="affd"/>
      </w:pPr>
      <w:r>
        <w:rPr>
          <w:rFonts w:hint="eastAsia"/>
        </w:rPr>
        <w:t>表</w:t>
      </w:r>
      <w:r>
        <w:rPr>
          <w:rFonts w:hint="eastAsia"/>
        </w:rPr>
        <w:t>9  2019</w:t>
      </w:r>
      <w:r>
        <w:rPr>
          <w:rFonts w:hint="eastAsia"/>
        </w:rPr>
        <w:t>年对外投资国别风险评价体系指标权重</w:t>
      </w:r>
    </w:p>
    <w:p w14:paraId="11A40EA5" w14:textId="77777777" w:rsidR="006B10D9" w:rsidRDefault="006B10D9">
      <w:pPr>
        <w:snapToGrid w:val="0"/>
        <w:spacing w:line="240" w:lineRule="auto"/>
        <w:ind w:firstLineChars="0" w:firstLine="0"/>
      </w:pPr>
      <w:bookmarkStart w:id="64" w:name="_Toc11738"/>
    </w:p>
    <w:p w14:paraId="5DD282E4" w14:textId="77777777" w:rsidR="006B10D9" w:rsidRDefault="00BE6472">
      <w:pPr>
        <w:pStyle w:val="4"/>
      </w:pPr>
      <w:r>
        <w:rPr>
          <w:rFonts w:hint="eastAsia"/>
        </w:rPr>
        <w:t>3</w:t>
      </w:r>
      <w:r>
        <w:rPr>
          <w:rFonts w:cs="华文楷体" w:hint="eastAsia"/>
        </w:rPr>
        <w:t>.</w:t>
      </w:r>
      <w:r>
        <w:rPr>
          <w:rFonts w:hint="eastAsia"/>
        </w:rPr>
        <w:t>国别风险综合得分及排名</w:t>
      </w:r>
      <w:bookmarkEnd w:id="64"/>
    </w:p>
    <w:p w14:paraId="6FF45272"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）风险度量</w:t>
      </w:r>
    </w:p>
    <w:p w14:paraId="0B0BD5A8" w14:textId="77777777" w:rsidR="006B10D9" w:rsidRDefault="00BE6472">
      <w:pPr>
        <w:spacing w:line="360" w:lineRule="auto"/>
        <w:ind w:firstLine="480"/>
        <w:rPr>
          <w:rFonts w:eastAsia="宋体" w:cs="Times New Roman"/>
          <w:sz w:val="24"/>
          <w:szCs w:val="24"/>
        </w:rPr>
      </w:pPr>
      <w:r>
        <w:rPr>
          <w:rFonts w:eastAsia="宋体" w:cs="Times New Roman"/>
          <w:sz w:val="24"/>
          <w:szCs w:val="24"/>
        </w:rPr>
        <w:t>风险度量是在风险识别和分析的基础上进行的风险判断，根据上述风险得分进行等级评判，本研究将</w:t>
      </w:r>
      <w:r>
        <w:rPr>
          <w:rFonts w:eastAsia="宋体" w:cs="Times New Roman" w:hint="eastAsia"/>
          <w:sz w:val="24"/>
          <w:szCs w:val="24"/>
        </w:rPr>
        <w:t>风险等级</w:t>
      </w:r>
      <w:r>
        <w:rPr>
          <w:rFonts w:eastAsia="宋体" w:cs="Times New Roman"/>
          <w:sz w:val="24"/>
          <w:szCs w:val="24"/>
        </w:rPr>
        <w:t>分成</w:t>
      </w:r>
      <w:r>
        <w:rPr>
          <w:rFonts w:eastAsia="宋体" w:cs="Times New Roman" w:hint="eastAsia"/>
          <w:sz w:val="24"/>
          <w:szCs w:val="24"/>
        </w:rPr>
        <w:t>4</w:t>
      </w:r>
      <w:r>
        <w:rPr>
          <w:rFonts w:eastAsia="宋体" w:cs="Times New Roman" w:hint="eastAsia"/>
          <w:sz w:val="24"/>
          <w:szCs w:val="24"/>
        </w:rPr>
        <w:t>个区域</w:t>
      </w:r>
      <w:r>
        <w:rPr>
          <w:rFonts w:eastAsia="宋体" w:cs="Times New Roman"/>
          <w:sz w:val="24"/>
          <w:szCs w:val="24"/>
        </w:rPr>
        <w:t>，即：</w:t>
      </w:r>
    </w:p>
    <w:p w14:paraId="6010336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F</w:t>
      </w:r>
      <w:r>
        <w:rPr>
          <w:rFonts w:eastAsia="宋体" w:cs="Times New Roman" w:hint="eastAsia"/>
          <w:sz w:val="24"/>
          <w:szCs w:val="24"/>
        </w:rPr>
        <w:t>≥</w:t>
      </w:r>
      <w:r>
        <w:rPr>
          <w:rFonts w:eastAsia="宋体" w:cs="Times New Roman" w:hint="eastAsia"/>
          <w:sz w:val="24"/>
          <w:szCs w:val="24"/>
        </w:rPr>
        <w:t>40</w:t>
      </w:r>
      <w:r>
        <w:rPr>
          <w:rFonts w:eastAsia="宋体" w:cs="Times New Roman"/>
          <w:sz w:val="24"/>
          <w:szCs w:val="24"/>
        </w:rPr>
        <w:t>为正常区域；</w:t>
      </w:r>
    </w:p>
    <w:p w14:paraId="6891823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30</w:t>
      </w:r>
      <w:r>
        <w:rPr>
          <w:rFonts w:eastAsia="宋体" w:cs="Times New Roman" w:hint="eastAsia"/>
          <w:sz w:val="24"/>
          <w:szCs w:val="24"/>
        </w:rPr>
        <w:t>≤</w:t>
      </w:r>
      <w:r>
        <w:rPr>
          <w:rFonts w:eastAsia="宋体" w:cs="Times New Roman" w:hint="eastAsia"/>
          <w:sz w:val="24"/>
          <w:szCs w:val="24"/>
        </w:rPr>
        <w:t>F</w:t>
      </w:r>
      <w:r>
        <w:rPr>
          <w:rFonts w:eastAsia="宋体" w:cs="Times New Roman" w:hint="eastAsia"/>
          <w:sz w:val="24"/>
          <w:szCs w:val="24"/>
        </w:rPr>
        <w:t>＜</w:t>
      </w:r>
      <w:r>
        <w:rPr>
          <w:rFonts w:eastAsia="宋体" w:cs="Times New Roman" w:hint="eastAsia"/>
          <w:sz w:val="24"/>
          <w:szCs w:val="24"/>
        </w:rPr>
        <w:t>40</w:t>
      </w:r>
      <w:r>
        <w:rPr>
          <w:rFonts w:eastAsia="宋体" w:cs="Times New Roman"/>
          <w:sz w:val="24"/>
          <w:szCs w:val="24"/>
        </w:rPr>
        <w:t>为防范区域；</w:t>
      </w:r>
    </w:p>
    <w:p w14:paraId="313D328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w:t>
      </w:r>
      <w:r>
        <w:rPr>
          <w:rFonts w:eastAsia="宋体" w:cs="Times New Roman" w:hint="eastAsia"/>
          <w:sz w:val="24"/>
          <w:szCs w:val="24"/>
        </w:rPr>
        <w:t>≤</w:t>
      </w:r>
      <w:r>
        <w:rPr>
          <w:rFonts w:eastAsia="宋体" w:cs="Times New Roman" w:hint="eastAsia"/>
          <w:sz w:val="24"/>
          <w:szCs w:val="24"/>
        </w:rPr>
        <w:t>F</w:t>
      </w:r>
      <w:r>
        <w:rPr>
          <w:rFonts w:eastAsia="宋体" w:cs="Times New Roman" w:hint="eastAsia"/>
          <w:sz w:val="24"/>
          <w:szCs w:val="24"/>
        </w:rPr>
        <w:t>＜</w:t>
      </w:r>
      <w:r>
        <w:rPr>
          <w:rFonts w:eastAsia="宋体" w:cs="Times New Roman" w:hint="eastAsia"/>
          <w:sz w:val="24"/>
          <w:szCs w:val="24"/>
        </w:rPr>
        <w:t>30</w:t>
      </w:r>
      <w:r>
        <w:rPr>
          <w:rFonts w:eastAsia="宋体" w:cs="Times New Roman"/>
          <w:sz w:val="24"/>
          <w:szCs w:val="24"/>
        </w:rPr>
        <w:t>为警戒区域；</w:t>
      </w:r>
    </w:p>
    <w:p w14:paraId="13C72D0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10</w:t>
      </w:r>
      <w:r>
        <w:rPr>
          <w:rFonts w:eastAsia="宋体" w:cs="Times New Roman" w:hint="eastAsia"/>
          <w:sz w:val="24"/>
          <w:szCs w:val="24"/>
        </w:rPr>
        <w:t>≤</w:t>
      </w:r>
      <w:r>
        <w:rPr>
          <w:rFonts w:eastAsia="宋体" w:cs="Times New Roman" w:hint="eastAsia"/>
          <w:sz w:val="24"/>
          <w:szCs w:val="24"/>
        </w:rPr>
        <w:t>F</w:t>
      </w:r>
      <w:r>
        <w:rPr>
          <w:rFonts w:eastAsia="宋体" w:cs="Times New Roman" w:hint="eastAsia"/>
          <w:sz w:val="24"/>
          <w:szCs w:val="24"/>
        </w:rPr>
        <w:t>＜</w:t>
      </w:r>
      <w:r>
        <w:rPr>
          <w:rFonts w:eastAsia="宋体" w:cs="Times New Roman" w:hint="eastAsia"/>
          <w:sz w:val="24"/>
          <w:szCs w:val="24"/>
        </w:rPr>
        <w:t>20</w:t>
      </w:r>
      <w:r>
        <w:rPr>
          <w:rFonts w:eastAsia="宋体" w:cs="Times New Roman"/>
          <w:sz w:val="24"/>
          <w:szCs w:val="24"/>
        </w:rPr>
        <w:t>为危险区域；</w:t>
      </w:r>
    </w:p>
    <w:p w14:paraId="5B16EE75" w14:textId="77777777" w:rsidR="006B10D9" w:rsidRDefault="00BE6472">
      <w:pPr>
        <w:spacing w:line="360" w:lineRule="auto"/>
        <w:ind w:firstLine="480"/>
        <w:rPr>
          <w:rFonts w:eastAsia="宋体" w:cs="Times New Roman"/>
          <w:sz w:val="24"/>
          <w:szCs w:val="24"/>
        </w:rPr>
      </w:pPr>
      <w:r>
        <w:rPr>
          <w:rFonts w:eastAsia="宋体" w:cs="Times New Roman"/>
          <w:sz w:val="24"/>
          <w:szCs w:val="24"/>
        </w:rPr>
        <w:t>根据不同的风险等级，采取的监测方式相应不同：若风险等级较高，对其风险信</w:t>
      </w:r>
      <w:r>
        <w:rPr>
          <w:rFonts w:eastAsia="宋体" w:cs="Times New Roman"/>
          <w:sz w:val="24"/>
          <w:szCs w:val="24"/>
        </w:rPr>
        <w:lastRenderedPageBreak/>
        <w:t>号要持续进行特殊监测；若风险等级不高，可以对其信号进行常规监测或随机监测。</w:t>
      </w:r>
    </w:p>
    <w:p w14:paraId="19C6EFF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具体来说，</w:t>
      </w:r>
      <w:r>
        <w:rPr>
          <w:rFonts w:eastAsia="宋体" w:cs="Times New Roman"/>
          <w:sz w:val="24"/>
          <w:szCs w:val="24"/>
        </w:rPr>
        <w:t>对</w:t>
      </w:r>
      <w:r>
        <w:rPr>
          <w:rFonts w:eastAsia="宋体" w:cs="Times New Roman" w:hint="eastAsia"/>
          <w:sz w:val="24"/>
          <w:szCs w:val="24"/>
        </w:rPr>
        <w:t>得分</w:t>
      </w:r>
      <w:r>
        <w:rPr>
          <w:rFonts w:eastAsia="宋体" w:cs="Times New Roman"/>
          <w:sz w:val="24"/>
          <w:szCs w:val="24"/>
        </w:rPr>
        <w:t>等级处在</w:t>
      </w:r>
      <w:r>
        <w:rPr>
          <w:rFonts w:eastAsia="宋体" w:cs="Times New Roman" w:hint="eastAsia"/>
          <w:sz w:val="24"/>
          <w:szCs w:val="24"/>
        </w:rPr>
        <w:t>F</w:t>
      </w:r>
      <w:r>
        <w:rPr>
          <w:rFonts w:eastAsia="宋体" w:cs="Times New Roman" w:hint="eastAsia"/>
          <w:sz w:val="24"/>
          <w:szCs w:val="24"/>
        </w:rPr>
        <w:t>≥</w:t>
      </w:r>
      <w:r>
        <w:rPr>
          <w:rFonts w:eastAsia="宋体" w:cs="Times New Roman" w:hint="eastAsia"/>
          <w:sz w:val="24"/>
          <w:szCs w:val="24"/>
        </w:rPr>
        <w:t>40</w:t>
      </w:r>
      <w:r>
        <w:rPr>
          <w:rFonts w:eastAsia="宋体" w:cs="Times New Roman"/>
          <w:sz w:val="24"/>
          <w:szCs w:val="24"/>
        </w:rPr>
        <w:t>的正常区域进行随机监测，在每</w:t>
      </w:r>
      <w:r>
        <w:rPr>
          <w:rFonts w:eastAsia="宋体" w:cs="Times New Roman"/>
          <w:sz w:val="24"/>
          <w:szCs w:val="24"/>
        </w:rPr>
        <w:t>3</w:t>
      </w:r>
      <w:r>
        <w:rPr>
          <w:rFonts w:eastAsia="宋体" w:cs="Times New Roman"/>
          <w:sz w:val="24"/>
          <w:szCs w:val="24"/>
        </w:rPr>
        <w:t>个月或更长时间范围内的某一天对其进行随机的风险信号采集和监测；</w:t>
      </w:r>
    </w:p>
    <w:p w14:paraId="7FEFF0E6" w14:textId="77777777" w:rsidR="006B10D9" w:rsidRDefault="00BE6472">
      <w:pPr>
        <w:spacing w:line="360" w:lineRule="auto"/>
        <w:ind w:firstLine="480"/>
        <w:rPr>
          <w:rFonts w:eastAsia="宋体" w:cs="Times New Roman"/>
          <w:sz w:val="24"/>
          <w:szCs w:val="24"/>
        </w:rPr>
      </w:pPr>
      <w:r>
        <w:rPr>
          <w:rFonts w:eastAsia="宋体" w:cs="Times New Roman"/>
          <w:sz w:val="24"/>
          <w:szCs w:val="24"/>
        </w:rPr>
        <w:t>对</w:t>
      </w:r>
      <w:r>
        <w:rPr>
          <w:rFonts w:eastAsia="宋体" w:cs="Times New Roman" w:hint="eastAsia"/>
          <w:sz w:val="24"/>
          <w:szCs w:val="24"/>
        </w:rPr>
        <w:t>得分</w:t>
      </w:r>
      <w:r>
        <w:rPr>
          <w:rFonts w:eastAsia="宋体" w:cs="Times New Roman"/>
          <w:sz w:val="24"/>
          <w:szCs w:val="24"/>
        </w:rPr>
        <w:t>等级处在</w:t>
      </w:r>
      <w:r>
        <w:rPr>
          <w:rFonts w:eastAsia="宋体" w:cs="Times New Roman" w:hint="eastAsia"/>
          <w:sz w:val="24"/>
          <w:szCs w:val="24"/>
        </w:rPr>
        <w:t>30</w:t>
      </w:r>
      <w:r>
        <w:rPr>
          <w:rFonts w:eastAsia="宋体" w:cs="Times New Roman" w:hint="eastAsia"/>
          <w:sz w:val="24"/>
          <w:szCs w:val="24"/>
        </w:rPr>
        <w:t>≤</w:t>
      </w:r>
      <w:r>
        <w:rPr>
          <w:rFonts w:eastAsia="宋体" w:cs="Times New Roman" w:hint="eastAsia"/>
          <w:sz w:val="24"/>
          <w:szCs w:val="24"/>
        </w:rPr>
        <w:t>F</w:t>
      </w:r>
      <w:r>
        <w:rPr>
          <w:rFonts w:eastAsia="宋体" w:cs="Times New Roman" w:hint="eastAsia"/>
          <w:sz w:val="24"/>
          <w:szCs w:val="24"/>
        </w:rPr>
        <w:t>＜</w:t>
      </w:r>
      <w:r>
        <w:rPr>
          <w:rFonts w:eastAsia="宋体" w:cs="Times New Roman" w:hint="eastAsia"/>
          <w:sz w:val="24"/>
          <w:szCs w:val="24"/>
        </w:rPr>
        <w:t>40</w:t>
      </w:r>
      <w:r>
        <w:rPr>
          <w:rFonts w:eastAsia="宋体" w:cs="Times New Roman"/>
          <w:sz w:val="24"/>
          <w:szCs w:val="24"/>
        </w:rPr>
        <w:t>的防范区域进行常规监测，每个月对风险信号进行采集和监测；</w:t>
      </w:r>
    </w:p>
    <w:p w14:paraId="32F9AD87" w14:textId="77777777" w:rsidR="006B10D9" w:rsidRDefault="00BE6472">
      <w:pPr>
        <w:spacing w:line="360" w:lineRule="auto"/>
        <w:ind w:firstLine="480"/>
        <w:rPr>
          <w:rFonts w:eastAsia="宋体" w:cs="Times New Roman"/>
          <w:sz w:val="24"/>
          <w:szCs w:val="24"/>
        </w:rPr>
      </w:pPr>
      <w:r>
        <w:rPr>
          <w:rFonts w:eastAsia="宋体" w:cs="Times New Roman"/>
          <w:sz w:val="24"/>
          <w:szCs w:val="24"/>
        </w:rPr>
        <w:t>对</w:t>
      </w:r>
      <w:r>
        <w:rPr>
          <w:rFonts w:eastAsia="宋体" w:cs="Times New Roman" w:hint="eastAsia"/>
          <w:sz w:val="24"/>
          <w:szCs w:val="24"/>
        </w:rPr>
        <w:t>得分</w:t>
      </w:r>
      <w:r>
        <w:rPr>
          <w:rFonts w:eastAsia="宋体" w:cs="Times New Roman"/>
          <w:sz w:val="24"/>
          <w:szCs w:val="24"/>
        </w:rPr>
        <w:t>低于</w:t>
      </w:r>
      <w:r>
        <w:rPr>
          <w:rFonts w:eastAsia="宋体" w:cs="Times New Roman" w:hint="eastAsia"/>
          <w:sz w:val="24"/>
          <w:szCs w:val="24"/>
        </w:rPr>
        <w:t>30</w:t>
      </w:r>
      <w:r>
        <w:rPr>
          <w:rFonts w:eastAsia="宋体" w:cs="Times New Roman"/>
          <w:sz w:val="24"/>
          <w:szCs w:val="24"/>
        </w:rPr>
        <w:t>的等级进行持续的特殊监测，</w:t>
      </w:r>
      <w:r>
        <w:rPr>
          <w:rFonts w:eastAsia="宋体" w:cs="Times New Roman" w:hint="eastAsia"/>
          <w:sz w:val="24"/>
          <w:szCs w:val="24"/>
        </w:rPr>
        <w:t>每周通过此国家的海外媒体账号、国际媒体报导、国内媒体报导等渠道，</w:t>
      </w:r>
      <w:r>
        <w:rPr>
          <w:rFonts w:eastAsia="宋体" w:cs="Times New Roman"/>
          <w:sz w:val="24"/>
          <w:szCs w:val="24"/>
        </w:rPr>
        <w:t>对该国家或地区特定事件或对象的风险信号进行非常规监测。</w:t>
      </w:r>
    </w:p>
    <w:p w14:paraId="2F82E531"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）测算结果</w:t>
      </w:r>
    </w:p>
    <w:p w14:paraId="4B9F57C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根据</w:t>
      </w:r>
      <w:r>
        <w:rPr>
          <w:rFonts w:eastAsia="宋体" w:cs="Times New Roman" w:hint="eastAsia"/>
          <w:sz w:val="24"/>
          <w:szCs w:val="24"/>
        </w:rPr>
        <w:t>stata</w:t>
      </w:r>
      <w:r>
        <w:rPr>
          <w:rFonts w:eastAsia="宋体" w:cs="Times New Roman" w:hint="eastAsia"/>
          <w:sz w:val="24"/>
          <w:szCs w:val="24"/>
        </w:rPr>
        <w:t>计算出的熵值权重进行求和，求出综合得分情况，见表</w:t>
      </w:r>
      <w:r>
        <w:rPr>
          <w:rFonts w:eastAsia="宋体" w:cs="Times New Roman" w:hint="eastAsia"/>
          <w:sz w:val="24"/>
          <w:szCs w:val="24"/>
        </w:rPr>
        <w:t>10</w:t>
      </w:r>
      <w:r>
        <w:rPr>
          <w:rFonts w:eastAsia="宋体" w:cs="Times New Roman" w:hint="eastAsia"/>
          <w:sz w:val="24"/>
          <w:szCs w:val="24"/>
        </w:rPr>
        <w:t>。</w:t>
      </w:r>
    </w:p>
    <w:p w14:paraId="3AF73201" w14:textId="77777777" w:rsidR="006B10D9" w:rsidRDefault="00BE6472">
      <w:pPr>
        <w:pStyle w:val="affd"/>
      </w:pPr>
      <w:r>
        <w:rPr>
          <w:rFonts w:hint="eastAsia"/>
        </w:rPr>
        <w:t>表</w:t>
      </w:r>
      <w:r>
        <w:rPr>
          <w:rFonts w:hint="eastAsia"/>
        </w:rPr>
        <w:t>10  2019</w:t>
      </w:r>
      <w:r>
        <w:rPr>
          <w:rFonts w:hint="eastAsia"/>
        </w:rPr>
        <w:t>年国别风险综合得分</w:t>
      </w:r>
    </w:p>
    <w:tbl>
      <w:tblPr>
        <w:tblStyle w:val="3-51"/>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266"/>
        <w:gridCol w:w="689"/>
        <w:gridCol w:w="638"/>
        <w:gridCol w:w="1476"/>
        <w:gridCol w:w="689"/>
        <w:gridCol w:w="638"/>
        <w:gridCol w:w="1476"/>
        <w:gridCol w:w="689"/>
        <w:gridCol w:w="638"/>
      </w:tblGrid>
      <w:tr w:rsidR="006B10D9" w14:paraId="165E325D" w14:textId="77777777" w:rsidTr="006B10D9">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shd w:val="clear" w:color="auto" w:fill="4F81BD"/>
            <w:vAlign w:val="center"/>
          </w:tcPr>
          <w:p w14:paraId="3846197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textAlignment w:val="center"/>
              <w:rPr>
                <w:rFonts w:eastAsia="宋体" w:cs="微软雅黑"/>
                <w:color w:val="FFFFFF"/>
                <w:kern w:val="0"/>
                <w:sz w:val="21"/>
                <w:szCs w:val="21"/>
                <w:lang w:bidi="ar"/>
              </w:rPr>
            </w:pPr>
            <w:r>
              <w:rPr>
                <w:rFonts w:eastAsia="宋体" w:cs="微软雅黑" w:hint="eastAsia"/>
                <w:color w:val="FFFFFF"/>
                <w:kern w:val="0"/>
                <w:sz w:val="21"/>
                <w:szCs w:val="21"/>
                <w:lang w:bidi="ar"/>
              </w:rPr>
              <w:t>国别</w:t>
            </w:r>
          </w:p>
        </w:tc>
        <w:tc>
          <w:tcPr>
            <w:tcW w:w="0" w:type="auto"/>
            <w:shd w:val="clear" w:color="auto" w:fill="4F81BD"/>
            <w:noWrap/>
            <w:vAlign w:val="center"/>
          </w:tcPr>
          <w:p w14:paraId="744CDB6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FFFFFF"/>
                <w:kern w:val="0"/>
                <w:sz w:val="21"/>
                <w:szCs w:val="21"/>
                <w:lang w:bidi="ar"/>
              </w:rPr>
            </w:pPr>
            <w:r>
              <w:rPr>
                <w:rFonts w:eastAsia="宋体" w:cs="Arial" w:hint="eastAsia"/>
                <w:color w:val="FFFFFF"/>
                <w:kern w:val="0"/>
                <w:sz w:val="21"/>
                <w:szCs w:val="21"/>
                <w:lang w:bidi="ar"/>
              </w:rPr>
              <w:t>得分</w:t>
            </w:r>
          </w:p>
        </w:tc>
        <w:tc>
          <w:tcPr>
            <w:tcW w:w="0" w:type="auto"/>
            <w:shd w:val="clear" w:color="auto" w:fill="4F81BD"/>
            <w:noWrap/>
            <w:vAlign w:val="center"/>
          </w:tcPr>
          <w:p w14:paraId="4389D61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FFFFFF"/>
                <w:kern w:val="0"/>
                <w:sz w:val="21"/>
                <w:szCs w:val="21"/>
                <w:lang w:bidi="ar"/>
              </w:rPr>
            </w:pPr>
            <w:r>
              <w:rPr>
                <w:rFonts w:eastAsia="宋体" w:cs="Arial" w:hint="eastAsia"/>
                <w:color w:val="FFFFFF"/>
                <w:kern w:val="0"/>
                <w:sz w:val="21"/>
                <w:szCs w:val="21"/>
                <w:lang w:bidi="ar"/>
              </w:rPr>
              <w:t>排名</w:t>
            </w:r>
          </w:p>
        </w:tc>
        <w:tc>
          <w:tcPr>
            <w:tcW w:w="0" w:type="auto"/>
            <w:shd w:val="clear" w:color="auto" w:fill="4F81BD"/>
            <w:vAlign w:val="center"/>
          </w:tcPr>
          <w:p w14:paraId="19E6D18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FFFFFF"/>
                <w:kern w:val="0"/>
                <w:sz w:val="21"/>
                <w:szCs w:val="21"/>
                <w:lang w:bidi="ar"/>
              </w:rPr>
            </w:pPr>
            <w:r>
              <w:rPr>
                <w:rFonts w:eastAsia="宋体" w:cs="微软雅黑" w:hint="eastAsia"/>
                <w:color w:val="FFFFFF"/>
                <w:kern w:val="0"/>
                <w:sz w:val="21"/>
                <w:szCs w:val="21"/>
                <w:lang w:bidi="ar"/>
              </w:rPr>
              <w:t>国别</w:t>
            </w:r>
          </w:p>
        </w:tc>
        <w:tc>
          <w:tcPr>
            <w:tcW w:w="0" w:type="auto"/>
            <w:shd w:val="clear" w:color="auto" w:fill="4F81BD"/>
            <w:noWrap/>
            <w:vAlign w:val="center"/>
          </w:tcPr>
          <w:p w14:paraId="4701D39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FFFFFF"/>
                <w:kern w:val="0"/>
                <w:sz w:val="21"/>
                <w:szCs w:val="21"/>
                <w:lang w:bidi="ar"/>
              </w:rPr>
            </w:pPr>
            <w:r>
              <w:rPr>
                <w:rFonts w:eastAsia="宋体" w:cs="Arial" w:hint="eastAsia"/>
                <w:color w:val="FFFFFF"/>
                <w:kern w:val="0"/>
                <w:sz w:val="21"/>
                <w:szCs w:val="21"/>
                <w:lang w:bidi="ar"/>
              </w:rPr>
              <w:t>得分</w:t>
            </w:r>
          </w:p>
        </w:tc>
        <w:tc>
          <w:tcPr>
            <w:tcW w:w="0" w:type="auto"/>
            <w:shd w:val="clear" w:color="auto" w:fill="4F81BD"/>
            <w:noWrap/>
            <w:vAlign w:val="center"/>
          </w:tcPr>
          <w:p w14:paraId="2C1FC2C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FFFFFF"/>
                <w:kern w:val="0"/>
                <w:sz w:val="21"/>
                <w:szCs w:val="21"/>
                <w:lang w:bidi="ar"/>
              </w:rPr>
            </w:pPr>
            <w:r>
              <w:rPr>
                <w:rFonts w:eastAsia="宋体" w:cs="Arial" w:hint="eastAsia"/>
                <w:color w:val="FFFFFF"/>
                <w:kern w:val="0"/>
                <w:sz w:val="21"/>
                <w:szCs w:val="21"/>
                <w:lang w:bidi="ar"/>
              </w:rPr>
              <w:t>排名</w:t>
            </w:r>
          </w:p>
        </w:tc>
        <w:tc>
          <w:tcPr>
            <w:tcW w:w="0" w:type="auto"/>
            <w:shd w:val="clear" w:color="auto" w:fill="4F81BD"/>
            <w:vAlign w:val="center"/>
          </w:tcPr>
          <w:p w14:paraId="5980A54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FFFFFF"/>
                <w:kern w:val="0"/>
                <w:sz w:val="21"/>
                <w:szCs w:val="21"/>
                <w:lang w:bidi="ar"/>
              </w:rPr>
            </w:pPr>
            <w:r>
              <w:rPr>
                <w:rFonts w:eastAsia="宋体" w:cs="微软雅黑" w:hint="eastAsia"/>
                <w:color w:val="FFFFFF"/>
                <w:kern w:val="0"/>
                <w:sz w:val="21"/>
                <w:szCs w:val="21"/>
                <w:lang w:bidi="ar"/>
              </w:rPr>
              <w:t>国别</w:t>
            </w:r>
          </w:p>
        </w:tc>
        <w:tc>
          <w:tcPr>
            <w:tcW w:w="0" w:type="auto"/>
            <w:shd w:val="clear" w:color="auto" w:fill="4F81BD"/>
            <w:noWrap/>
            <w:vAlign w:val="center"/>
          </w:tcPr>
          <w:p w14:paraId="3751BC8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FFFFFF"/>
                <w:kern w:val="0"/>
                <w:sz w:val="21"/>
                <w:szCs w:val="21"/>
                <w:lang w:bidi="ar"/>
              </w:rPr>
            </w:pPr>
            <w:r>
              <w:rPr>
                <w:rFonts w:eastAsia="宋体" w:cs="Arial" w:hint="eastAsia"/>
                <w:color w:val="FFFFFF"/>
                <w:kern w:val="0"/>
                <w:sz w:val="21"/>
                <w:szCs w:val="21"/>
                <w:lang w:bidi="ar"/>
              </w:rPr>
              <w:t>得分</w:t>
            </w:r>
          </w:p>
        </w:tc>
        <w:tc>
          <w:tcPr>
            <w:tcW w:w="0" w:type="auto"/>
            <w:shd w:val="clear" w:color="auto" w:fill="4F81BD"/>
            <w:noWrap/>
            <w:vAlign w:val="center"/>
          </w:tcPr>
          <w:p w14:paraId="55BB880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FFFFFF"/>
                <w:kern w:val="0"/>
                <w:sz w:val="21"/>
                <w:szCs w:val="21"/>
                <w:lang w:bidi="ar"/>
              </w:rPr>
            </w:pPr>
            <w:r>
              <w:rPr>
                <w:rFonts w:eastAsia="宋体" w:cs="Arial" w:hint="eastAsia"/>
                <w:color w:val="FFFFFF"/>
                <w:kern w:val="0"/>
                <w:sz w:val="21"/>
                <w:szCs w:val="21"/>
                <w:lang w:bidi="ar"/>
              </w:rPr>
              <w:t>排名</w:t>
            </w:r>
          </w:p>
        </w:tc>
      </w:tr>
      <w:tr w:rsidR="006B10D9" w14:paraId="3D714284"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36BEC7A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美国</w:t>
            </w:r>
          </w:p>
        </w:tc>
        <w:tc>
          <w:tcPr>
            <w:tcW w:w="0" w:type="auto"/>
            <w:shd w:val="clear" w:color="auto" w:fill="B8CCE4"/>
            <w:noWrap/>
            <w:vAlign w:val="center"/>
          </w:tcPr>
          <w:p w14:paraId="4FFDBEB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61.28 </w:t>
            </w:r>
          </w:p>
        </w:tc>
        <w:tc>
          <w:tcPr>
            <w:tcW w:w="0" w:type="auto"/>
            <w:shd w:val="clear" w:color="auto" w:fill="B8CCE4"/>
            <w:noWrap/>
            <w:vAlign w:val="center"/>
          </w:tcPr>
          <w:p w14:paraId="548A27A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w:t>
            </w:r>
          </w:p>
        </w:tc>
        <w:tc>
          <w:tcPr>
            <w:tcW w:w="0" w:type="auto"/>
            <w:shd w:val="clear" w:color="auto" w:fill="B8CCE4"/>
            <w:vAlign w:val="center"/>
          </w:tcPr>
          <w:p w14:paraId="532116B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保加利亚</w:t>
            </w:r>
          </w:p>
        </w:tc>
        <w:tc>
          <w:tcPr>
            <w:tcW w:w="0" w:type="auto"/>
            <w:shd w:val="clear" w:color="auto" w:fill="B8CCE4"/>
            <w:noWrap/>
            <w:vAlign w:val="center"/>
          </w:tcPr>
          <w:p w14:paraId="3770BEB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33.79 </w:t>
            </w:r>
          </w:p>
        </w:tc>
        <w:tc>
          <w:tcPr>
            <w:tcW w:w="0" w:type="auto"/>
            <w:shd w:val="clear" w:color="auto" w:fill="B8CCE4"/>
            <w:noWrap/>
            <w:vAlign w:val="center"/>
          </w:tcPr>
          <w:p w14:paraId="7B51960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41</w:t>
            </w:r>
          </w:p>
        </w:tc>
        <w:tc>
          <w:tcPr>
            <w:tcW w:w="0" w:type="auto"/>
            <w:shd w:val="clear" w:color="auto" w:fill="B8CCE4"/>
            <w:vAlign w:val="center"/>
          </w:tcPr>
          <w:p w14:paraId="03F6383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土库曼斯坦</w:t>
            </w:r>
          </w:p>
        </w:tc>
        <w:tc>
          <w:tcPr>
            <w:tcW w:w="0" w:type="auto"/>
            <w:shd w:val="clear" w:color="auto" w:fill="B8CCE4"/>
            <w:noWrap/>
            <w:vAlign w:val="center"/>
          </w:tcPr>
          <w:p w14:paraId="17D707D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25.44 </w:t>
            </w:r>
          </w:p>
        </w:tc>
        <w:tc>
          <w:tcPr>
            <w:tcW w:w="0" w:type="auto"/>
            <w:shd w:val="clear" w:color="auto" w:fill="B8CCE4"/>
            <w:noWrap/>
            <w:vAlign w:val="center"/>
          </w:tcPr>
          <w:p w14:paraId="2F53D07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81</w:t>
            </w:r>
          </w:p>
        </w:tc>
      </w:tr>
      <w:tr w:rsidR="006B10D9" w14:paraId="33448069"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3D11A14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卢森堡</w:t>
            </w:r>
          </w:p>
        </w:tc>
        <w:tc>
          <w:tcPr>
            <w:tcW w:w="0" w:type="auto"/>
            <w:shd w:val="clear" w:color="auto" w:fill="FFFFFF"/>
            <w:noWrap/>
            <w:vAlign w:val="center"/>
          </w:tcPr>
          <w:p w14:paraId="686462F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56.66 </w:t>
            </w:r>
          </w:p>
        </w:tc>
        <w:tc>
          <w:tcPr>
            <w:tcW w:w="0" w:type="auto"/>
            <w:shd w:val="clear" w:color="auto" w:fill="FFFFFF"/>
            <w:noWrap/>
            <w:vAlign w:val="center"/>
          </w:tcPr>
          <w:p w14:paraId="6E35F04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w:t>
            </w:r>
          </w:p>
        </w:tc>
        <w:tc>
          <w:tcPr>
            <w:tcW w:w="0" w:type="auto"/>
            <w:shd w:val="clear" w:color="auto" w:fill="FFFFFF"/>
            <w:vAlign w:val="center"/>
          </w:tcPr>
          <w:p w14:paraId="264FBD5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菲律宾</w:t>
            </w:r>
          </w:p>
        </w:tc>
        <w:tc>
          <w:tcPr>
            <w:tcW w:w="0" w:type="auto"/>
            <w:shd w:val="clear" w:color="auto" w:fill="FFFFFF"/>
            <w:noWrap/>
            <w:vAlign w:val="center"/>
          </w:tcPr>
          <w:p w14:paraId="5C20967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33.76 </w:t>
            </w:r>
          </w:p>
        </w:tc>
        <w:tc>
          <w:tcPr>
            <w:tcW w:w="0" w:type="auto"/>
            <w:shd w:val="clear" w:color="auto" w:fill="FFFFFF"/>
            <w:noWrap/>
            <w:vAlign w:val="center"/>
          </w:tcPr>
          <w:p w14:paraId="693837F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42</w:t>
            </w:r>
          </w:p>
        </w:tc>
        <w:tc>
          <w:tcPr>
            <w:tcW w:w="0" w:type="auto"/>
            <w:shd w:val="clear" w:color="auto" w:fill="FFFFFF"/>
            <w:vAlign w:val="center"/>
          </w:tcPr>
          <w:p w14:paraId="2CC8643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斯里兰卡</w:t>
            </w:r>
          </w:p>
        </w:tc>
        <w:tc>
          <w:tcPr>
            <w:tcW w:w="0" w:type="auto"/>
            <w:shd w:val="clear" w:color="auto" w:fill="FFFFFF"/>
            <w:noWrap/>
            <w:vAlign w:val="center"/>
          </w:tcPr>
          <w:p w14:paraId="1EBA39A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25.14 </w:t>
            </w:r>
          </w:p>
        </w:tc>
        <w:tc>
          <w:tcPr>
            <w:tcW w:w="0" w:type="auto"/>
            <w:shd w:val="clear" w:color="auto" w:fill="FFFFFF"/>
            <w:noWrap/>
            <w:vAlign w:val="center"/>
          </w:tcPr>
          <w:p w14:paraId="694265B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82</w:t>
            </w:r>
          </w:p>
        </w:tc>
      </w:tr>
      <w:tr w:rsidR="006B10D9" w14:paraId="69174BE7"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65FF03B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新加坡</w:t>
            </w:r>
          </w:p>
        </w:tc>
        <w:tc>
          <w:tcPr>
            <w:tcW w:w="0" w:type="auto"/>
            <w:shd w:val="clear" w:color="auto" w:fill="B8CCE4"/>
            <w:noWrap/>
            <w:vAlign w:val="center"/>
          </w:tcPr>
          <w:p w14:paraId="033DD5C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51.96 </w:t>
            </w:r>
          </w:p>
        </w:tc>
        <w:tc>
          <w:tcPr>
            <w:tcW w:w="0" w:type="auto"/>
            <w:shd w:val="clear" w:color="auto" w:fill="B8CCE4"/>
            <w:noWrap/>
            <w:vAlign w:val="center"/>
          </w:tcPr>
          <w:p w14:paraId="763EEE6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w:t>
            </w:r>
          </w:p>
        </w:tc>
        <w:tc>
          <w:tcPr>
            <w:tcW w:w="0" w:type="auto"/>
            <w:shd w:val="clear" w:color="auto" w:fill="B8CCE4"/>
            <w:vAlign w:val="center"/>
          </w:tcPr>
          <w:p w14:paraId="674D180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印度尼西亚</w:t>
            </w:r>
          </w:p>
        </w:tc>
        <w:tc>
          <w:tcPr>
            <w:tcW w:w="0" w:type="auto"/>
            <w:shd w:val="clear" w:color="auto" w:fill="B8CCE4"/>
            <w:noWrap/>
            <w:vAlign w:val="center"/>
          </w:tcPr>
          <w:p w14:paraId="13A0767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33.72 </w:t>
            </w:r>
          </w:p>
        </w:tc>
        <w:tc>
          <w:tcPr>
            <w:tcW w:w="0" w:type="auto"/>
            <w:shd w:val="clear" w:color="auto" w:fill="B8CCE4"/>
            <w:noWrap/>
            <w:vAlign w:val="center"/>
          </w:tcPr>
          <w:p w14:paraId="0DEDF24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43</w:t>
            </w:r>
          </w:p>
        </w:tc>
        <w:tc>
          <w:tcPr>
            <w:tcW w:w="0" w:type="auto"/>
            <w:shd w:val="clear" w:color="auto" w:fill="B8CCE4"/>
            <w:vAlign w:val="center"/>
          </w:tcPr>
          <w:p w14:paraId="7C752E7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白俄罗斯</w:t>
            </w:r>
          </w:p>
        </w:tc>
        <w:tc>
          <w:tcPr>
            <w:tcW w:w="0" w:type="auto"/>
            <w:shd w:val="clear" w:color="auto" w:fill="B8CCE4"/>
            <w:noWrap/>
            <w:vAlign w:val="center"/>
          </w:tcPr>
          <w:p w14:paraId="36856C4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25.03 </w:t>
            </w:r>
          </w:p>
        </w:tc>
        <w:tc>
          <w:tcPr>
            <w:tcW w:w="0" w:type="auto"/>
            <w:shd w:val="clear" w:color="auto" w:fill="B8CCE4"/>
            <w:noWrap/>
            <w:vAlign w:val="center"/>
          </w:tcPr>
          <w:p w14:paraId="37984EE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83</w:t>
            </w:r>
          </w:p>
        </w:tc>
      </w:tr>
      <w:tr w:rsidR="006B10D9" w14:paraId="10ED2523"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3DC7DD4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瑞士</w:t>
            </w:r>
          </w:p>
        </w:tc>
        <w:tc>
          <w:tcPr>
            <w:tcW w:w="0" w:type="auto"/>
            <w:shd w:val="clear" w:color="auto" w:fill="FFFFFF"/>
            <w:noWrap/>
            <w:vAlign w:val="center"/>
          </w:tcPr>
          <w:p w14:paraId="37807FA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50.02 </w:t>
            </w:r>
          </w:p>
        </w:tc>
        <w:tc>
          <w:tcPr>
            <w:tcW w:w="0" w:type="auto"/>
            <w:shd w:val="clear" w:color="auto" w:fill="FFFFFF"/>
            <w:noWrap/>
            <w:vAlign w:val="center"/>
          </w:tcPr>
          <w:p w14:paraId="57AEE0F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w:t>
            </w:r>
          </w:p>
        </w:tc>
        <w:tc>
          <w:tcPr>
            <w:tcW w:w="0" w:type="auto"/>
            <w:shd w:val="clear" w:color="auto" w:fill="FFFFFF"/>
            <w:vAlign w:val="center"/>
          </w:tcPr>
          <w:p w14:paraId="6AFA659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沙特阿拉伯</w:t>
            </w:r>
          </w:p>
        </w:tc>
        <w:tc>
          <w:tcPr>
            <w:tcW w:w="0" w:type="auto"/>
            <w:shd w:val="clear" w:color="auto" w:fill="FFFFFF"/>
            <w:noWrap/>
            <w:vAlign w:val="center"/>
          </w:tcPr>
          <w:p w14:paraId="2318FCB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33.59 </w:t>
            </w:r>
          </w:p>
        </w:tc>
        <w:tc>
          <w:tcPr>
            <w:tcW w:w="0" w:type="auto"/>
            <w:shd w:val="clear" w:color="auto" w:fill="FFFFFF"/>
            <w:noWrap/>
            <w:vAlign w:val="center"/>
          </w:tcPr>
          <w:p w14:paraId="10A4F49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44</w:t>
            </w:r>
          </w:p>
        </w:tc>
        <w:tc>
          <w:tcPr>
            <w:tcW w:w="0" w:type="auto"/>
            <w:shd w:val="clear" w:color="auto" w:fill="FFFFFF"/>
            <w:vAlign w:val="center"/>
          </w:tcPr>
          <w:p w14:paraId="2348307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乌兹别克斯坦</w:t>
            </w:r>
          </w:p>
        </w:tc>
        <w:tc>
          <w:tcPr>
            <w:tcW w:w="0" w:type="auto"/>
            <w:shd w:val="clear" w:color="auto" w:fill="FFFFFF"/>
            <w:noWrap/>
            <w:vAlign w:val="center"/>
          </w:tcPr>
          <w:p w14:paraId="2377A5B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24.99 </w:t>
            </w:r>
          </w:p>
        </w:tc>
        <w:tc>
          <w:tcPr>
            <w:tcW w:w="0" w:type="auto"/>
            <w:shd w:val="clear" w:color="auto" w:fill="FFFFFF"/>
            <w:noWrap/>
            <w:vAlign w:val="center"/>
          </w:tcPr>
          <w:p w14:paraId="401C18B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84</w:t>
            </w:r>
          </w:p>
        </w:tc>
      </w:tr>
      <w:tr w:rsidR="006B10D9" w14:paraId="0FB1BC77"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74B65E7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日本</w:t>
            </w:r>
          </w:p>
        </w:tc>
        <w:tc>
          <w:tcPr>
            <w:tcW w:w="0" w:type="auto"/>
            <w:shd w:val="clear" w:color="auto" w:fill="B8CCE4"/>
            <w:noWrap/>
            <w:vAlign w:val="center"/>
          </w:tcPr>
          <w:p w14:paraId="135308A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47.36 </w:t>
            </w:r>
          </w:p>
        </w:tc>
        <w:tc>
          <w:tcPr>
            <w:tcW w:w="0" w:type="auto"/>
            <w:shd w:val="clear" w:color="auto" w:fill="B8CCE4"/>
            <w:noWrap/>
            <w:vAlign w:val="center"/>
          </w:tcPr>
          <w:p w14:paraId="737E8C4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w:t>
            </w:r>
          </w:p>
        </w:tc>
        <w:tc>
          <w:tcPr>
            <w:tcW w:w="0" w:type="auto"/>
            <w:shd w:val="clear" w:color="auto" w:fill="B8CCE4"/>
            <w:vAlign w:val="center"/>
          </w:tcPr>
          <w:p w14:paraId="58D996A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希腊</w:t>
            </w:r>
          </w:p>
        </w:tc>
        <w:tc>
          <w:tcPr>
            <w:tcW w:w="0" w:type="auto"/>
            <w:shd w:val="clear" w:color="auto" w:fill="B8CCE4"/>
            <w:noWrap/>
            <w:vAlign w:val="center"/>
          </w:tcPr>
          <w:p w14:paraId="2E756A7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33.43 </w:t>
            </w:r>
          </w:p>
        </w:tc>
        <w:tc>
          <w:tcPr>
            <w:tcW w:w="0" w:type="auto"/>
            <w:shd w:val="clear" w:color="auto" w:fill="B8CCE4"/>
            <w:noWrap/>
            <w:vAlign w:val="center"/>
          </w:tcPr>
          <w:p w14:paraId="69835E3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45</w:t>
            </w:r>
          </w:p>
        </w:tc>
        <w:tc>
          <w:tcPr>
            <w:tcW w:w="0" w:type="auto"/>
            <w:shd w:val="clear" w:color="auto" w:fill="B8CCE4"/>
            <w:vAlign w:val="center"/>
          </w:tcPr>
          <w:p w14:paraId="6FC1E97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马里</w:t>
            </w:r>
          </w:p>
        </w:tc>
        <w:tc>
          <w:tcPr>
            <w:tcW w:w="0" w:type="auto"/>
            <w:shd w:val="clear" w:color="auto" w:fill="B8CCE4"/>
            <w:noWrap/>
            <w:vAlign w:val="center"/>
          </w:tcPr>
          <w:p w14:paraId="7D25C49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24.94 </w:t>
            </w:r>
          </w:p>
        </w:tc>
        <w:tc>
          <w:tcPr>
            <w:tcW w:w="0" w:type="auto"/>
            <w:shd w:val="clear" w:color="auto" w:fill="B8CCE4"/>
            <w:noWrap/>
            <w:vAlign w:val="center"/>
          </w:tcPr>
          <w:p w14:paraId="2CF35FD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85</w:t>
            </w:r>
          </w:p>
        </w:tc>
      </w:tr>
      <w:tr w:rsidR="006B10D9" w14:paraId="4635585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3097DB8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挪威</w:t>
            </w:r>
          </w:p>
        </w:tc>
        <w:tc>
          <w:tcPr>
            <w:tcW w:w="0" w:type="auto"/>
            <w:shd w:val="clear" w:color="auto" w:fill="FFFFFF"/>
            <w:noWrap/>
            <w:vAlign w:val="center"/>
          </w:tcPr>
          <w:p w14:paraId="4CCD89A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47.34 </w:t>
            </w:r>
          </w:p>
        </w:tc>
        <w:tc>
          <w:tcPr>
            <w:tcW w:w="0" w:type="auto"/>
            <w:shd w:val="clear" w:color="auto" w:fill="FFFFFF"/>
            <w:noWrap/>
            <w:vAlign w:val="center"/>
          </w:tcPr>
          <w:p w14:paraId="0426D40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w:t>
            </w:r>
          </w:p>
        </w:tc>
        <w:tc>
          <w:tcPr>
            <w:tcW w:w="0" w:type="auto"/>
            <w:shd w:val="clear" w:color="auto" w:fill="FFFFFF"/>
            <w:vAlign w:val="center"/>
          </w:tcPr>
          <w:p w14:paraId="60A14D9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克罗地亚</w:t>
            </w:r>
          </w:p>
        </w:tc>
        <w:tc>
          <w:tcPr>
            <w:tcW w:w="0" w:type="auto"/>
            <w:shd w:val="clear" w:color="auto" w:fill="FFFFFF"/>
            <w:noWrap/>
            <w:vAlign w:val="center"/>
          </w:tcPr>
          <w:p w14:paraId="272A580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33.30 </w:t>
            </w:r>
          </w:p>
        </w:tc>
        <w:tc>
          <w:tcPr>
            <w:tcW w:w="0" w:type="auto"/>
            <w:shd w:val="clear" w:color="auto" w:fill="FFFFFF"/>
            <w:noWrap/>
            <w:vAlign w:val="center"/>
          </w:tcPr>
          <w:p w14:paraId="1E80950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46</w:t>
            </w:r>
          </w:p>
        </w:tc>
        <w:tc>
          <w:tcPr>
            <w:tcW w:w="0" w:type="auto"/>
            <w:shd w:val="clear" w:color="auto" w:fill="FFFFFF"/>
            <w:vAlign w:val="center"/>
          </w:tcPr>
          <w:p w14:paraId="45E32BF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尼日利亚</w:t>
            </w:r>
          </w:p>
        </w:tc>
        <w:tc>
          <w:tcPr>
            <w:tcW w:w="0" w:type="auto"/>
            <w:shd w:val="clear" w:color="auto" w:fill="FFFFFF"/>
            <w:noWrap/>
            <w:vAlign w:val="center"/>
          </w:tcPr>
          <w:p w14:paraId="371AF34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24.92 </w:t>
            </w:r>
          </w:p>
        </w:tc>
        <w:tc>
          <w:tcPr>
            <w:tcW w:w="0" w:type="auto"/>
            <w:shd w:val="clear" w:color="auto" w:fill="FFFFFF"/>
            <w:noWrap/>
            <w:vAlign w:val="center"/>
          </w:tcPr>
          <w:p w14:paraId="1FF2F1D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86</w:t>
            </w:r>
          </w:p>
        </w:tc>
      </w:tr>
      <w:tr w:rsidR="006B10D9" w14:paraId="4F053B3C"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0789FBA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德国</w:t>
            </w:r>
          </w:p>
        </w:tc>
        <w:tc>
          <w:tcPr>
            <w:tcW w:w="0" w:type="auto"/>
            <w:shd w:val="clear" w:color="auto" w:fill="B8CCE4"/>
            <w:noWrap/>
            <w:vAlign w:val="center"/>
          </w:tcPr>
          <w:p w14:paraId="5387586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46.87 </w:t>
            </w:r>
          </w:p>
        </w:tc>
        <w:tc>
          <w:tcPr>
            <w:tcW w:w="0" w:type="auto"/>
            <w:shd w:val="clear" w:color="auto" w:fill="B8CCE4"/>
            <w:noWrap/>
            <w:vAlign w:val="center"/>
          </w:tcPr>
          <w:p w14:paraId="0A567BF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w:t>
            </w:r>
          </w:p>
        </w:tc>
        <w:tc>
          <w:tcPr>
            <w:tcW w:w="0" w:type="auto"/>
            <w:shd w:val="clear" w:color="auto" w:fill="B8CCE4"/>
            <w:vAlign w:val="center"/>
          </w:tcPr>
          <w:p w14:paraId="32DEC72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泰国</w:t>
            </w:r>
          </w:p>
        </w:tc>
        <w:tc>
          <w:tcPr>
            <w:tcW w:w="0" w:type="auto"/>
            <w:shd w:val="clear" w:color="auto" w:fill="B8CCE4"/>
            <w:noWrap/>
            <w:vAlign w:val="center"/>
          </w:tcPr>
          <w:p w14:paraId="278B699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32.72 </w:t>
            </w:r>
          </w:p>
        </w:tc>
        <w:tc>
          <w:tcPr>
            <w:tcW w:w="0" w:type="auto"/>
            <w:shd w:val="clear" w:color="auto" w:fill="B8CCE4"/>
            <w:noWrap/>
            <w:vAlign w:val="center"/>
          </w:tcPr>
          <w:p w14:paraId="2A5E2C0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47</w:t>
            </w:r>
          </w:p>
        </w:tc>
        <w:tc>
          <w:tcPr>
            <w:tcW w:w="0" w:type="auto"/>
            <w:shd w:val="clear" w:color="auto" w:fill="B8CCE4"/>
            <w:vAlign w:val="center"/>
          </w:tcPr>
          <w:p w14:paraId="79CB090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安哥拉</w:t>
            </w:r>
          </w:p>
        </w:tc>
        <w:tc>
          <w:tcPr>
            <w:tcW w:w="0" w:type="auto"/>
            <w:shd w:val="clear" w:color="auto" w:fill="B8CCE4"/>
            <w:noWrap/>
            <w:vAlign w:val="center"/>
          </w:tcPr>
          <w:p w14:paraId="7D25B27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24.39 </w:t>
            </w:r>
          </w:p>
        </w:tc>
        <w:tc>
          <w:tcPr>
            <w:tcW w:w="0" w:type="auto"/>
            <w:shd w:val="clear" w:color="auto" w:fill="B8CCE4"/>
            <w:noWrap/>
            <w:vAlign w:val="center"/>
          </w:tcPr>
          <w:p w14:paraId="2A3BB11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87</w:t>
            </w:r>
          </w:p>
        </w:tc>
      </w:tr>
      <w:tr w:rsidR="006B10D9" w14:paraId="21134C4C"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16BE470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荷兰</w:t>
            </w:r>
          </w:p>
        </w:tc>
        <w:tc>
          <w:tcPr>
            <w:tcW w:w="0" w:type="auto"/>
            <w:shd w:val="clear" w:color="auto" w:fill="FFFFFF"/>
            <w:noWrap/>
            <w:vAlign w:val="center"/>
          </w:tcPr>
          <w:p w14:paraId="1CB70C3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46.61 </w:t>
            </w:r>
          </w:p>
        </w:tc>
        <w:tc>
          <w:tcPr>
            <w:tcW w:w="0" w:type="auto"/>
            <w:shd w:val="clear" w:color="auto" w:fill="FFFFFF"/>
            <w:noWrap/>
            <w:vAlign w:val="center"/>
          </w:tcPr>
          <w:p w14:paraId="355D6B4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w:t>
            </w:r>
          </w:p>
        </w:tc>
        <w:tc>
          <w:tcPr>
            <w:tcW w:w="0" w:type="auto"/>
            <w:shd w:val="clear" w:color="auto" w:fill="FFFFFF"/>
            <w:vAlign w:val="center"/>
          </w:tcPr>
          <w:p w14:paraId="5BEA85C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亚美尼亚</w:t>
            </w:r>
          </w:p>
        </w:tc>
        <w:tc>
          <w:tcPr>
            <w:tcW w:w="0" w:type="auto"/>
            <w:shd w:val="clear" w:color="auto" w:fill="FFFFFF"/>
            <w:noWrap/>
            <w:vAlign w:val="center"/>
          </w:tcPr>
          <w:p w14:paraId="4F1BC39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32.62 </w:t>
            </w:r>
          </w:p>
        </w:tc>
        <w:tc>
          <w:tcPr>
            <w:tcW w:w="0" w:type="auto"/>
            <w:shd w:val="clear" w:color="auto" w:fill="FFFFFF"/>
            <w:noWrap/>
            <w:vAlign w:val="center"/>
          </w:tcPr>
          <w:p w14:paraId="772C5C7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48</w:t>
            </w:r>
          </w:p>
        </w:tc>
        <w:tc>
          <w:tcPr>
            <w:tcW w:w="0" w:type="auto"/>
            <w:shd w:val="clear" w:color="auto" w:fill="FFFFFF"/>
            <w:vAlign w:val="center"/>
          </w:tcPr>
          <w:p w14:paraId="7BE31EE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埃塞俄比亚</w:t>
            </w:r>
          </w:p>
        </w:tc>
        <w:tc>
          <w:tcPr>
            <w:tcW w:w="0" w:type="auto"/>
            <w:shd w:val="clear" w:color="auto" w:fill="FFFFFF"/>
            <w:noWrap/>
            <w:vAlign w:val="center"/>
          </w:tcPr>
          <w:p w14:paraId="5326A68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24.21 </w:t>
            </w:r>
          </w:p>
        </w:tc>
        <w:tc>
          <w:tcPr>
            <w:tcW w:w="0" w:type="auto"/>
            <w:shd w:val="clear" w:color="auto" w:fill="FFFFFF"/>
            <w:noWrap/>
            <w:vAlign w:val="center"/>
          </w:tcPr>
          <w:p w14:paraId="0CCFF5B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88</w:t>
            </w:r>
          </w:p>
        </w:tc>
      </w:tr>
      <w:tr w:rsidR="006B10D9" w14:paraId="1D77C8C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7C62C40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澳大利亚</w:t>
            </w:r>
          </w:p>
        </w:tc>
        <w:tc>
          <w:tcPr>
            <w:tcW w:w="0" w:type="auto"/>
            <w:shd w:val="clear" w:color="auto" w:fill="B8CCE4"/>
            <w:noWrap/>
            <w:vAlign w:val="center"/>
          </w:tcPr>
          <w:p w14:paraId="7406C76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46.49 </w:t>
            </w:r>
          </w:p>
        </w:tc>
        <w:tc>
          <w:tcPr>
            <w:tcW w:w="0" w:type="auto"/>
            <w:shd w:val="clear" w:color="auto" w:fill="B8CCE4"/>
            <w:noWrap/>
            <w:vAlign w:val="center"/>
          </w:tcPr>
          <w:p w14:paraId="431DE27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w:t>
            </w:r>
          </w:p>
        </w:tc>
        <w:tc>
          <w:tcPr>
            <w:tcW w:w="0" w:type="auto"/>
            <w:shd w:val="clear" w:color="auto" w:fill="B8CCE4"/>
            <w:vAlign w:val="center"/>
          </w:tcPr>
          <w:p w14:paraId="6C84B8E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印度</w:t>
            </w:r>
          </w:p>
        </w:tc>
        <w:tc>
          <w:tcPr>
            <w:tcW w:w="0" w:type="auto"/>
            <w:shd w:val="clear" w:color="auto" w:fill="B8CCE4"/>
            <w:noWrap/>
            <w:vAlign w:val="center"/>
          </w:tcPr>
          <w:p w14:paraId="3AB75EE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32.45 </w:t>
            </w:r>
          </w:p>
        </w:tc>
        <w:tc>
          <w:tcPr>
            <w:tcW w:w="0" w:type="auto"/>
            <w:shd w:val="clear" w:color="auto" w:fill="B8CCE4"/>
            <w:noWrap/>
            <w:vAlign w:val="center"/>
          </w:tcPr>
          <w:p w14:paraId="27C1634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49</w:t>
            </w:r>
          </w:p>
        </w:tc>
        <w:tc>
          <w:tcPr>
            <w:tcW w:w="0" w:type="auto"/>
            <w:shd w:val="clear" w:color="auto" w:fill="B8CCE4"/>
            <w:vAlign w:val="center"/>
          </w:tcPr>
          <w:p w14:paraId="410A183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赞比亚</w:t>
            </w:r>
          </w:p>
        </w:tc>
        <w:tc>
          <w:tcPr>
            <w:tcW w:w="0" w:type="auto"/>
            <w:shd w:val="clear" w:color="auto" w:fill="B8CCE4"/>
            <w:noWrap/>
            <w:vAlign w:val="center"/>
          </w:tcPr>
          <w:p w14:paraId="3B50FBF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23.94 </w:t>
            </w:r>
          </w:p>
        </w:tc>
        <w:tc>
          <w:tcPr>
            <w:tcW w:w="0" w:type="auto"/>
            <w:shd w:val="clear" w:color="auto" w:fill="B8CCE4"/>
            <w:noWrap/>
            <w:vAlign w:val="center"/>
          </w:tcPr>
          <w:p w14:paraId="2CDFB6E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89</w:t>
            </w:r>
          </w:p>
        </w:tc>
      </w:tr>
      <w:tr w:rsidR="006B10D9" w14:paraId="7F3B56B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175D66F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丹麦</w:t>
            </w:r>
          </w:p>
        </w:tc>
        <w:tc>
          <w:tcPr>
            <w:tcW w:w="0" w:type="auto"/>
            <w:shd w:val="clear" w:color="auto" w:fill="FFFFFF"/>
            <w:noWrap/>
            <w:vAlign w:val="center"/>
          </w:tcPr>
          <w:p w14:paraId="7544A75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46.11 </w:t>
            </w:r>
          </w:p>
        </w:tc>
        <w:tc>
          <w:tcPr>
            <w:tcW w:w="0" w:type="auto"/>
            <w:shd w:val="clear" w:color="auto" w:fill="FFFFFF"/>
            <w:noWrap/>
            <w:vAlign w:val="center"/>
          </w:tcPr>
          <w:p w14:paraId="65D48D9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10</w:t>
            </w:r>
          </w:p>
        </w:tc>
        <w:tc>
          <w:tcPr>
            <w:tcW w:w="0" w:type="auto"/>
            <w:shd w:val="clear" w:color="auto" w:fill="FFFFFF"/>
            <w:vAlign w:val="center"/>
          </w:tcPr>
          <w:p w14:paraId="2649DE8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秘鲁</w:t>
            </w:r>
          </w:p>
        </w:tc>
        <w:tc>
          <w:tcPr>
            <w:tcW w:w="0" w:type="auto"/>
            <w:shd w:val="clear" w:color="auto" w:fill="FFFFFF"/>
            <w:noWrap/>
            <w:vAlign w:val="center"/>
          </w:tcPr>
          <w:p w14:paraId="7AEA019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32.42 </w:t>
            </w:r>
          </w:p>
        </w:tc>
        <w:tc>
          <w:tcPr>
            <w:tcW w:w="0" w:type="auto"/>
            <w:shd w:val="clear" w:color="auto" w:fill="FFFFFF"/>
            <w:noWrap/>
            <w:vAlign w:val="center"/>
          </w:tcPr>
          <w:p w14:paraId="7E4BA19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50</w:t>
            </w:r>
          </w:p>
        </w:tc>
        <w:tc>
          <w:tcPr>
            <w:tcW w:w="0" w:type="auto"/>
            <w:shd w:val="clear" w:color="auto" w:fill="FFFFFF"/>
            <w:vAlign w:val="center"/>
          </w:tcPr>
          <w:p w14:paraId="368336C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肯尼亚</w:t>
            </w:r>
          </w:p>
        </w:tc>
        <w:tc>
          <w:tcPr>
            <w:tcW w:w="0" w:type="auto"/>
            <w:shd w:val="clear" w:color="auto" w:fill="FFFFFF"/>
            <w:noWrap/>
            <w:vAlign w:val="center"/>
          </w:tcPr>
          <w:p w14:paraId="62D98C8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23.87 </w:t>
            </w:r>
          </w:p>
        </w:tc>
        <w:tc>
          <w:tcPr>
            <w:tcW w:w="0" w:type="auto"/>
            <w:shd w:val="clear" w:color="auto" w:fill="FFFFFF"/>
            <w:noWrap/>
            <w:vAlign w:val="center"/>
          </w:tcPr>
          <w:p w14:paraId="4EF0997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90</w:t>
            </w:r>
          </w:p>
        </w:tc>
      </w:tr>
      <w:tr w:rsidR="006B10D9" w14:paraId="1EF7843B"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2279D1E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新西兰</w:t>
            </w:r>
          </w:p>
        </w:tc>
        <w:tc>
          <w:tcPr>
            <w:tcW w:w="0" w:type="auto"/>
            <w:shd w:val="clear" w:color="auto" w:fill="B8CCE4"/>
            <w:noWrap/>
            <w:vAlign w:val="center"/>
          </w:tcPr>
          <w:p w14:paraId="3676E38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45.03 </w:t>
            </w:r>
          </w:p>
        </w:tc>
        <w:tc>
          <w:tcPr>
            <w:tcW w:w="0" w:type="auto"/>
            <w:shd w:val="clear" w:color="auto" w:fill="B8CCE4"/>
            <w:noWrap/>
            <w:vAlign w:val="center"/>
          </w:tcPr>
          <w:p w14:paraId="0A03DD5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11</w:t>
            </w:r>
          </w:p>
        </w:tc>
        <w:tc>
          <w:tcPr>
            <w:tcW w:w="0" w:type="auto"/>
            <w:shd w:val="clear" w:color="auto" w:fill="B8CCE4"/>
            <w:vAlign w:val="center"/>
          </w:tcPr>
          <w:p w14:paraId="514EC23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俄罗斯</w:t>
            </w:r>
          </w:p>
        </w:tc>
        <w:tc>
          <w:tcPr>
            <w:tcW w:w="0" w:type="auto"/>
            <w:shd w:val="clear" w:color="auto" w:fill="B8CCE4"/>
            <w:noWrap/>
            <w:vAlign w:val="center"/>
          </w:tcPr>
          <w:p w14:paraId="557CDA7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32.40 </w:t>
            </w:r>
          </w:p>
        </w:tc>
        <w:tc>
          <w:tcPr>
            <w:tcW w:w="0" w:type="auto"/>
            <w:shd w:val="clear" w:color="auto" w:fill="B8CCE4"/>
            <w:noWrap/>
            <w:vAlign w:val="center"/>
          </w:tcPr>
          <w:p w14:paraId="31D6136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51</w:t>
            </w:r>
          </w:p>
        </w:tc>
        <w:tc>
          <w:tcPr>
            <w:tcW w:w="0" w:type="auto"/>
            <w:shd w:val="clear" w:color="auto" w:fill="B8CCE4"/>
            <w:vAlign w:val="center"/>
          </w:tcPr>
          <w:p w14:paraId="7CB3EA4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约旦</w:t>
            </w:r>
          </w:p>
        </w:tc>
        <w:tc>
          <w:tcPr>
            <w:tcW w:w="0" w:type="auto"/>
            <w:shd w:val="clear" w:color="auto" w:fill="B8CCE4"/>
            <w:noWrap/>
            <w:vAlign w:val="center"/>
          </w:tcPr>
          <w:p w14:paraId="1D30848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23.69 </w:t>
            </w:r>
          </w:p>
        </w:tc>
        <w:tc>
          <w:tcPr>
            <w:tcW w:w="0" w:type="auto"/>
            <w:shd w:val="clear" w:color="auto" w:fill="B8CCE4"/>
            <w:noWrap/>
            <w:vAlign w:val="center"/>
          </w:tcPr>
          <w:p w14:paraId="6959394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91</w:t>
            </w:r>
          </w:p>
        </w:tc>
      </w:tr>
      <w:tr w:rsidR="006B10D9" w14:paraId="54B474F8"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189895B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爱尔兰</w:t>
            </w:r>
          </w:p>
        </w:tc>
        <w:tc>
          <w:tcPr>
            <w:tcW w:w="0" w:type="auto"/>
            <w:shd w:val="clear" w:color="auto" w:fill="FFFFFF"/>
            <w:noWrap/>
            <w:vAlign w:val="center"/>
          </w:tcPr>
          <w:p w14:paraId="30B35B0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44.59 </w:t>
            </w:r>
          </w:p>
        </w:tc>
        <w:tc>
          <w:tcPr>
            <w:tcW w:w="0" w:type="auto"/>
            <w:shd w:val="clear" w:color="auto" w:fill="FFFFFF"/>
            <w:noWrap/>
            <w:vAlign w:val="center"/>
          </w:tcPr>
          <w:p w14:paraId="6BB6F59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12</w:t>
            </w:r>
          </w:p>
        </w:tc>
        <w:tc>
          <w:tcPr>
            <w:tcW w:w="0" w:type="auto"/>
            <w:shd w:val="clear" w:color="auto" w:fill="FFFFFF"/>
            <w:vAlign w:val="center"/>
          </w:tcPr>
          <w:p w14:paraId="64F7FBC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几内亚</w:t>
            </w:r>
          </w:p>
        </w:tc>
        <w:tc>
          <w:tcPr>
            <w:tcW w:w="0" w:type="auto"/>
            <w:shd w:val="clear" w:color="auto" w:fill="FFFFFF"/>
            <w:noWrap/>
            <w:vAlign w:val="center"/>
          </w:tcPr>
          <w:p w14:paraId="18836A1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32.03 </w:t>
            </w:r>
          </w:p>
        </w:tc>
        <w:tc>
          <w:tcPr>
            <w:tcW w:w="0" w:type="auto"/>
            <w:shd w:val="clear" w:color="auto" w:fill="FFFFFF"/>
            <w:noWrap/>
            <w:vAlign w:val="center"/>
          </w:tcPr>
          <w:p w14:paraId="048A024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52</w:t>
            </w:r>
          </w:p>
        </w:tc>
        <w:tc>
          <w:tcPr>
            <w:tcW w:w="0" w:type="auto"/>
            <w:shd w:val="clear" w:color="auto" w:fill="FFFFFF"/>
            <w:vAlign w:val="center"/>
          </w:tcPr>
          <w:p w14:paraId="3D85EBF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哥伦比亚</w:t>
            </w:r>
          </w:p>
        </w:tc>
        <w:tc>
          <w:tcPr>
            <w:tcW w:w="0" w:type="auto"/>
            <w:shd w:val="clear" w:color="auto" w:fill="FFFFFF"/>
            <w:noWrap/>
            <w:vAlign w:val="center"/>
          </w:tcPr>
          <w:p w14:paraId="55B9D62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23.63 </w:t>
            </w:r>
          </w:p>
        </w:tc>
        <w:tc>
          <w:tcPr>
            <w:tcW w:w="0" w:type="auto"/>
            <w:shd w:val="clear" w:color="auto" w:fill="FFFFFF"/>
            <w:noWrap/>
            <w:vAlign w:val="center"/>
          </w:tcPr>
          <w:p w14:paraId="55590F8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92</w:t>
            </w:r>
          </w:p>
        </w:tc>
      </w:tr>
      <w:tr w:rsidR="006B10D9" w14:paraId="5AF9C05E"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29F8354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冰岛</w:t>
            </w:r>
          </w:p>
        </w:tc>
        <w:tc>
          <w:tcPr>
            <w:tcW w:w="0" w:type="auto"/>
            <w:shd w:val="clear" w:color="auto" w:fill="B8CCE4"/>
            <w:noWrap/>
            <w:vAlign w:val="center"/>
          </w:tcPr>
          <w:p w14:paraId="3220767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44.16 </w:t>
            </w:r>
          </w:p>
        </w:tc>
        <w:tc>
          <w:tcPr>
            <w:tcW w:w="0" w:type="auto"/>
            <w:shd w:val="clear" w:color="auto" w:fill="B8CCE4"/>
            <w:noWrap/>
            <w:vAlign w:val="center"/>
          </w:tcPr>
          <w:p w14:paraId="226DFB1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13</w:t>
            </w:r>
          </w:p>
        </w:tc>
        <w:tc>
          <w:tcPr>
            <w:tcW w:w="0" w:type="auto"/>
            <w:shd w:val="clear" w:color="auto" w:fill="B8CCE4"/>
            <w:vAlign w:val="center"/>
          </w:tcPr>
          <w:p w14:paraId="70457F5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老挝</w:t>
            </w:r>
          </w:p>
        </w:tc>
        <w:tc>
          <w:tcPr>
            <w:tcW w:w="0" w:type="auto"/>
            <w:shd w:val="clear" w:color="auto" w:fill="B8CCE4"/>
            <w:noWrap/>
            <w:vAlign w:val="center"/>
          </w:tcPr>
          <w:p w14:paraId="3533D18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31.85 </w:t>
            </w:r>
          </w:p>
        </w:tc>
        <w:tc>
          <w:tcPr>
            <w:tcW w:w="0" w:type="auto"/>
            <w:shd w:val="clear" w:color="auto" w:fill="B8CCE4"/>
            <w:noWrap/>
            <w:vAlign w:val="center"/>
          </w:tcPr>
          <w:p w14:paraId="1FF8F6B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53</w:t>
            </w:r>
          </w:p>
        </w:tc>
        <w:tc>
          <w:tcPr>
            <w:tcW w:w="0" w:type="auto"/>
            <w:shd w:val="clear" w:color="auto" w:fill="B8CCE4"/>
            <w:vAlign w:val="center"/>
          </w:tcPr>
          <w:p w14:paraId="2D1C99F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阿尔及利亚</w:t>
            </w:r>
          </w:p>
        </w:tc>
        <w:tc>
          <w:tcPr>
            <w:tcW w:w="0" w:type="auto"/>
            <w:shd w:val="clear" w:color="auto" w:fill="B8CCE4"/>
            <w:noWrap/>
            <w:vAlign w:val="center"/>
          </w:tcPr>
          <w:p w14:paraId="3D4ADB3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22.93 </w:t>
            </w:r>
          </w:p>
        </w:tc>
        <w:tc>
          <w:tcPr>
            <w:tcW w:w="0" w:type="auto"/>
            <w:shd w:val="clear" w:color="auto" w:fill="B8CCE4"/>
            <w:noWrap/>
            <w:vAlign w:val="center"/>
          </w:tcPr>
          <w:p w14:paraId="7BC8A1F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93</w:t>
            </w:r>
          </w:p>
        </w:tc>
      </w:tr>
      <w:tr w:rsidR="006B10D9" w14:paraId="770D4CA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3A55AEF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加拿大</w:t>
            </w:r>
          </w:p>
        </w:tc>
        <w:tc>
          <w:tcPr>
            <w:tcW w:w="0" w:type="auto"/>
            <w:shd w:val="clear" w:color="auto" w:fill="FFFFFF"/>
            <w:noWrap/>
            <w:vAlign w:val="center"/>
          </w:tcPr>
          <w:p w14:paraId="0425106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44.00 </w:t>
            </w:r>
          </w:p>
        </w:tc>
        <w:tc>
          <w:tcPr>
            <w:tcW w:w="0" w:type="auto"/>
            <w:shd w:val="clear" w:color="auto" w:fill="FFFFFF"/>
            <w:noWrap/>
            <w:vAlign w:val="center"/>
          </w:tcPr>
          <w:p w14:paraId="1CF2B90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14</w:t>
            </w:r>
          </w:p>
        </w:tc>
        <w:tc>
          <w:tcPr>
            <w:tcW w:w="0" w:type="auto"/>
            <w:shd w:val="clear" w:color="auto" w:fill="FFFFFF"/>
            <w:vAlign w:val="center"/>
          </w:tcPr>
          <w:p w14:paraId="26B1F0B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巴林</w:t>
            </w:r>
          </w:p>
        </w:tc>
        <w:tc>
          <w:tcPr>
            <w:tcW w:w="0" w:type="auto"/>
            <w:shd w:val="clear" w:color="auto" w:fill="FFFFFF"/>
            <w:noWrap/>
            <w:vAlign w:val="center"/>
          </w:tcPr>
          <w:p w14:paraId="136C001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31.50 </w:t>
            </w:r>
          </w:p>
        </w:tc>
        <w:tc>
          <w:tcPr>
            <w:tcW w:w="0" w:type="auto"/>
            <w:shd w:val="clear" w:color="auto" w:fill="FFFFFF"/>
            <w:noWrap/>
            <w:vAlign w:val="center"/>
          </w:tcPr>
          <w:p w14:paraId="314C058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54</w:t>
            </w:r>
          </w:p>
        </w:tc>
        <w:tc>
          <w:tcPr>
            <w:tcW w:w="0" w:type="auto"/>
            <w:shd w:val="clear" w:color="auto" w:fill="FFFFFF"/>
            <w:vAlign w:val="center"/>
          </w:tcPr>
          <w:p w14:paraId="4C7D45C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塞内加尔</w:t>
            </w:r>
          </w:p>
        </w:tc>
        <w:tc>
          <w:tcPr>
            <w:tcW w:w="0" w:type="auto"/>
            <w:shd w:val="clear" w:color="auto" w:fill="FFFFFF"/>
            <w:noWrap/>
            <w:vAlign w:val="center"/>
          </w:tcPr>
          <w:p w14:paraId="7CEB3B3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22.25 </w:t>
            </w:r>
          </w:p>
        </w:tc>
        <w:tc>
          <w:tcPr>
            <w:tcW w:w="0" w:type="auto"/>
            <w:shd w:val="clear" w:color="auto" w:fill="FFFFFF"/>
            <w:noWrap/>
            <w:vAlign w:val="center"/>
          </w:tcPr>
          <w:p w14:paraId="674C595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94</w:t>
            </w:r>
          </w:p>
        </w:tc>
      </w:tr>
      <w:tr w:rsidR="006B10D9" w14:paraId="2F67B48B"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5441A26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英国</w:t>
            </w:r>
          </w:p>
        </w:tc>
        <w:tc>
          <w:tcPr>
            <w:tcW w:w="0" w:type="auto"/>
            <w:shd w:val="clear" w:color="auto" w:fill="B8CCE4"/>
            <w:noWrap/>
            <w:vAlign w:val="center"/>
          </w:tcPr>
          <w:p w14:paraId="74FFB15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44.00 </w:t>
            </w:r>
          </w:p>
        </w:tc>
        <w:tc>
          <w:tcPr>
            <w:tcW w:w="0" w:type="auto"/>
            <w:shd w:val="clear" w:color="auto" w:fill="B8CCE4"/>
            <w:noWrap/>
            <w:vAlign w:val="center"/>
          </w:tcPr>
          <w:p w14:paraId="1044313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15</w:t>
            </w:r>
          </w:p>
        </w:tc>
        <w:tc>
          <w:tcPr>
            <w:tcW w:w="0" w:type="auto"/>
            <w:shd w:val="clear" w:color="auto" w:fill="B8CCE4"/>
            <w:vAlign w:val="center"/>
          </w:tcPr>
          <w:p w14:paraId="23213C0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罗马尼亚</w:t>
            </w:r>
          </w:p>
        </w:tc>
        <w:tc>
          <w:tcPr>
            <w:tcW w:w="0" w:type="auto"/>
            <w:shd w:val="clear" w:color="auto" w:fill="B8CCE4"/>
            <w:noWrap/>
            <w:vAlign w:val="center"/>
          </w:tcPr>
          <w:p w14:paraId="4D09076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31.49 </w:t>
            </w:r>
          </w:p>
        </w:tc>
        <w:tc>
          <w:tcPr>
            <w:tcW w:w="0" w:type="auto"/>
            <w:shd w:val="clear" w:color="auto" w:fill="B8CCE4"/>
            <w:noWrap/>
            <w:vAlign w:val="center"/>
          </w:tcPr>
          <w:p w14:paraId="6E6EB87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55</w:t>
            </w:r>
          </w:p>
        </w:tc>
        <w:tc>
          <w:tcPr>
            <w:tcW w:w="0" w:type="auto"/>
            <w:shd w:val="clear" w:color="auto" w:fill="B8CCE4"/>
            <w:vAlign w:val="center"/>
          </w:tcPr>
          <w:p w14:paraId="28A86FB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博茨瓦纳</w:t>
            </w:r>
          </w:p>
        </w:tc>
        <w:tc>
          <w:tcPr>
            <w:tcW w:w="0" w:type="auto"/>
            <w:shd w:val="clear" w:color="auto" w:fill="B8CCE4"/>
            <w:noWrap/>
            <w:vAlign w:val="center"/>
          </w:tcPr>
          <w:p w14:paraId="60D2DDA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22.05 </w:t>
            </w:r>
          </w:p>
        </w:tc>
        <w:tc>
          <w:tcPr>
            <w:tcW w:w="0" w:type="auto"/>
            <w:shd w:val="clear" w:color="auto" w:fill="B8CCE4"/>
            <w:noWrap/>
            <w:vAlign w:val="center"/>
          </w:tcPr>
          <w:p w14:paraId="148E3A8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95</w:t>
            </w:r>
          </w:p>
        </w:tc>
      </w:tr>
      <w:tr w:rsidR="006B10D9" w14:paraId="26AB845D"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3886032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lastRenderedPageBreak/>
              <w:t>瑞典</w:t>
            </w:r>
          </w:p>
        </w:tc>
        <w:tc>
          <w:tcPr>
            <w:tcW w:w="0" w:type="auto"/>
            <w:shd w:val="clear" w:color="auto" w:fill="FFFFFF"/>
            <w:noWrap/>
            <w:vAlign w:val="center"/>
          </w:tcPr>
          <w:p w14:paraId="0832B92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43.90 </w:t>
            </w:r>
          </w:p>
        </w:tc>
        <w:tc>
          <w:tcPr>
            <w:tcW w:w="0" w:type="auto"/>
            <w:shd w:val="clear" w:color="auto" w:fill="FFFFFF"/>
            <w:noWrap/>
            <w:vAlign w:val="center"/>
          </w:tcPr>
          <w:p w14:paraId="1CF6789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16</w:t>
            </w:r>
          </w:p>
        </w:tc>
        <w:tc>
          <w:tcPr>
            <w:tcW w:w="0" w:type="auto"/>
            <w:shd w:val="clear" w:color="auto" w:fill="FFFFFF"/>
            <w:vAlign w:val="center"/>
          </w:tcPr>
          <w:p w14:paraId="367D2E1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柬埔寨</w:t>
            </w:r>
          </w:p>
        </w:tc>
        <w:tc>
          <w:tcPr>
            <w:tcW w:w="0" w:type="auto"/>
            <w:shd w:val="clear" w:color="auto" w:fill="FFFFFF"/>
            <w:noWrap/>
            <w:vAlign w:val="center"/>
          </w:tcPr>
          <w:p w14:paraId="7B5F190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31.38 </w:t>
            </w:r>
          </w:p>
        </w:tc>
        <w:tc>
          <w:tcPr>
            <w:tcW w:w="0" w:type="auto"/>
            <w:shd w:val="clear" w:color="auto" w:fill="FFFFFF"/>
            <w:noWrap/>
            <w:vAlign w:val="center"/>
          </w:tcPr>
          <w:p w14:paraId="0A4F089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56</w:t>
            </w:r>
          </w:p>
        </w:tc>
        <w:tc>
          <w:tcPr>
            <w:tcW w:w="0" w:type="auto"/>
            <w:shd w:val="clear" w:color="auto" w:fill="FFFFFF"/>
            <w:vAlign w:val="center"/>
          </w:tcPr>
          <w:p w14:paraId="150A535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乌干达</w:t>
            </w:r>
          </w:p>
        </w:tc>
        <w:tc>
          <w:tcPr>
            <w:tcW w:w="0" w:type="auto"/>
            <w:shd w:val="clear" w:color="auto" w:fill="FFFFFF"/>
            <w:noWrap/>
            <w:vAlign w:val="center"/>
          </w:tcPr>
          <w:p w14:paraId="482CF8F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22.00 </w:t>
            </w:r>
          </w:p>
        </w:tc>
        <w:tc>
          <w:tcPr>
            <w:tcW w:w="0" w:type="auto"/>
            <w:shd w:val="clear" w:color="auto" w:fill="FFFFFF"/>
            <w:noWrap/>
            <w:vAlign w:val="center"/>
          </w:tcPr>
          <w:p w14:paraId="00570D7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96</w:t>
            </w:r>
          </w:p>
        </w:tc>
      </w:tr>
      <w:tr w:rsidR="006B10D9" w14:paraId="73F1CFBC"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1D01B53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卡塔尔</w:t>
            </w:r>
          </w:p>
        </w:tc>
        <w:tc>
          <w:tcPr>
            <w:tcW w:w="0" w:type="auto"/>
            <w:shd w:val="clear" w:color="auto" w:fill="B8CCE4"/>
            <w:noWrap/>
            <w:vAlign w:val="center"/>
          </w:tcPr>
          <w:p w14:paraId="659291A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43.81 </w:t>
            </w:r>
          </w:p>
        </w:tc>
        <w:tc>
          <w:tcPr>
            <w:tcW w:w="0" w:type="auto"/>
            <w:shd w:val="clear" w:color="auto" w:fill="B8CCE4"/>
            <w:noWrap/>
            <w:vAlign w:val="center"/>
          </w:tcPr>
          <w:p w14:paraId="42EB22E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17</w:t>
            </w:r>
          </w:p>
        </w:tc>
        <w:tc>
          <w:tcPr>
            <w:tcW w:w="0" w:type="auto"/>
            <w:shd w:val="clear" w:color="auto" w:fill="B8CCE4"/>
            <w:vAlign w:val="center"/>
          </w:tcPr>
          <w:p w14:paraId="51A7440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乌克兰</w:t>
            </w:r>
          </w:p>
        </w:tc>
        <w:tc>
          <w:tcPr>
            <w:tcW w:w="0" w:type="auto"/>
            <w:shd w:val="clear" w:color="auto" w:fill="B8CCE4"/>
            <w:noWrap/>
            <w:vAlign w:val="center"/>
          </w:tcPr>
          <w:p w14:paraId="18E96BE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30.57 </w:t>
            </w:r>
          </w:p>
        </w:tc>
        <w:tc>
          <w:tcPr>
            <w:tcW w:w="0" w:type="auto"/>
            <w:shd w:val="clear" w:color="auto" w:fill="B8CCE4"/>
            <w:noWrap/>
            <w:vAlign w:val="center"/>
          </w:tcPr>
          <w:p w14:paraId="4DDE437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57</w:t>
            </w:r>
          </w:p>
        </w:tc>
        <w:tc>
          <w:tcPr>
            <w:tcW w:w="0" w:type="auto"/>
            <w:shd w:val="clear" w:color="auto" w:fill="B8CCE4"/>
            <w:vAlign w:val="center"/>
          </w:tcPr>
          <w:p w14:paraId="62CEA99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墨西哥</w:t>
            </w:r>
          </w:p>
        </w:tc>
        <w:tc>
          <w:tcPr>
            <w:tcW w:w="0" w:type="auto"/>
            <w:shd w:val="clear" w:color="auto" w:fill="B8CCE4"/>
            <w:noWrap/>
            <w:vAlign w:val="center"/>
          </w:tcPr>
          <w:p w14:paraId="2D4D91C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21.06 </w:t>
            </w:r>
          </w:p>
        </w:tc>
        <w:tc>
          <w:tcPr>
            <w:tcW w:w="0" w:type="auto"/>
            <w:shd w:val="clear" w:color="auto" w:fill="B8CCE4"/>
            <w:noWrap/>
            <w:vAlign w:val="center"/>
          </w:tcPr>
          <w:p w14:paraId="13DF2DE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97</w:t>
            </w:r>
          </w:p>
        </w:tc>
      </w:tr>
      <w:tr w:rsidR="006B10D9" w14:paraId="51AE1E4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1EBB5C0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法国</w:t>
            </w:r>
          </w:p>
        </w:tc>
        <w:tc>
          <w:tcPr>
            <w:tcW w:w="0" w:type="auto"/>
            <w:shd w:val="clear" w:color="auto" w:fill="FFFFFF"/>
            <w:noWrap/>
            <w:vAlign w:val="center"/>
          </w:tcPr>
          <w:p w14:paraId="14C7493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43.43 </w:t>
            </w:r>
          </w:p>
        </w:tc>
        <w:tc>
          <w:tcPr>
            <w:tcW w:w="0" w:type="auto"/>
            <w:shd w:val="clear" w:color="auto" w:fill="FFFFFF"/>
            <w:noWrap/>
            <w:vAlign w:val="center"/>
          </w:tcPr>
          <w:p w14:paraId="3C4FE14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18</w:t>
            </w:r>
          </w:p>
        </w:tc>
        <w:tc>
          <w:tcPr>
            <w:tcW w:w="0" w:type="auto"/>
            <w:shd w:val="clear" w:color="auto" w:fill="FFFFFF"/>
            <w:vAlign w:val="center"/>
          </w:tcPr>
          <w:p w14:paraId="5F8219A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哈萨克斯坦</w:t>
            </w:r>
          </w:p>
        </w:tc>
        <w:tc>
          <w:tcPr>
            <w:tcW w:w="0" w:type="auto"/>
            <w:shd w:val="clear" w:color="auto" w:fill="FFFFFF"/>
            <w:noWrap/>
            <w:vAlign w:val="center"/>
          </w:tcPr>
          <w:p w14:paraId="1D1F636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30.40 </w:t>
            </w:r>
          </w:p>
        </w:tc>
        <w:tc>
          <w:tcPr>
            <w:tcW w:w="0" w:type="auto"/>
            <w:shd w:val="clear" w:color="auto" w:fill="FFFFFF"/>
            <w:noWrap/>
            <w:vAlign w:val="center"/>
          </w:tcPr>
          <w:p w14:paraId="5836302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58</w:t>
            </w:r>
          </w:p>
        </w:tc>
        <w:tc>
          <w:tcPr>
            <w:tcW w:w="0" w:type="auto"/>
            <w:shd w:val="clear" w:color="auto" w:fill="FFFFFF"/>
            <w:vAlign w:val="center"/>
          </w:tcPr>
          <w:p w14:paraId="31E3178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纳米比亚</w:t>
            </w:r>
          </w:p>
        </w:tc>
        <w:tc>
          <w:tcPr>
            <w:tcW w:w="0" w:type="auto"/>
            <w:shd w:val="clear" w:color="auto" w:fill="FFFFFF"/>
            <w:noWrap/>
            <w:vAlign w:val="center"/>
          </w:tcPr>
          <w:p w14:paraId="700B309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20.30 </w:t>
            </w:r>
          </w:p>
        </w:tc>
        <w:tc>
          <w:tcPr>
            <w:tcW w:w="0" w:type="auto"/>
            <w:shd w:val="clear" w:color="auto" w:fill="FFFFFF"/>
            <w:noWrap/>
            <w:vAlign w:val="center"/>
          </w:tcPr>
          <w:p w14:paraId="7854362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98</w:t>
            </w:r>
          </w:p>
        </w:tc>
      </w:tr>
      <w:tr w:rsidR="006B10D9" w14:paraId="1C217D27"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1FCB845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韩国</w:t>
            </w:r>
          </w:p>
        </w:tc>
        <w:tc>
          <w:tcPr>
            <w:tcW w:w="0" w:type="auto"/>
            <w:shd w:val="clear" w:color="auto" w:fill="B8CCE4"/>
            <w:noWrap/>
            <w:vAlign w:val="center"/>
          </w:tcPr>
          <w:p w14:paraId="5DA110E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43.03 </w:t>
            </w:r>
          </w:p>
        </w:tc>
        <w:tc>
          <w:tcPr>
            <w:tcW w:w="0" w:type="auto"/>
            <w:shd w:val="clear" w:color="auto" w:fill="B8CCE4"/>
            <w:noWrap/>
            <w:vAlign w:val="center"/>
          </w:tcPr>
          <w:p w14:paraId="0712BEE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19</w:t>
            </w:r>
          </w:p>
        </w:tc>
        <w:tc>
          <w:tcPr>
            <w:tcW w:w="0" w:type="auto"/>
            <w:shd w:val="clear" w:color="auto" w:fill="B8CCE4"/>
            <w:vAlign w:val="center"/>
          </w:tcPr>
          <w:p w14:paraId="7532218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缅甸</w:t>
            </w:r>
          </w:p>
        </w:tc>
        <w:tc>
          <w:tcPr>
            <w:tcW w:w="0" w:type="auto"/>
            <w:shd w:val="clear" w:color="auto" w:fill="B8CCE4"/>
            <w:noWrap/>
            <w:vAlign w:val="center"/>
          </w:tcPr>
          <w:p w14:paraId="1F3CCC5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29.97 </w:t>
            </w:r>
          </w:p>
        </w:tc>
        <w:tc>
          <w:tcPr>
            <w:tcW w:w="0" w:type="auto"/>
            <w:shd w:val="clear" w:color="auto" w:fill="B8CCE4"/>
            <w:noWrap/>
            <w:vAlign w:val="center"/>
          </w:tcPr>
          <w:p w14:paraId="7A7854D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59</w:t>
            </w:r>
          </w:p>
        </w:tc>
        <w:tc>
          <w:tcPr>
            <w:tcW w:w="0" w:type="auto"/>
            <w:shd w:val="clear" w:color="auto" w:fill="B8CCE4"/>
            <w:vAlign w:val="center"/>
          </w:tcPr>
          <w:p w14:paraId="755C76A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莫桑比克</w:t>
            </w:r>
          </w:p>
        </w:tc>
        <w:tc>
          <w:tcPr>
            <w:tcW w:w="0" w:type="auto"/>
            <w:shd w:val="clear" w:color="auto" w:fill="B8CCE4"/>
            <w:noWrap/>
            <w:vAlign w:val="center"/>
          </w:tcPr>
          <w:p w14:paraId="7740D2E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20.29 </w:t>
            </w:r>
          </w:p>
        </w:tc>
        <w:tc>
          <w:tcPr>
            <w:tcW w:w="0" w:type="auto"/>
            <w:shd w:val="clear" w:color="auto" w:fill="B8CCE4"/>
            <w:noWrap/>
            <w:vAlign w:val="center"/>
          </w:tcPr>
          <w:p w14:paraId="0CE72FC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99</w:t>
            </w:r>
          </w:p>
        </w:tc>
      </w:tr>
      <w:tr w:rsidR="006B10D9" w14:paraId="1A58AD5C"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4BCB050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阿联酋</w:t>
            </w:r>
          </w:p>
        </w:tc>
        <w:tc>
          <w:tcPr>
            <w:tcW w:w="0" w:type="auto"/>
            <w:shd w:val="clear" w:color="auto" w:fill="FFFFFF"/>
            <w:noWrap/>
            <w:vAlign w:val="center"/>
          </w:tcPr>
          <w:p w14:paraId="468DB34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42.88 </w:t>
            </w:r>
          </w:p>
        </w:tc>
        <w:tc>
          <w:tcPr>
            <w:tcW w:w="0" w:type="auto"/>
            <w:shd w:val="clear" w:color="auto" w:fill="FFFFFF"/>
            <w:noWrap/>
            <w:vAlign w:val="center"/>
          </w:tcPr>
          <w:p w14:paraId="4524097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20</w:t>
            </w:r>
          </w:p>
        </w:tc>
        <w:tc>
          <w:tcPr>
            <w:tcW w:w="0" w:type="auto"/>
            <w:shd w:val="clear" w:color="auto" w:fill="FFFFFF"/>
            <w:vAlign w:val="center"/>
          </w:tcPr>
          <w:p w14:paraId="128C873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南非</w:t>
            </w:r>
          </w:p>
        </w:tc>
        <w:tc>
          <w:tcPr>
            <w:tcW w:w="0" w:type="auto"/>
            <w:shd w:val="clear" w:color="auto" w:fill="FFFFFF"/>
            <w:noWrap/>
            <w:vAlign w:val="center"/>
          </w:tcPr>
          <w:p w14:paraId="342CAA3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29.88 </w:t>
            </w:r>
          </w:p>
        </w:tc>
        <w:tc>
          <w:tcPr>
            <w:tcW w:w="0" w:type="auto"/>
            <w:shd w:val="clear" w:color="auto" w:fill="FFFFFF"/>
            <w:noWrap/>
            <w:vAlign w:val="center"/>
          </w:tcPr>
          <w:p w14:paraId="308ADA4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60</w:t>
            </w:r>
          </w:p>
        </w:tc>
        <w:tc>
          <w:tcPr>
            <w:tcW w:w="0" w:type="auto"/>
            <w:shd w:val="clear" w:color="auto" w:fill="FFFFFF"/>
            <w:vAlign w:val="center"/>
          </w:tcPr>
          <w:p w14:paraId="59E45E2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洪都拉斯</w:t>
            </w:r>
          </w:p>
        </w:tc>
        <w:tc>
          <w:tcPr>
            <w:tcW w:w="0" w:type="auto"/>
            <w:shd w:val="clear" w:color="auto" w:fill="FFFFFF"/>
            <w:noWrap/>
            <w:vAlign w:val="center"/>
          </w:tcPr>
          <w:p w14:paraId="28FE181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19.65 </w:t>
            </w:r>
          </w:p>
        </w:tc>
        <w:tc>
          <w:tcPr>
            <w:tcW w:w="0" w:type="auto"/>
            <w:shd w:val="clear" w:color="auto" w:fill="FFFFFF"/>
            <w:noWrap/>
            <w:vAlign w:val="center"/>
          </w:tcPr>
          <w:p w14:paraId="36EF6DE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100</w:t>
            </w:r>
          </w:p>
        </w:tc>
      </w:tr>
      <w:tr w:rsidR="006B10D9" w14:paraId="23BBA40B"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56FF65D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芬兰</w:t>
            </w:r>
          </w:p>
        </w:tc>
        <w:tc>
          <w:tcPr>
            <w:tcW w:w="0" w:type="auto"/>
            <w:shd w:val="clear" w:color="auto" w:fill="B8CCE4"/>
            <w:noWrap/>
            <w:vAlign w:val="center"/>
          </w:tcPr>
          <w:p w14:paraId="1EF36EA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42.80 </w:t>
            </w:r>
          </w:p>
        </w:tc>
        <w:tc>
          <w:tcPr>
            <w:tcW w:w="0" w:type="auto"/>
            <w:shd w:val="clear" w:color="auto" w:fill="B8CCE4"/>
            <w:noWrap/>
            <w:vAlign w:val="center"/>
          </w:tcPr>
          <w:p w14:paraId="7BE9E72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21</w:t>
            </w:r>
          </w:p>
        </w:tc>
        <w:tc>
          <w:tcPr>
            <w:tcW w:w="0" w:type="auto"/>
            <w:shd w:val="clear" w:color="auto" w:fill="B8CCE4"/>
            <w:vAlign w:val="center"/>
          </w:tcPr>
          <w:p w14:paraId="5756544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加纳</w:t>
            </w:r>
          </w:p>
        </w:tc>
        <w:tc>
          <w:tcPr>
            <w:tcW w:w="0" w:type="auto"/>
            <w:shd w:val="clear" w:color="auto" w:fill="B8CCE4"/>
            <w:noWrap/>
            <w:vAlign w:val="center"/>
          </w:tcPr>
          <w:p w14:paraId="25EC2B2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29.41 </w:t>
            </w:r>
          </w:p>
        </w:tc>
        <w:tc>
          <w:tcPr>
            <w:tcW w:w="0" w:type="auto"/>
            <w:shd w:val="clear" w:color="auto" w:fill="B8CCE4"/>
            <w:noWrap/>
            <w:vAlign w:val="center"/>
          </w:tcPr>
          <w:p w14:paraId="703FEDE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61</w:t>
            </w:r>
          </w:p>
        </w:tc>
        <w:tc>
          <w:tcPr>
            <w:tcW w:w="0" w:type="auto"/>
            <w:shd w:val="clear" w:color="auto" w:fill="B8CCE4"/>
            <w:vAlign w:val="center"/>
          </w:tcPr>
          <w:p w14:paraId="5F95967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苏丹</w:t>
            </w:r>
          </w:p>
        </w:tc>
        <w:tc>
          <w:tcPr>
            <w:tcW w:w="0" w:type="auto"/>
            <w:shd w:val="clear" w:color="auto" w:fill="B8CCE4"/>
            <w:noWrap/>
            <w:vAlign w:val="center"/>
          </w:tcPr>
          <w:p w14:paraId="08BB642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19.63 </w:t>
            </w:r>
          </w:p>
        </w:tc>
        <w:tc>
          <w:tcPr>
            <w:tcW w:w="0" w:type="auto"/>
            <w:shd w:val="clear" w:color="auto" w:fill="B8CCE4"/>
            <w:noWrap/>
            <w:vAlign w:val="center"/>
          </w:tcPr>
          <w:p w14:paraId="17FEC44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101</w:t>
            </w:r>
          </w:p>
        </w:tc>
      </w:tr>
      <w:tr w:rsidR="006B10D9" w14:paraId="415F8C47"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7090F6D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奥地利</w:t>
            </w:r>
          </w:p>
        </w:tc>
        <w:tc>
          <w:tcPr>
            <w:tcW w:w="0" w:type="auto"/>
            <w:shd w:val="clear" w:color="auto" w:fill="FFFFFF"/>
            <w:noWrap/>
            <w:vAlign w:val="center"/>
          </w:tcPr>
          <w:p w14:paraId="045A5C7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42.02 </w:t>
            </w:r>
          </w:p>
        </w:tc>
        <w:tc>
          <w:tcPr>
            <w:tcW w:w="0" w:type="auto"/>
            <w:shd w:val="clear" w:color="auto" w:fill="FFFFFF"/>
            <w:noWrap/>
            <w:vAlign w:val="center"/>
          </w:tcPr>
          <w:p w14:paraId="199A0A4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22</w:t>
            </w:r>
          </w:p>
        </w:tc>
        <w:tc>
          <w:tcPr>
            <w:tcW w:w="0" w:type="auto"/>
            <w:shd w:val="clear" w:color="auto" w:fill="FFFFFF"/>
            <w:vAlign w:val="center"/>
          </w:tcPr>
          <w:p w14:paraId="4589702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厄瓜多尔</w:t>
            </w:r>
          </w:p>
        </w:tc>
        <w:tc>
          <w:tcPr>
            <w:tcW w:w="0" w:type="auto"/>
            <w:shd w:val="clear" w:color="auto" w:fill="FFFFFF"/>
            <w:noWrap/>
            <w:vAlign w:val="center"/>
          </w:tcPr>
          <w:p w14:paraId="44A1708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29.39 </w:t>
            </w:r>
          </w:p>
        </w:tc>
        <w:tc>
          <w:tcPr>
            <w:tcW w:w="0" w:type="auto"/>
            <w:shd w:val="clear" w:color="auto" w:fill="FFFFFF"/>
            <w:noWrap/>
            <w:vAlign w:val="center"/>
          </w:tcPr>
          <w:p w14:paraId="0065A58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62</w:t>
            </w:r>
          </w:p>
        </w:tc>
        <w:tc>
          <w:tcPr>
            <w:tcW w:w="0" w:type="auto"/>
            <w:shd w:val="clear" w:color="auto" w:fill="FFFFFF"/>
            <w:vAlign w:val="center"/>
          </w:tcPr>
          <w:p w14:paraId="568C33B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伊拉克</w:t>
            </w:r>
          </w:p>
        </w:tc>
        <w:tc>
          <w:tcPr>
            <w:tcW w:w="0" w:type="auto"/>
            <w:shd w:val="clear" w:color="auto" w:fill="FFFFFF"/>
            <w:noWrap/>
            <w:vAlign w:val="center"/>
          </w:tcPr>
          <w:p w14:paraId="5BA9B1A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19.49 </w:t>
            </w:r>
          </w:p>
        </w:tc>
        <w:tc>
          <w:tcPr>
            <w:tcW w:w="0" w:type="auto"/>
            <w:shd w:val="clear" w:color="auto" w:fill="FFFFFF"/>
            <w:noWrap/>
            <w:vAlign w:val="center"/>
          </w:tcPr>
          <w:p w14:paraId="181038C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102</w:t>
            </w:r>
          </w:p>
        </w:tc>
      </w:tr>
      <w:tr w:rsidR="006B10D9" w14:paraId="61C39F58"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0995530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以色列</w:t>
            </w:r>
          </w:p>
        </w:tc>
        <w:tc>
          <w:tcPr>
            <w:tcW w:w="0" w:type="auto"/>
            <w:shd w:val="clear" w:color="auto" w:fill="B8CCE4"/>
            <w:noWrap/>
            <w:vAlign w:val="center"/>
          </w:tcPr>
          <w:p w14:paraId="409F78E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41.54 </w:t>
            </w:r>
          </w:p>
        </w:tc>
        <w:tc>
          <w:tcPr>
            <w:tcW w:w="0" w:type="auto"/>
            <w:shd w:val="clear" w:color="auto" w:fill="B8CCE4"/>
            <w:noWrap/>
            <w:vAlign w:val="center"/>
          </w:tcPr>
          <w:p w14:paraId="40EE20B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23</w:t>
            </w:r>
          </w:p>
        </w:tc>
        <w:tc>
          <w:tcPr>
            <w:tcW w:w="0" w:type="auto"/>
            <w:shd w:val="clear" w:color="auto" w:fill="B8CCE4"/>
            <w:vAlign w:val="center"/>
          </w:tcPr>
          <w:p w14:paraId="0A68F9E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拉脱维亚</w:t>
            </w:r>
          </w:p>
        </w:tc>
        <w:tc>
          <w:tcPr>
            <w:tcW w:w="0" w:type="auto"/>
            <w:shd w:val="clear" w:color="auto" w:fill="B8CCE4"/>
            <w:noWrap/>
            <w:vAlign w:val="center"/>
          </w:tcPr>
          <w:p w14:paraId="7848A17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29.06 </w:t>
            </w:r>
          </w:p>
        </w:tc>
        <w:tc>
          <w:tcPr>
            <w:tcW w:w="0" w:type="auto"/>
            <w:shd w:val="clear" w:color="auto" w:fill="B8CCE4"/>
            <w:noWrap/>
            <w:vAlign w:val="center"/>
          </w:tcPr>
          <w:p w14:paraId="1567E83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63</w:t>
            </w:r>
          </w:p>
        </w:tc>
        <w:tc>
          <w:tcPr>
            <w:tcW w:w="0" w:type="auto"/>
            <w:shd w:val="clear" w:color="auto" w:fill="B8CCE4"/>
            <w:vAlign w:val="center"/>
          </w:tcPr>
          <w:p w14:paraId="4E445B9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喀麦隆</w:t>
            </w:r>
          </w:p>
        </w:tc>
        <w:tc>
          <w:tcPr>
            <w:tcW w:w="0" w:type="auto"/>
            <w:shd w:val="clear" w:color="auto" w:fill="B8CCE4"/>
            <w:noWrap/>
            <w:vAlign w:val="center"/>
          </w:tcPr>
          <w:p w14:paraId="2F7BD43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18.65 </w:t>
            </w:r>
          </w:p>
        </w:tc>
        <w:tc>
          <w:tcPr>
            <w:tcW w:w="0" w:type="auto"/>
            <w:shd w:val="clear" w:color="auto" w:fill="B8CCE4"/>
            <w:noWrap/>
            <w:vAlign w:val="center"/>
          </w:tcPr>
          <w:p w14:paraId="3C88A8E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103</w:t>
            </w:r>
          </w:p>
        </w:tc>
      </w:tr>
      <w:tr w:rsidR="006B10D9" w14:paraId="6D97616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28C4EA7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马耳他</w:t>
            </w:r>
          </w:p>
        </w:tc>
        <w:tc>
          <w:tcPr>
            <w:tcW w:w="0" w:type="auto"/>
            <w:shd w:val="clear" w:color="auto" w:fill="FFFFFF"/>
            <w:noWrap/>
            <w:vAlign w:val="center"/>
          </w:tcPr>
          <w:p w14:paraId="25643FA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40.02 </w:t>
            </w:r>
          </w:p>
        </w:tc>
        <w:tc>
          <w:tcPr>
            <w:tcW w:w="0" w:type="auto"/>
            <w:shd w:val="clear" w:color="auto" w:fill="FFFFFF"/>
            <w:noWrap/>
            <w:vAlign w:val="center"/>
          </w:tcPr>
          <w:p w14:paraId="11EAFB1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24</w:t>
            </w:r>
          </w:p>
        </w:tc>
        <w:tc>
          <w:tcPr>
            <w:tcW w:w="0" w:type="auto"/>
            <w:shd w:val="clear" w:color="auto" w:fill="FFFFFF"/>
            <w:vAlign w:val="center"/>
          </w:tcPr>
          <w:p w14:paraId="7EB003E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孟加拉国</w:t>
            </w:r>
          </w:p>
        </w:tc>
        <w:tc>
          <w:tcPr>
            <w:tcW w:w="0" w:type="auto"/>
            <w:shd w:val="clear" w:color="auto" w:fill="FFFFFF"/>
            <w:noWrap/>
            <w:vAlign w:val="center"/>
          </w:tcPr>
          <w:p w14:paraId="4193F2D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28.79 </w:t>
            </w:r>
          </w:p>
        </w:tc>
        <w:tc>
          <w:tcPr>
            <w:tcW w:w="0" w:type="auto"/>
            <w:shd w:val="clear" w:color="auto" w:fill="FFFFFF"/>
            <w:noWrap/>
            <w:vAlign w:val="center"/>
          </w:tcPr>
          <w:p w14:paraId="63D713A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64</w:t>
            </w:r>
          </w:p>
        </w:tc>
        <w:tc>
          <w:tcPr>
            <w:tcW w:w="0" w:type="auto"/>
            <w:shd w:val="clear" w:color="auto" w:fill="FFFFFF"/>
            <w:vAlign w:val="center"/>
          </w:tcPr>
          <w:p w14:paraId="4D1A557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尼日尔</w:t>
            </w:r>
          </w:p>
        </w:tc>
        <w:tc>
          <w:tcPr>
            <w:tcW w:w="0" w:type="auto"/>
            <w:shd w:val="clear" w:color="auto" w:fill="FFFFFF"/>
            <w:noWrap/>
            <w:vAlign w:val="center"/>
          </w:tcPr>
          <w:p w14:paraId="064EC2D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16.08 </w:t>
            </w:r>
          </w:p>
        </w:tc>
        <w:tc>
          <w:tcPr>
            <w:tcW w:w="0" w:type="auto"/>
            <w:shd w:val="clear" w:color="auto" w:fill="FFFFFF"/>
            <w:noWrap/>
            <w:vAlign w:val="center"/>
          </w:tcPr>
          <w:p w14:paraId="169502C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104</w:t>
            </w:r>
          </w:p>
        </w:tc>
      </w:tr>
      <w:tr w:rsidR="006B10D9" w14:paraId="026595EA"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637FBA1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塞浦路斯</w:t>
            </w:r>
          </w:p>
        </w:tc>
        <w:tc>
          <w:tcPr>
            <w:tcW w:w="0" w:type="auto"/>
            <w:shd w:val="clear" w:color="auto" w:fill="B8CCE4"/>
            <w:noWrap/>
            <w:vAlign w:val="center"/>
          </w:tcPr>
          <w:p w14:paraId="3612643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38.89 </w:t>
            </w:r>
          </w:p>
        </w:tc>
        <w:tc>
          <w:tcPr>
            <w:tcW w:w="0" w:type="auto"/>
            <w:shd w:val="clear" w:color="auto" w:fill="B8CCE4"/>
            <w:noWrap/>
            <w:vAlign w:val="center"/>
          </w:tcPr>
          <w:p w14:paraId="7A9B486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25</w:t>
            </w:r>
          </w:p>
        </w:tc>
        <w:tc>
          <w:tcPr>
            <w:tcW w:w="0" w:type="auto"/>
            <w:shd w:val="clear" w:color="auto" w:fill="B8CCE4"/>
            <w:vAlign w:val="center"/>
          </w:tcPr>
          <w:p w14:paraId="3234862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土耳其</w:t>
            </w:r>
          </w:p>
        </w:tc>
        <w:tc>
          <w:tcPr>
            <w:tcW w:w="0" w:type="auto"/>
            <w:shd w:val="clear" w:color="auto" w:fill="B8CCE4"/>
            <w:noWrap/>
            <w:vAlign w:val="center"/>
          </w:tcPr>
          <w:p w14:paraId="240A988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28.75 </w:t>
            </w:r>
          </w:p>
        </w:tc>
        <w:tc>
          <w:tcPr>
            <w:tcW w:w="0" w:type="auto"/>
            <w:shd w:val="clear" w:color="auto" w:fill="B8CCE4"/>
            <w:noWrap/>
            <w:vAlign w:val="center"/>
          </w:tcPr>
          <w:p w14:paraId="458B16A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65</w:t>
            </w:r>
          </w:p>
        </w:tc>
        <w:tc>
          <w:tcPr>
            <w:tcW w:w="0" w:type="auto"/>
            <w:shd w:val="clear" w:color="auto" w:fill="B8CCE4"/>
            <w:noWrap/>
            <w:vAlign w:val="center"/>
          </w:tcPr>
          <w:p w14:paraId="03F14F81"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5B83AFE0"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65FEFE10"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7FA4161C"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0E34ED4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西班牙</w:t>
            </w:r>
          </w:p>
        </w:tc>
        <w:tc>
          <w:tcPr>
            <w:tcW w:w="0" w:type="auto"/>
            <w:shd w:val="clear" w:color="auto" w:fill="FFFFFF"/>
            <w:noWrap/>
            <w:vAlign w:val="center"/>
          </w:tcPr>
          <w:p w14:paraId="1F7F8A4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37.98 </w:t>
            </w:r>
          </w:p>
        </w:tc>
        <w:tc>
          <w:tcPr>
            <w:tcW w:w="0" w:type="auto"/>
            <w:shd w:val="clear" w:color="auto" w:fill="FFFFFF"/>
            <w:noWrap/>
            <w:vAlign w:val="center"/>
          </w:tcPr>
          <w:p w14:paraId="7AE862D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26</w:t>
            </w:r>
          </w:p>
        </w:tc>
        <w:tc>
          <w:tcPr>
            <w:tcW w:w="0" w:type="auto"/>
            <w:shd w:val="clear" w:color="auto" w:fill="FFFFFF"/>
            <w:vAlign w:val="center"/>
          </w:tcPr>
          <w:p w14:paraId="4025A46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突尼斯</w:t>
            </w:r>
          </w:p>
        </w:tc>
        <w:tc>
          <w:tcPr>
            <w:tcW w:w="0" w:type="auto"/>
            <w:shd w:val="clear" w:color="auto" w:fill="FFFFFF"/>
            <w:noWrap/>
            <w:vAlign w:val="center"/>
          </w:tcPr>
          <w:p w14:paraId="7F2107D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28.39 </w:t>
            </w:r>
          </w:p>
        </w:tc>
        <w:tc>
          <w:tcPr>
            <w:tcW w:w="0" w:type="auto"/>
            <w:shd w:val="clear" w:color="auto" w:fill="FFFFFF"/>
            <w:noWrap/>
            <w:vAlign w:val="center"/>
          </w:tcPr>
          <w:p w14:paraId="3135B53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66</w:t>
            </w:r>
          </w:p>
        </w:tc>
        <w:tc>
          <w:tcPr>
            <w:tcW w:w="0" w:type="auto"/>
            <w:shd w:val="clear" w:color="auto" w:fill="FFFFFF"/>
            <w:noWrap/>
            <w:vAlign w:val="center"/>
          </w:tcPr>
          <w:p w14:paraId="7474F1BD"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456AD0CD"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2DD92D1A"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3BE25C66"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54F11DF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智利</w:t>
            </w:r>
          </w:p>
        </w:tc>
        <w:tc>
          <w:tcPr>
            <w:tcW w:w="0" w:type="auto"/>
            <w:shd w:val="clear" w:color="auto" w:fill="B8CCE4"/>
            <w:noWrap/>
            <w:vAlign w:val="center"/>
          </w:tcPr>
          <w:p w14:paraId="4116847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37.88 </w:t>
            </w:r>
          </w:p>
        </w:tc>
        <w:tc>
          <w:tcPr>
            <w:tcW w:w="0" w:type="auto"/>
            <w:shd w:val="clear" w:color="auto" w:fill="B8CCE4"/>
            <w:noWrap/>
            <w:vAlign w:val="center"/>
          </w:tcPr>
          <w:p w14:paraId="17E3870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27</w:t>
            </w:r>
          </w:p>
        </w:tc>
        <w:tc>
          <w:tcPr>
            <w:tcW w:w="0" w:type="auto"/>
            <w:shd w:val="clear" w:color="auto" w:fill="B8CCE4"/>
            <w:vAlign w:val="center"/>
          </w:tcPr>
          <w:p w14:paraId="0EBF857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坦桑尼亚</w:t>
            </w:r>
          </w:p>
        </w:tc>
        <w:tc>
          <w:tcPr>
            <w:tcW w:w="0" w:type="auto"/>
            <w:shd w:val="clear" w:color="auto" w:fill="B8CCE4"/>
            <w:noWrap/>
            <w:vAlign w:val="center"/>
          </w:tcPr>
          <w:p w14:paraId="6470C88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28.19 </w:t>
            </w:r>
          </w:p>
        </w:tc>
        <w:tc>
          <w:tcPr>
            <w:tcW w:w="0" w:type="auto"/>
            <w:shd w:val="clear" w:color="auto" w:fill="B8CCE4"/>
            <w:noWrap/>
            <w:vAlign w:val="center"/>
          </w:tcPr>
          <w:p w14:paraId="55C8CA4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67</w:t>
            </w:r>
          </w:p>
        </w:tc>
        <w:tc>
          <w:tcPr>
            <w:tcW w:w="0" w:type="auto"/>
            <w:shd w:val="clear" w:color="auto" w:fill="B8CCE4"/>
            <w:noWrap/>
            <w:vAlign w:val="center"/>
          </w:tcPr>
          <w:p w14:paraId="13045E89"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29AB5A5B"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2DB60B75"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399751D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75FF872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葡萄牙</w:t>
            </w:r>
          </w:p>
        </w:tc>
        <w:tc>
          <w:tcPr>
            <w:tcW w:w="0" w:type="auto"/>
            <w:shd w:val="clear" w:color="auto" w:fill="FFFFFF"/>
            <w:noWrap/>
            <w:vAlign w:val="center"/>
          </w:tcPr>
          <w:p w14:paraId="66F1A62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37.78 </w:t>
            </w:r>
          </w:p>
        </w:tc>
        <w:tc>
          <w:tcPr>
            <w:tcW w:w="0" w:type="auto"/>
            <w:shd w:val="clear" w:color="auto" w:fill="FFFFFF"/>
            <w:noWrap/>
            <w:vAlign w:val="center"/>
          </w:tcPr>
          <w:p w14:paraId="5F81350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28</w:t>
            </w:r>
          </w:p>
        </w:tc>
        <w:tc>
          <w:tcPr>
            <w:tcW w:w="0" w:type="auto"/>
            <w:shd w:val="clear" w:color="auto" w:fill="FFFFFF"/>
            <w:vAlign w:val="center"/>
          </w:tcPr>
          <w:p w14:paraId="7ADB890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摩洛哥</w:t>
            </w:r>
          </w:p>
        </w:tc>
        <w:tc>
          <w:tcPr>
            <w:tcW w:w="0" w:type="auto"/>
            <w:shd w:val="clear" w:color="auto" w:fill="FFFFFF"/>
            <w:noWrap/>
            <w:vAlign w:val="center"/>
          </w:tcPr>
          <w:p w14:paraId="5325DD8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28.08 </w:t>
            </w:r>
          </w:p>
        </w:tc>
        <w:tc>
          <w:tcPr>
            <w:tcW w:w="0" w:type="auto"/>
            <w:shd w:val="clear" w:color="auto" w:fill="FFFFFF"/>
            <w:noWrap/>
            <w:vAlign w:val="center"/>
          </w:tcPr>
          <w:p w14:paraId="6EB0CFE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68</w:t>
            </w:r>
          </w:p>
        </w:tc>
        <w:tc>
          <w:tcPr>
            <w:tcW w:w="0" w:type="auto"/>
            <w:shd w:val="clear" w:color="auto" w:fill="FFFFFF"/>
            <w:noWrap/>
            <w:vAlign w:val="center"/>
          </w:tcPr>
          <w:p w14:paraId="102573F1"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07DDAAEA"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5DF275A0"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01A6ABD0"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7D2A9ED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爱沙尼亚</w:t>
            </w:r>
          </w:p>
        </w:tc>
        <w:tc>
          <w:tcPr>
            <w:tcW w:w="0" w:type="auto"/>
            <w:shd w:val="clear" w:color="auto" w:fill="B8CCE4"/>
            <w:noWrap/>
            <w:vAlign w:val="center"/>
          </w:tcPr>
          <w:p w14:paraId="671C3E6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37.77 </w:t>
            </w:r>
          </w:p>
        </w:tc>
        <w:tc>
          <w:tcPr>
            <w:tcW w:w="0" w:type="auto"/>
            <w:shd w:val="clear" w:color="auto" w:fill="B8CCE4"/>
            <w:noWrap/>
            <w:vAlign w:val="center"/>
          </w:tcPr>
          <w:p w14:paraId="4192B3F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29</w:t>
            </w:r>
          </w:p>
        </w:tc>
        <w:tc>
          <w:tcPr>
            <w:tcW w:w="0" w:type="auto"/>
            <w:shd w:val="clear" w:color="auto" w:fill="B8CCE4"/>
            <w:vAlign w:val="center"/>
          </w:tcPr>
          <w:p w14:paraId="340F97B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巴拿马</w:t>
            </w:r>
          </w:p>
        </w:tc>
        <w:tc>
          <w:tcPr>
            <w:tcW w:w="0" w:type="auto"/>
            <w:shd w:val="clear" w:color="auto" w:fill="B8CCE4"/>
            <w:noWrap/>
            <w:vAlign w:val="center"/>
          </w:tcPr>
          <w:p w14:paraId="553C717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27.98 </w:t>
            </w:r>
          </w:p>
        </w:tc>
        <w:tc>
          <w:tcPr>
            <w:tcW w:w="0" w:type="auto"/>
            <w:shd w:val="clear" w:color="auto" w:fill="B8CCE4"/>
            <w:noWrap/>
            <w:vAlign w:val="center"/>
          </w:tcPr>
          <w:p w14:paraId="0ADACE1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69</w:t>
            </w:r>
          </w:p>
        </w:tc>
        <w:tc>
          <w:tcPr>
            <w:tcW w:w="0" w:type="auto"/>
            <w:shd w:val="clear" w:color="auto" w:fill="B8CCE4"/>
            <w:noWrap/>
            <w:vAlign w:val="center"/>
          </w:tcPr>
          <w:p w14:paraId="0720D745"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11EF2B2A"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1F57AD79"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648C888E"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721A0E8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意大利</w:t>
            </w:r>
          </w:p>
        </w:tc>
        <w:tc>
          <w:tcPr>
            <w:tcW w:w="0" w:type="auto"/>
            <w:shd w:val="clear" w:color="auto" w:fill="FFFFFF"/>
            <w:noWrap/>
            <w:vAlign w:val="center"/>
          </w:tcPr>
          <w:p w14:paraId="6CABFAD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37.61 </w:t>
            </w:r>
          </w:p>
        </w:tc>
        <w:tc>
          <w:tcPr>
            <w:tcW w:w="0" w:type="auto"/>
            <w:shd w:val="clear" w:color="auto" w:fill="FFFFFF"/>
            <w:noWrap/>
            <w:vAlign w:val="center"/>
          </w:tcPr>
          <w:p w14:paraId="1CC3703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30</w:t>
            </w:r>
          </w:p>
        </w:tc>
        <w:tc>
          <w:tcPr>
            <w:tcW w:w="0" w:type="auto"/>
            <w:shd w:val="clear" w:color="auto" w:fill="FFFFFF"/>
            <w:vAlign w:val="center"/>
          </w:tcPr>
          <w:p w14:paraId="10B49A9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吉尔吉斯斯坦</w:t>
            </w:r>
          </w:p>
        </w:tc>
        <w:tc>
          <w:tcPr>
            <w:tcW w:w="0" w:type="auto"/>
            <w:shd w:val="clear" w:color="auto" w:fill="FFFFFF"/>
            <w:noWrap/>
            <w:vAlign w:val="center"/>
          </w:tcPr>
          <w:p w14:paraId="7B9A631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27.36 </w:t>
            </w:r>
          </w:p>
        </w:tc>
        <w:tc>
          <w:tcPr>
            <w:tcW w:w="0" w:type="auto"/>
            <w:shd w:val="clear" w:color="auto" w:fill="FFFFFF"/>
            <w:noWrap/>
            <w:vAlign w:val="center"/>
          </w:tcPr>
          <w:p w14:paraId="6CD7A4C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70</w:t>
            </w:r>
          </w:p>
        </w:tc>
        <w:tc>
          <w:tcPr>
            <w:tcW w:w="0" w:type="auto"/>
            <w:shd w:val="clear" w:color="auto" w:fill="FFFFFF"/>
            <w:noWrap/>
            <w:vAlign w:val="center"/>
          </w:tcPr>
          <w:p w14:paraId="27D9F84F"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7017AC36"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573698B0"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7FB5A323"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7E5F89A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斯洛文尼亚</w:t>
            </w:r>
          </w:p>
        </w:tc>
        <w:tc>
          <w:tcPr>
            <w:tcW w:w="0" w:type="auto"/>
            <w:shd w:val="clear" w:color="auto" w:fill="B8CCE4"/>
            <w:noWrap/>
            <w:vAlign w:val="center"/>
          </w:tcPr>
          <w:p w14:paraId="32308BE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37.56 </w:t>
            </w:r>
          </w:p>
        </w:tc>
        <w:tc>
          <w:tcPr>
            <w:tcW w:w="0" w:type="auto"/>
            <w:shd w:val="clear" w:color="auto" w:fill="B8CCE4"/>
            <w:noWrap/>
            <w:vAlign w:val="center"/>
          </w:tcPr>
          <w:p w14:paraId="0B732A3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31</w:t>
            </w:r>
          </w:p>
        </w:tc>
        <w:tc>
          <w:tcPr>
            <w:tcW w:w="0" w:type="auto"/>
            <w:shd w:val="clear" w:color="auto" w:fill="B8CCE4"/>
            <w:vAlign w:val="center"/>
          </w:tcPr>
          <w:p w14:paraId="5C26E33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阿根廷</w:t>
            </w:r>
          </w:p>
        </w:tc>
        <w:tc>
          <w:tcPr>
            <w:tcW w:w="0" w:type="auto"/>
            <w:shd w:val="clear" w:color="auto" w:fill="B8CCE4"/>
            <w:noWrap/>
            <w:vAlign w:val="center"/>
          </w:tcPr>
          <w:p w14:paraId="5AE74BA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27.13 </w:t>
            </w:r>
          </w:p>
        </w:tc>
        <w:tc>
          <w:tcPr>
            <w:tcW w:w="0" w:type="auto"/>
            <w:shd w:val="clear" w:color="auto" w:fill="B8CCE4"/>
            <w:noWrap/>
            <w:vAlign w:val="center"/>
          </w:tcPr>
          <w:p w14:paraId="764F53D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71</w:t>
            </w:r>
          </w:p>
        </w:tc>
        <w:tc>
          <w:tcPr>
            <w:tcW w:w="0" w:type="auto"/>
            <w:shd w:val="clear" w:color="auto" w:fill="B8CCE4"/>
            <w:noWrap/>
            <w:vAlign w:val="center"/>
          </w:tcPr>
          <w:p w14:paraId="5C501BB9"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0844601A"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42277B65"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0451AF58"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7640608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捷克</w:t>
            </w:r>
          </w:p>
        </w:tc>
        <w:tc>
          <w:tcPr>
            <w:tcW w:w="0" w:type="auto"/>
            <w:shd w:val="clear" w:color="auto" w:fill="FFFFFF"/>
            <w:noWrap/>
            <w:vAlign w:val="center"/>
          </w:tcPr>
          <w:p w14:paraId="1EC54F0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36.86 </w:t>
            </w:r>
          </w:p>
        </w:tc>
        <w:tc>
          <w:tcPr>
            <w:tcW w:w="0" w:type="auto"/>
            <w:shd w:val="clear" w:color="auto" w:fill="FFFFFF"/>
            <w:noWrap/>
            <w:vAlign w:val="center"/>
          </w:tcPr>
          <w:p w14:paraId="12767E5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32</w:t>
            </w:r>
          </w:p>
        </w:tc>
        <w:tc>
          <w:tcPr>
            <w:tcW w:w="0" w:type="auto"/>
            <w:shd w:val="clear" w:color="auto" w:fill="FFFFFF"/>
            <w:vAlign w:val="center"/>
          </w:tcPr>
          <w:p w14:paraId="66DA8B0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伊朗</w:t>
            </w:r>
          </w:p>
        </w:tc>
        <w:tc>
          <w:tcPr>
            <w:tcW w:w="0" w:type="auto"/>
            <w:shd w:val="clear" w:color="auto" w:fill="FFFFFF"/>
            <w:noWrap/>
            <w:vAlign w:val="center"/>
          </w:tcPr>
          <w:p w14:paraId="691566A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26.89 </w:t>
            </w:r>
          </w:p>
        </w:tc>
        <w:tc>
          <w:tcPr>
            <w:tcW w:w="0" w:type="auto"/>
            <w:shd w:val="clear" w:color="auto" w:fill="FFFFFF"/>
            <w:noWrap/>
            <w:vAlign w:val="center"/>
          </w:tcPr>
          <w:p w14:paraId="7511362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72</w:t>
            </w:r>
          </w:p>
        </w:tc>
        <w:tc>
          <w:tcPr>
            <w:tcW w:w="0" w:type="auto"/>
            <w:shd w:val="clear" w:color="auto" w:fill="FFFFFF"/>
            <w:noWrap/>
            <w:vAlign w:val="center"/>
          </w:tcPr>
          <w:p w14:paraId="3057ED5C"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38399EE4"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15915AB6"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22B19965"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4CC0716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马来西亚</w:t>
            </w:r>
          </w:p>
        </w:tc>
        <w:tc>
          <w:tcPr>
            <w:tcW w:w="0" w:type="auto"/>
            <w:shd w:val="clear" w:color="auto" w:fill="B8CCE4"/>
            <w:noWrap/>
            <w:vAlign w:val="center"/>
          </w:tcPr>
          <w:p w14:paraId="0DCC2DC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36.12 </w:t>
            </w:r>
          </w:p>
        </w:tc>
        <w:tc>
          <w:tcPr>
            <w:tcW w:w="0" w:type="auto"/>
            <w:shd w:val="clear" w:color="auto" w:fill="B8CCE4"/>
            <w:noWrap/>
            <w:vAlign w:val="center"/>
          </w:tcPr>
          <w:p w14:paraId="6D03FFB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33</w:t>
            </w:r>
          </w:p>
        </w:tc>
        <w:tc>
          <w:tcPr>
            <w:tcW w:w="0" w:type="auto"/>
            <w:shd w:val="clear" w:color="auto" w:fill="B8CCE4"/>
            <w:vAlign w:val="center"/>
          </w:tcPr>
          <w:p w14:paraId="4D759E3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埃及</w:t>
            </w:r>
          </w:p>
        </w:tc>
        <w:tc>
          <w:tcPr>
            <w:tcW w:w="0" w:type="auto"/>
            <w:shd w:val="clear" w:color="auto" w:fill="B8CCE4"/>
            <w:noWrap/>
            <w:vAlign w:val="center"/>
          </w:tcPr>
          <w:p w14:paraId="3444821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26.82 </w:t>
            </w:r>
          </w:p>
        </w:tc>
        <w:tc>
          <w:tcPr>
            <w:tcW w:w="0" w:type="auto"/>
            <w:shd w:val="clear" w:color="auto" w:fill="B8CCE4"/>
            <w:noWrap/>
            <w:vAlign w:val="center"/>
          </w:tcPr>
          <w:p w14:paraId="4340B1A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73</w:t>
            </w:r>
          </w:p>
        </w:tc>
        <w:tc>
          <w:tcPr>
            <w:tcW w:w="0" w:type="auto"/>
            <w:shd w:val="clear" w:color="auto" w:fill="B8CCE4"/>
            <w:noWrap/>
            <w:vAlign w:val="center"/>
          </w:tcPr>
          <w:p w14:paraId="23ED58EC"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6379211C"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38F82509"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45377685"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12568A5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乌拉圭</w:t>
            </w:r>
          </w:p>
        </w:tc>
        <w:tc>
          <w:tcPr>
            <w:tcW w:w="0" w:type="auto"/>
            <w:shd w:val="clear" w:color="auto" w:fill="FFFFFF"/>
            <w:noWrap/>
            <w:vAlign w:val="center"/>
          </w:tcPr>
          <w:p w14:paraId="1D05EC7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36.10 </w:t>
            </w:r>
          </w:p>
        </w:tc>
        <w:tc>
          <w:tcPr>
            <w:tcW w:w="0" w:type="auto"/>
            <w:shd w:val="clear" w:color="auto" w:fill="FFFFFF"/>
            <w:noWrap/>
            <w:vAlign w:val="center"/>
          </w:tcPr>
          <w:p w14:paraId="074E832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34</w:t>
            </w:r>
          </w:p>
        </w:tc>
        <w:tc>
          <w:tcPr>
            <w:tcW w:w="0" w:type="auto"/>
            <w:shd w:val="clear" w:color="auto" w:fill="FFFFFF"/>
            <w:vAlign w:val="center"/>
          </w:tcPr>
          <w:p w14:paraId="6A0A3FC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多哥</w:t>
            </w:r>
          </w:p>
        </w:tc>
        <w:tc>
          <w:tcPr>
            <w:tcW w:w="0" w:type="auto"/>
            <w:shd w:val="clear" w:color="auto" w:fill="FFFFFF"/>
            <w:noWrap/>
            <w:vAlign w:val="center"/>
          </w:tcPr>
          <w:p w14:paraId="263E134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26.53 </w:t>
            </w:r>
          </w:p>
        </w:tc>
        <w:tc>
          <w:tcPr>
            <w:tcW w:w="0" w:type="auto"/>
            <w:shd w:val="clear" w:color="auto" w:fill="FFFFFF"/>
            <w:noWrap/>
            <w:vAlign w:val="center"/>
          </w:tcPr>
          <w:p w14:paraId="367778E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74</w:t>
            </w:r>
          </w:p>
        </w:tc>
        <w:tc>
          <w:tcPr>
            <w:tcW w:w="0" w:type="auto"/>
            <w:shd w:val="clear" w:color="auto" w:fill="FFFFFF"/>
            <w:noWrap/>
            <w:vAlign w:val="center"/>
          </w:tcPr>
          <w:p w14:paraId="2065AFB4"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78123CF1"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6EB8DE5D"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587D527F"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7BCA92F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匈牙利</w:t>
            </w:r>
          </w:p>
        </w:tc>
        <w:tc>
          <w:tcPr>
            <w:tcW w:w="0" w:type="auto"/>
            <w:shd w:val="clear" w:color="auto" w:fill="B8CCE4"/>
            <w:noWrap/>
            <w:vAlign w:val="center"/>
          </w:tcPr>
          <w:p w14:paraId="25753F5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35.90 </w:t>
            </w:r>
          </w:p>
        </w:tc>
        <w:tc>
          <w:tcPr>
            <w:tcW w:w="0" w:type="auto"/>
            <w:shd w:val="clear" w:color="auto" w:fill="B8CCE4"/>
            <w:noWrap/>
            <w:vAlign w:val="center"/>
          </w:tcPr>
          <w:p w14:paraId="1E0AA66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35</w:t>
            </w:r>
          </w:p>
        </w:tc>
        <w:tc>
          <w:tcPr>
            <w:tcW w:w="0" w:type="auto"/>
            <w:shd w:val="clear" w:color="auto" w:fill="B8CCE4"/>
            <w:vAlign w:val="center"/>
          </w:tcPr>
          <w:p w14:paraId="199F463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哥斯达黎加</w:t>
            </w:r>
          </w:p>
        </w:tc>
        <w:tc>
          <w:tcPr>
            <w:tcW w:w="0" w:type="auto"/>
            <w:shd w:val="clear" w:color="auto" w:fill="B8CCE4"/>
            <w:noWrap/>
            <w:vAlign w:val="center"/>
          </w:tcPr>
          <w:p w14:paraId="0E5582A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26.45 </w:t>
            </w:r>
          </w:p>
        </w:tc>
        <w:tc>
          <w:tcPr>
            <w:tcW w:w="0" w:type="auto"/>
            <w:shd w:val="clear" w:color="auto" w:fill="B8CCE4"/>
            <w:noWrap/>
            <w:vAlign w:val="center"/>
          </w:tcPr>
          <w:p w14:paraId="0182E06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75</w:t>
            </w:r>
          </w:p>
        </w:tc>
        <w:tc>
          <w:tcPr>
            <w:tcW w:w="0" w:type="auto"/>
            <w:shd w:val="clear" w:color="auto" w:fill="B8CCE4"/>
            <w:noWrap/>
            <w:vAlign w:val="center"/>
          </w:tcPr>
          <w:p w14:paraId="14E7495A"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07F5C031"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79DAC325"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722642D0"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5AD2B18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阿曼</w:t>
            </w:r>
          </w:p>
        </w:tc>
        <w:tc>
          <w:tcPr>
            <w:tcW w:w="0" w:type="auto"/>
            <w:shd w:val="clear" w:color="auto" w:fill="FFFFFF"/>
            <w:noWrap/>
            <w:vAlign w:val="center"/>
          </w:tcPr>
          <w:p w14:paraId="5FF11DE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35.49 </w:t>
            </w:r>
          </w:p>
        </w:tc>
        <w:tc>
          <w:tcPr>
            <w:tcW w:w="0" w:type="auto"/>
            <w:shd w:val="clear" w:color="auto" w:fill="FFFFFF"/>
            <w:noWrap/>
            <w:vAlign w:val="center"/>
          </w:tcPr>
          <w:p w14:paraId="4015C21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36</w:t>
            </w:r>
          </w:p>
        </w:tc>
        <w:tc>
          <w:tcPr>
            <w:tcW w:w="0" w:type="auto"/>
            <w:shd w:val="clear" w:color="auto" w:fill="FFFFFF"/>
            <w:vAlign w:val="center"/>
          </w:tcPr>
          <w:p w14:paraId="1DC3167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塔吉克斯坦</w:t>
            </w:r>
          </w:p>
        </w:tc>
        <w:tc>
          <w:tcPr>
            <w:tcW w:w="0" w:type="auto"/>
            <w:shd w:val="clear" w:color="auto" w:fill="FFFFFF"/>
            <w:noWrap/>
            <w:vAlign w:val="center"/>
          </w:tcPr>
          <w:p w14:paraId="60428D1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26.05 </w:t>
            </w:r>
          </w:p>
        </w:tc>
        <w:tc>
          <w:tcPr>
            <w:tcW w:w="0" w:type="auto"/>
            <w:shd w:val="clear" w:color="auto" w:fill="FFFFFF"/>
            <w:noWrap/>
            <w:vAlign w:val="center"/>
          </w:tcPr>
          <w:p w14:paraId="742C1A8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76</w:t>
            </w:r>
          </w:p>
        </w:tc>
        <w:tc>
          <w:tcPr>
            <w:tcW w:w="0" w:type="auto"/>
            <w:shd w:val="clear" w:color="auto" w:fill="FFFFFF"/>
            <w:noWrap/>
            <w:vAlign w:val="center"/>
          </w:tcPr>
          <w:p w14:paraId="5B027F17"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09D26B4D"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686B298F"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5F4D3988"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40DE2D0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波兰</w:t>
            </w:r>
          </w:p>
        </w:tc>
        <w:tc>
          <w:tcPr>
            <w:tcW w:w="0" w:type="auto"/>
            <w:shd w:val="clear" w:color="auto" w:fill="B8CCE4"/>
            <w:noWrap/>
            <w:vAlign w:val="center"/>
          </w:tcPr>
          <w:p w14:paraId="2672755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35.42 </w:t>
            </w:r>
          </w:p>
        </w:tc>
        <w:tc>
          <w:tcPr>
            <w:tcW w:w="0" w:type="auto"/>
            <w:shd w:val="clear" w:color="auto" w:fill="B8CCE4"/>
            <w:noWrap/>
            <w:vAlign w:val="center"/>
          </w:tcPr>
          <w:p w14:paraId="100C072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37</w:t>
            </w:r>
          </w:p>
        </w:tc>
        <w:tc>
          <w:tcPr>
            <w:tcW w:w="0" w:type="auto"/>
            <w:shd w:val="clear" w:color="auto" w:fill="B8CCE4"/>
            <w:vAlign w:val="center"/>
          </w:tcPr>
          <w:p w14:paraId="387B7C1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巴基斯坦</w:t>
            </w:r>
          </w:p>
        </w:tc>
        <w:tc>
          <w:tcPr>
            <w:tcW w:w="0" w:type="auto"/>
            <w:shd w:val="clear" w:color="auto" w:fill="B8CCE4"/>
            <w:noWrap/>
            <w:vAlign w:val="center"/>
          </w:tcPr>
          <w:p w14:paraId="74549A8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25.91 </w:t>
            </w:r>
          </w:p>
        </w:tc>
        <w:tc>
          <w:tcPr>
            <w:tcW w:w="0" w:type="auto"/>
            <w:shd w:val="clear" w:color="auto" w:fill="B8CCE4"/>
            <w:noWrap/>
            <w:vAlign w:val="center"/>
          </w:tcPr>
          <w:p w14:paraId="6CB8356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77</w:t>
            </w:r>
          </w:p>
        </w:tc>
        <w:tc>
          <w:tcPr>
            <w:tcW w:w="0" w:type="auto"/>
            <w:shd w:val="clear" w:color="auto" w:fill="B8CCE4"/>
            <w:noWrap/>
            <w:vAlign w:val="center"/>
          </w:tcPr>
          <w:p w14:paraId="71E4C771"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70C427F8"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303E40EB"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0E8440F4"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30A4FF2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蒙古国</w:t>
            </w:r>
          </w:p>
        </w:tc>
        <w:tc>
          <w:tcPr>
            <w:tcW w:w="0" w:type="auto"/>
            <w:shd w:val="clear" w:color="auto" w:fill="FFFFFF"/>
            <w:noWrap/>
            <w:vAlign w:val="center"/>
          </w:tcPr>
          <w:p w14:paraId="44DD78D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35.37 </w:t>
            </w:r>
          </w:p>
        </w:tc>
        <w:tc>
          <w:tcPr>
            <w:tcW w:w="0" w:type="auto"/>
            <w:shd w:val="clear" w:color="auto" w:fill="FFFFFF"/>
            <w:noWrap/>
            <w:vAlign w:val="center"/>
          </w:tcPr>
          <w:p w14:paraId="7F71019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38</w:t>
            </w:r>
          </w:p>
        </w:tc>
        <w:tc>
          <w:tcPr>
            <w:tcW w:w="0" w:type="auto"/>
            <w:shd w:val="clear" w:color="auto" w:fill="FFFFFF"/>
            <w:vAlign w:val="center"/>
          </w:tcPr>
          <w:p w14:paraId="2D567D2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马达加斯加</w:t>
            </w:r>
          </w:p>
        </w:tc>
        <w:tc>
          <w:tcPr>
            <w:tcW w:w="0" w:type="auto"/>
            <w:shd w:val="clear" w:color="auto" w:fill="FFFFFF"/>
            <w:noWrap/>
            <w:vAlign w:val="center"/>
          </w:tcPr>
          <w:p w14:paraId="6A0D35A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25.91 </w:t>
            </w:r>
          </w:p>
        </w:tc>
        <w:tc>
          <w:tcPr>
            <w:tcW w:w="0" w:type="auto"/>
            <w:shd w:val="clear" w:color="auto" w:fill="FFFFFF"/>
            <w:noWrap/>
            <w:vAlign w:val="center"/>
          </w:tcPr>
          <w:p w14:paraId="17CF859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78</w:t>
            </w:r>
          </w:p>
        </w:tc>
        <w:tc>
          <w:tcPr>
            <w:tcW w:w="0" w:type="auto"/>
            <w:shd w:val="clear" w:color="auto" w:fill="FFFFFF"/>
            <w:noWrap/>
            <w:vAlign w:val="center"/>
          </w:tcPr>
          <w:p w14:paraId="0F447707"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50970F79"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4E397D2F"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5467A9D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vAlign w:val="center"/>
          </w:tcPr>
          <w:p w14:paraId="02BC920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越南</w:t>
            </w:r>
          </w:p>
        </w:tc>
        <w:tc>
          <w:tcPr>
            <w:tcW w:w="0" w:type="auto"/>
            <w:shd w:val="clear" w:color="auto" w:fill="B8CCE4"/>
            <w:noWrap/>
            <w:vAlign w:val="center"/>
          </w:tcPr>
          <w:p w14:paraId="173BEC8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34.76 </w:t>
            </w:r>
          </w:p>
        </w:tc>
        <w:tc>
          <w:tcPr>
            <w:tcW w:w="0" w:type="auto"/>
            <w:shd w:val="clear" w:color="auto" w:fill="B8CCE4"/>
            <w:noWrap/>
            <w:vAlign w:val="center"/>
          </w:tcPr>
          <w:p w14:paraId="70ED5E1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39</w:t>
            </w:r>
          </w:p>
        </w:tc>
        <w:tc>
          <w:tcPr>
            <w:tcW w:w="0" w:type="auto"/>
            <w:shd w:val="clear" w:color="auto" w:fill="B8CCE4"/>
            <w:vAlign w:val="center"/>
          </w:tcPr>
          <w:p w14:paraId="5D3F9CE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巴西</w:t>
            </w:r>
          </w:p>
        </w:tc>
        <w:tc>
          <w:tcPr>
            <w:tcW w:w="0" w:type="auto"/>
            <w:shd w:val="clear" w:color="auto" w:fill="B8CCE4"/>
            <w:noWrap/>
            <w:vAlign w:val="center"/>
          </w:tcPr>
          <w:p w14:paraId="6C73303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25.91 </w:t>
            </w:r>
          </w:p>
        </w:tc>
        <w:tc>
          <w:tcPr>
            <w:tcW w:w="0" w:type="auto"/>
            <w:shd w:val="clear" w:color="auto" w:fill="B8CCE4"/>
            <w:noWrap/>
            <w:vAlign w:val="center"/>
          </w:tcPr>
          <w:p w14:paraId="1A0CC5A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79</w:t>
            </w:r>
          </w:p>
        </w:tc>
        <w:tc>
          <w:tcPr>
            <w:tcW w:w="0" w:type="auto"/>
            <w:shd w:val="clear" w:color="auto" w:fill="B8CCE4"/>
            <w:noWrap/>
            <w:vAlign w:val="center"/>
          </w:tcPr>
          <w:p w14:paraId="7708840B"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1CBE800D"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B8CCE4"/>
            <w:noWrap/>
            <w:vAlign w:val="center"/>
          </w:tcPr>
          <w:p w14:paraId="5343357C"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r w:rsidR="006B10D9" w14:paraId="3208CEE1" w14:textId="77777777" w:rsidTr="006B10D9">
        <w:trPr>
          <w:trHeight w:val="38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vAlign w:val="center"/>
          </w:tcPr>
          <w:p w14:paraId="27EA939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kern w:val="0"/>
                <w:sz w:val="21"/>
                <w:szCs w:val="21"/>
                <w:lang w:bidi="ar"/>
              </w:rPr>
              <w:t>科威特</w:t>
            </w:r>
          </w:p>
        </w:tc>
        <w:tc>
          <w:tcPr>
            <w:tcW w:w="0" w:type="auto"/>
            <w:shd w:val="clear" w:color="auto" w:fill="FFFFFF"/>
            <w:noWrap/>
            <w:vAlign w:val="center"/>
          </w:tcPr>
          <w:p w14:paraId="6D2DBBF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33.82 </w:t>
            </w:r>
          </w:p>
        </w:tc>
        <w:tc>
          <w:tcPr>
            <w:tcW w:w="0" w:type="auto"/>
            <w:shd w:val="clear" w:color="auto" w:fill="FFFFFF"/>
            <w:noWrap/>
            <w:vAlign w:val="center"/>
          </w:tcPr>
          <w:p w14:paraId="0E90A29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40</w:t>
            </w:r>
          </w:p>
        </w:tc>
        <w:tc>
          <w:tcPr>
            <w:tcW w:w="0" w:type="auto"/>
            <w:shd w:val="clear" w:color="auto" w:fill="FFFFFF"/>
            <w:vAlign w:val="center"/>
          </w:tcPr>
          <w:p w14:paraId="5DBB173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sz w:val="21"/>
                <w:szCs w:val="21"/>
              </w:rPr>
            </w:pPr>
            <w:r>
              <w:rPr>
                <w:rFonts w:eastAsia="宋体" w:cs="微软雅黑" w:hint="eastAsia"/>
                <w:color w:val="000000"/>
                <w:kern w:val="0"/>
                <w:sz w:val="21"/>
                <w:szCs w:val="21"/>
                <w:lang w:bidi="ar"/>
              </w:rPr>
              <w:t>玻利维亚</w:t>
            </w:r>
          </w:p>
        </w:tc>
        <w:tc>
          <w:tcPr>
            <w:tcW w:w="0" w:type="auto"/>
            <w:shd w:val="clear" w:color="auto" w:fill="FFFFFF"/>
            <w:noWrap/>
            <w:vAlign w:val="center"/>
          </w:tcPr>
          <w:p w14:paraId="6D76329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 xml:space="preserve">25.53 </w:t>
            </w:r>
          </w:p>
        </w:tc>
        <w:tc>
          <w:tcPr>
            <w:tcW w:w="0" w:type="auto"/>
            <w:shd w:val="clear" w:color="auto" w:fill="FFFFFF"/>
            <w:noWrap/>
            <w:vAlign w:val="center"/>
          </w:tcPr>
          <w:p w14:paraId="6A8042C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righ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80</w:t>
            </w:r>
          </w:p>
        </w:tc>
        <w:tc>
          <w:tcPr>
            <w:tcW w:w="0" w:type="auto"/>
            <w:shd w:val="clear" w:color="auto" w:fill="FFFFFF"/>
            <w:noWrap/>
            <w:vAlign w:val="center"/>
          </w:tcPr>
          <w:p w14:paraId="558F4188"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73D1EBCC"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c>
          <w:tcPr>
            <w:tcW w:w="0" w:type="auto"/>
            <w:shd w:val="clear" w:color="auto" w:fill="FFFFFF"/>
            <w:noWrap/>
            <w:vAlign w:val="center"/>
          </w:tcPr>
          <w:p w14:paraId="574FF8CE" w14:textId="77777777" w:rsidR="006B10D9" w:rsidRDefault="006B10D9">
            <w:pPr>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p>
        </w:tc>
      </w:tr>
    </w:tbl>
    <w:p w14:paraId="16F551A0" w14:textId="77777777" w:rsidR="006B10D9" w:rsidRDefault="00BE6472">
      <w:pPr>
        <w:snapToGrid w:val="0"/>
        <w:spacing w:line="240" w:lineRule="auto"/>
        <w:ind w:firstLineChars="0" w:firstLine="0"/>
      </w:pPr>
      <w:bookmarkStart w:id="65" w:name="_Toc11749"/>
      <w:r>
        <w:br w:type="page"/>
      </w:r>
    </w:p>
    <w:p w14:paraId="5C493054" w14:textId="77777777" w:rsidR="006B10D9" w:rsidRDefault="00BE6472">
      <w:pPr>
        <w:pStyle w:val="4"/>
      </w:pPr>
      <w:r>
        <w:rPr>
          <w:rFonts w:hint="eastAsia"/>
        </w:rPr>
        <w:lastRenderedPageBreak/>
        <w:t>4</w:t>
      </w:r>
      <w:r>
        <w:rPr>
          <w:rFonts w:cs="华文楷体" w:hint="eastAsia"/>
        </w:rPr>
        <w:t>.</w:t>
      </w:r>
      <w:r>
        <w:rPr>
          <w:rFonts w:hint="eastAsia"/>
        </w:rPr>
        <w:t>国别风险分析</w:t>
      </w:r>
      <w:bookmarkEnd w:id="65"/>
    </w:p>
    <w:p w14:paraId="7ECFF21C"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）综合风险排名分析</w:t>
      </w:r>
    </w:p>
    <w:p w14:paraId="0A881615"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发达经济体整体风险排名较低</w:t>
      </w:r>
      <w:r>
        <w:rPr>
          <w:rFonts w:eastAsia="宋体" w:cs="Times New Roman" w:hint="eastAsia"/>
          <w:sz w:val="24"/>
          <w:szCs w:val="24"/>
        </w:rPr>
        <w:t>。</w:t>
      </w:r>
      <w:r>
        <w:rPr>
          <w:rFonts w:eastAsia="宋体" w:cs="Times New Roman"/>
          <w:sz w:val="24"/>
          <w:szCs w:val="24"/>
        </w:rPr>
        <w:t>中国海外投资存量前</w:t>
      </w:r>
      <w:r>
        <w:rPr>
          <w:rFonts w:eastAsia="宋体" w:cs="Times New Roman"/>
          <w:sz w:val="24"/>
          <w:szCs w:val="24"/>
        </w:rPr>
        <w:t>20</w:t>
      </w:r>
      <w:r>
        <w:rPr>
          <w:rFonts w:eastAsia="宋体" w:cs="Times New Roman" w:hint="eastAsia"/>
          <w:sz w:val="24"/>
          <w:szCs w:val="24"/>
        </w:rPr>
        <w:t>位</w:t>
      </w:r>
      <w:r>
        <w:rPr>
          <w:rFonts w:eastAsia="宋体" w:cs="Times New Roman"/>
          <w:sz w:val="24"/>
          <w:szCs w:val="24"/>
        </w:rPr>
        <w:t>的发达</w:t>
      </w:r>
      <w:r>
        <w:rPr>
          <w:rFonts w:eastAsia="宋体" w:cs="Times New Roman" w:hint="eastAsia"/>
          <w:sz w:val="24"/>
          <w:szCs w:val="24"/>
        </w:rPr>
        <w:t>经济体，如</w:t>
      </w:r>
      <w:r>
        <w:rPr>
          <w:rFonts w:eastAsia="宋体" w:cs="Times New Roman"/>
          <w:sz w:val="24"/>
          <w:szCs w:val="24"/>
        </w:rPr>
        <w:t>美国、澳大利亚、欧盟</w:t>
      </w:r>
      <w:r>
        <w:rPr>
          <w:rFonts w:eastAsia="宋体" w:cs="Times New Roman" w:hint="eastAsia"/>
          <w:sz w:val="24"/>
          <w:szCs w:val="24"/>
        </w:rPr>
        <w:t>（部分国家）</w:t>
      </w:r>
      <w:r>
        <w:rPr>
          <w:rFonts w:eastAsia="宋体" w:cs="Times New Roman"/>
          <w:sz w:val="24"/>
          <w:szCs w:val="24"/>
        </w:rPr>
        <w:t>等，其</w:t>
      </w:r>
      <w:r>
        <w:rPr>
          <w:rFonts w:eastAsia="宋体" w:cs="Times New Roman" w:hint="eastAsia"/>
          <w:sz w:val="24"/>
          <w:szCs w:val="24"/>
        </w:rPr>
        <w:t>综合</w:t>
      </w:r>
      <w:r>
        <w:rPr>
          <w:rFonts w:eastAsia="宋体" w:cs="Times New Roman"/>
          <w:sz w:val="24"/>
          <w:szCs w:val="24"/>
        </w:rPr>
        <w:t>得分排名</w:t>
      </w:r>
      <w:r>
        <w:rPr>
          <w:rFonts w:eastAsia="宋体" w:cs="Times New Roman" w:hint="eastAsia"/>
          <w:sz w:val="24"/>
          <w:szCs w:val="24"/>
        </w:rPr>
        <w:t>大部分</w:t>
      </w:r>
      <w:r>
        <w:rPr>
          <w:rFonts w:eastAsia="宋体" w:cs="Times New Roman"/>
          <w:sz w:val="24"/>
          <w:szCs w:val="24"/>
        </w:rPr>
        <w:t>在前</w:t>
      </w:r>
      <w:r>
        <w:rPr>
          <w:rFonts w:eastAsia="宋体" w:cs="Times New Roman" w:hint="eastAsia"/>
          <w:sz w:val="24"/>
          <w:szCs w:val="24"/>
        </w:rPr>
        <w:t>10</w:t>
      </w:r>
      <w:r>
        <w:rPr>
          <w:rFonts w:eastAsia="宋体" w:cs="Times New Roman"/>
          <w:sz w:val="24"/>
          <w:szCs w:val="24"/>
        </w:rPr>
        <w:t>位之内。</w:t>
      </w:r>
      <w:r>
        <w:rPr>
          <w:rFonts w:eastAsia="宋体" w:cs="Times New Roman" w:hint="eastAsia"/>
          <w:sz w:val="24"/>
          <w:szCs w:val="24"/>
        </w:rPr>
        <w:t>这说明疫情暴发前，</w:t>
      </w:r>
      <w:r>
        <w:rPr>
          <w:rFonts w:eastAsia="宋体" w:cs="Times New Roman"/>
          <w:sz w:val="24"/>
          <w:szCs w:val="24"/>
        </w:rPr>
        <w:t>发达</w:t>
      </w:r>
      <w:r>
        <w:rPr>
          <w:rFonts w:eastAsia="宋体" w:cs="Times New Roman" w:hint="eastAsia"/>
          <w:sz w:val="24"/>
          <w:szCs w:val="24"/>
        </w:rPr>
        <w:t>经济体</w:t>
      </w:r>
      <w:r>
        <w:rPr>
          <w:rFonts w:eastAsia="宋体" w:cs="Times New Roman"/>
          <w:sz w:val="24"/>
          <w:szCs w:val="24"/>
        </w:rPr>
        <w:t>是中国海外投资较为</w:t>
      </w:r>
      <w:r>
        <w:rPr>
          <w:rFonts w:eastAsia="宋体" w:cs="Times New Roman" w:hint="eastAsia"/>
          <w:sz w:val="24"/>
          <w:szCs w:val="24"/>
        </w:rPr>
        <w:t>集中也是风险较低的区域</w:t>
      </w:r>
      <w:r>
        <w:rPr>
          <w:rFonts w:eastAsia="宋体" w:cs="Times New Roman"/>
          <w:sz w:val="24"/>
          <w:szCs w:val="24"/>
        </w:rPr>
        <w:t>。</w:t>
      </w:r>
      <w:r>
        <w:rPr>
          <w:rFonts w:eastAsia="宋体" w:cs="Times New Roman" w:hint="eastAsia"/>
          <w:sz w:val="24"/>
          <w:szCs w:val="24"/>
        </w:rPr>
        <w:t>但</w:t>
      </w:r>
      <w:r>
        <w:rPr>
          <w:rFonts w:eastAsia="宋体" w:cs="Times New Roman" w:hint="eastAsia"/>
          <w:sz w:val="24"/>
          <w:szCs w:val="24"/>
        </w:rPr>
        <w:t>2018</w:t>
      </w:r>
      <w:r>
        <w:rPr>
          <w:rFonts w:eastAsia="宋体" w:cs="Times New Roman" w:hint="eastAsia"/>
          <w:sz w:val="24"/>
          <w:szCs w:val="24"/>
        </w:rPr>
        <w:t>年</w:t>
      </w:r>
      <w:r>
        <w:rPr>
          <w:rFonts w:eastAsia="宋体" w:cs="Times New Roman"/>
          <w:sz w:val="24"/>
          <w:szCs w:val="24"/>
        </w:rPr>
        <w:t>中美经贸摩擦</w:t>
      </w:r>
      <w:r>
        <w:rPr>
          <w:rFonts w:eastAsia="宋体" w:cs="Times New Roman" w:hint="eastAsia"/>
          <w:sz w:val="24"/>
          <w:szCs w:val="24"/>
        </w:rPr>
        <w:t>升级</w:t>
      </w:r>
      <w:r>
        <w:rPr>
          <w:rFonts w:eastAsia="宋体" w:cs="Times New Roman"/>
          <w:sz w:val="24"/>
          <w:szCs w:val="24"/>
        </w:rPr>
        <w:t>所带来的不确定性</w:t>
      </w:r>
      <w:r>
        <w:rPr>
          <w:rFonts w:eastAsia="宋体" w:cs="Times New Roman" w:hint="eastAsia"/>
          <w:sz w:val="24"/>
          <w:szCs w:val="24"/>
        </w:rPr>
        <w:t>，</w:t>
      </w:r>
      <w:r>
        <w:rPr>
          <w:rFonts w:eastAsia="宋体" w:cs="Times New Roman"/>
          <w:sz w:val="24"/>
          <w:szCs w:val="24"/>
        </w:rPr>
        <w:t>使中国对北美地区投资受阻</w:t>
      </w:r>
      <w:r>
        <w:rPr>
          <w:rFonts w:eastAsia="宋体" w:cs="Times New Roman" w:hint="eastAsia"/>
          <w:sz w:val="24"/>
          <w:szCs w:val="24"/>
        </w:rPr>
        <w:t>，</w:t>
      </w:r>
      <w:r>
        <w:rPr>
          <w:rFonts w:eastAsia="宋体" w:cs="Times New Roman"/>
          <w:sz w:val="24"/>
          <w:szCs w:val="24"/>
        </w:rPr>
        <w:t>双边政治关系</w:t>
      </w:r>
      <w:r>
        <w:rPr>
          <w:rFonts w:eastAsia="宋体" w:cs="Times New Roman" w:hint="eastAsia"/>
          <w:sz w:val="24"/>
          <w:szCs w:val="24"/>
        </w:rPr>
        <w:t>分值走低。</w:t>
      </w:r>
      <w:r>
        <w:rPr>
          <w:rFonts w:eastAsia="宋体" w:cs="Times New Roman"/>
          <w:sz w:val="24"/>
          <w:szCs w:val="24"/>
        </w:rPr>
        <w:t>2019</w:t>
      </w:r>
      <w:r>
        <w:rPr>
          <w:rFonts w:eastAsia="宋体" w:cs="Times New Roman"/>
          <w:sz w:val="24"/>
          <w:szCs w:val="24"/>
        </w:rPr>
        <w:t>年</w:t>
      </w:r>
      <w:r>
        <w:rPr>
          <w:rFonts w:eastAsia="宋体" w:cs="Times New Roman" w:hint="eastAsia"/>
          <w:sz w:val="24"/>
          <w:szCs w:val="24"/>
        </w:rPr>
        <w:t>，</w:t>
      </w:r>
      <w:r>
        <w:rPr>
          <w:rFonts w:eastAsia="宋体" w:cs="Times New Roman"/>
          <w:sz w:val="24"/>
          <w:szCs w:val="24"/>
        </w:rPr>
        <w:t>中国对美国和加拿大的直接投资流量分别为</w:t>
      </w:r>
      <w:r>
        <w:rPr>
          <w:rFonts w:eastAsia="宋体" w:cs="Times New Roman"/>
          <w:sz w:val="24"/>
          <w:szCs w:val="24"/>
        </w:rPr>
        <w:t>38.1</w:t>
      </w:r>
      <w:r>
        <w:rPr>
          <w:rFonts w:eastAsia="宋体" w:cs="Times New Roman"/>
          <w:sz w:val="24"/>
          <w:szCs w:val="24"/>
        </w:rPr>
        <w:t>亿美元和</w:t>
      </w:r>
      <w:r>
        <w:rPr>
          <w:rFonts w:eastAsia="宋体" w:cs="Times New Roman"/>
          <w:sz w:val="24"/>
          <w:szCs w:val="24"/>
        </w:rPr>
        <w:t>4.7</w:t>
      </w:r>
      <w:r>
        <w:rPr>
          <w:rFonts w:eastAsia="宋体" w:cs="Times New Roman"/>
          <w:sz w:val="24"/>
          <w:szCs w:val="24"/>
        </w:rPr>
        <w:t>亿美元，相比</w:t>
      </w:r>
      <w:r>
        <w:rPr>
          <w:rFonts w:eastAsia="宋体" w:cs="Times New Roman"/>
          <w:sz w:val="24"/>
          <w:szCs w:val="24"/>
        </w:rPr>
        <w:t>2018</w:t>
      </w:r>
      <w:r>
        <w:rPr>
          <w:rFonts w:eastAsia="宋体" w:cs="Times New Roman"/>
          <w:sz w:val="24"/>
          <w:szCs w:val="24"/>
        </w:rPr>
        <w:t>年的</w:t>
      </w:r>
      <w:r>
        <w:rPr>
          <w:rFonts w:eastAsia="宋体" w:cs="Times New Roman"/>
          <w:sz w:val="24"/>
          <w:szCs w:val="24"/>
        </w:rPr>
        <w:t>74.8</w:t>
      </w:r>
      <w:r>
        <w:rPr>
          <w:rFonts w:eastAsia="宋体" w:cs="Times New Roman"/>
          <w:sz w:val="24"/>
          <w:szCs w:val="24"/>
        </w:rPr>
        <w:t>亿美元和</w:t>
      </w:r>
      <w:r>
        <w:rPr>
          <w:rFonts w:eastAsia="宋体" w:cs="Times New Roman"/>
          <w:sz w:val="24"/>
          <w:szCs w:val="24"/>
        </w:rPr>
        <w:t>15.6</w:t>
      </w:r>
      <w:r>
        <w:rPr>
          <w:rFonts w:eastAsia="宋体" w:cs="Times New Roman"/>
          <w:sz w:val="24"/>
          <w:szCs w:val="24"/>
        </w:rPr>
        <w:t>亿美元显著减少，更是远低于</w:t>
      </w:r>
      <w:r>
        <w:rPr>
          <w:rFonts w:eastAsia="宋体" w:cs="Times New Roman"/>
          <w:sz w:val="24"/>
          <w:szCs w:val="24"/>
        </w:rPr>
        <w:t>2016</w:t>
      </w:r>
      <w:r>
        <w:rPr>
          <w:rFonts w:eastAsia="宋体" w:cs="Times New Roman"/>
          <w:sz w:val="24"/>
          <w:szCs w:val="24"/>
        </w:rPr>
        <w:t>年的</w:t>
      </w:r>
      <w:r>
        <w:rPr>
          <w:rFonts w:eastAsia="宋体" w:cs="Times New Roman"/>
          <w:sz w:val="24"/>
          <w:szCs w:val="24"/>
        </w:rPr>
        <w:t>169.8</w:t>
      </w:r>
      <w:r>
        <w:rPr>
          <w:rFonts w:eastAsia="宋体" w:cs="Times New Roman"/>
          <w:sz w:val="24"/>
          <w:szCs w:val="24"/>
        </w:rPr>
        <w:t>亿美元和</w:t>
      </w:r>
      <w:r>
        <w:rPr>
          <w:rFonts w:eastAsia="宋体" w:cs="Times New Roman"/>
          <w:sz w:val="24"/>
          <w:szCs w:val="24"/>
        </w:rPr>
        <w:t>28.7</w:t>
      </w:r>
      <w:r>
        <w:rPr>
          <w:rFonts w:eastAsia="宋体" w:cs="Times New Roman"/>
          <w:sz w:val="24"/>
          <w:szCs w:val="24"/>
        </w:rPr>
        <w:t>亿美元。</w:t>
      </w:r>
    </w:p>
    <w:p w14:paraId="21C3EB7D" w14:textId="77777777" w:rsidR="006B10D9" w:rsidRDefault="00BE6472">
      <w:pPr>
        <w:spacing w:line="360" w:lineRule="auto"/>
        <w:ind w:firstLine="482"/>
        <w:rPr>
          <w:rFonts w:eastAsia="宋体" w:cs="Times New Roman"/>
          <w:sz w:val="24"/>
          <w:szCs w:val="24"/>
        </w:rPr>
      </w:pPr>
      <w:r>
        <w:rPr>
          <w:rFonts w:eastAsia="宋体" w:cs="Times New Roman"/>
          <w:b/>
          <w:bCs/>
          <w:sz w:val="24"/>
          <w:szCs w:val="24"/>
        </w:rPr>
        <w:t>亚洲</w:t>
      </w:r>
      <w:r>
        <w:rPr>
          <w:rFonts w:eastAsia="宋体" w:cs="Times New Roman" w:hint="eastAsia"/>
          <w:b/>
          <w:bCs/>
          <w:sz w:val="24"/>
          <w:szCs w:val="24"/>
        </w:rPr>
        <w:t>国家国别风险分化严重。</w:t>
      </w:r>
      <w:r>
        <w:rPr>
          <w:rFonts w:eastAsia="宋体" w:cs="Times New Roman" w:hint="eastAsia"/>
          <w:sz w:val="24"/>
          <w:szCs w:val="24"/>
        </w:rPr>
        <w:t>亚洲是</w:t>
      </w:r>
      <w:r>
        <w:rPr>
          <w:rFonts w:eastAsia="宋体" w:cs="Times New Roman"/>
          <w:sz w:val="24"/>
          <w:szCs w:val="24"/>
        </w:rPr>
        <w:t>中国海外投资最主要的地区</w:t>
      </w:r>
      <w:r>
        <w:rPr>
          <w:rFonts w:eastAsia="宋体" w:cs="Times New Roman" w:hint="eastAsia"/>
          <w:sz w:val="24"/>
          <w:szCs w:val="24"/>
        </w:rPr>
        <w:t>之一，在国别</w:t>
      </w:r>
      <w:r>
        <w:rPr>
          <w:rFonts w:eastAsia="宋体" w:cs="Times New Roman"/>
          <w:sz w:val="24"/>
          <w:szCs w:val="24"/>
        </w:rPr>
        <w:t>风险</w:t>
      </w:r>
      <w:r>
        <w:rPr>
          <w:rFonts w:eastAsia="宋体" w:cs="Times New Roman" w:hint="eastAsia"/>
          <w:sz w:val="24"/>
          <w:szCs w:val="24"/>
        </w:rPr>
        <w:t>综合</w:t>
      </w:r>
      <w:r>
        <w:rPr>
          <w:rFonts w:eastAsia="宋体" w:cs="Times New Roman"/>
          <w:sz w:val="24"/>
          <w:szCs w:val="24"/>
        </w:rPr>
        <w:t>得分中，新加坡</w:t>
      </w:r>
      <w:r>
        <w:rPr>
          <w:rFonts w:eastAsia="宋体" w:cs="Times New Roman" w:hint="eastAsia"/>
          <w:sz w:val="24"/>
          <w:szCs w:val="24"/>
        </w:rPr>
        <w:t>、日本</w:t>
      </w:r>
      <w:r>
        <w:rPr>
          <w:rFonts w:eastAsia="宋体" w:cs="Times New Roman"/>
          <w:sz w:val="24"/>
          <w:szCs w:val="24"/>
        </w:rPr>
        <w:t>都处在国家风险最低的前</w:t>
      </w:r>
      <w:r>
        <w:rPr>
          <w:rFonts w:eastAsia="宋体" w:cs="Times New Roman"/>
          <w:sz w:val="24"/>
          <w:szCs w:val="24"/>
        </w:rPr>
        <w:t>10</w:t>
      </w:r>
      <w:r>
        <w:rPr>
          <w:rFonts w:eastAsia="宋体" w:cs="Times New Roman"/>
          <w:sz w:val="24"/>
          <w:szCs w:val="24"/>
        </w:rPr>
        <w:t>位国家和地区</w:t>
      </w:r>
      <w:r>
        <w:rPr>
          <w:rFonts w:eastAsia="宋体" w:cs="Times New Roman" w:hint="eastAsia"/>
          <w:sz w:val="24"/>
          <w:szCs w:val="24"/>
        </w:rPr>
        <w:t>之列。相比之下，</w:t>
      </w:r>
      <w:r>
        <w:rPr>
          <w:rFonts w:eastAsia="宋体" w:cs="Times New Roman"/>
          <w:sz w:val="24"/>
          <w:szCs w:val="24"/>
        </w:rPr>
        <w:t>中国投资</w:t>
      </w:r>
      <w:r>
        <w:rPr>
          <w:rFonts w:eastAsia="宋体" w:cs="Times New Roman" w:hint="eastAsia"/>
          <w:sz w:val="24"/>
          <w:szCs w:val="24"/>
        </w:rPr>
        <w:t>额度较高</w:t>
      </w:r>
      <w:r>
        <w:rPr>
          <w:rFonts w:eastAsia="宋体" w:cs="Times New Roman"/>
          <w:sz w:val="24"/>
          <w:szCs w:val="24"/>
        </w:rPr>
        <w:t>的巴基斯坦得分</w:t>
      </w:r>
      <w:r>
        <w:rPr>
          <w:rFonts w:eastAsia="宋体" w:cs="Times New Roman" w:hint="eastAsia"/>
          <w:sz w:val="24"/>
          <w:szCs w:val="24"/>
        </w:rPr>
        <w:t>仅为</w:t>
      </w:r>
      <w:r>
        <w:rPr>
          <w:rFonts w:eastAsia="宋体" w:cs="Times New Roman" w:hint="eastAsia"/>
          <w:sz w:val="24"/>
          <w:szCs w:val="24"/>
        </w:rPr>
        <w:t>25.91</w:t>
      </w:r>
      <w:r>
        <w:rPr>
          <w:rFonts w:eastAsia="宋体" w:cs="Times New Roman"/>
          <w:sz w:val="24"/>
          <w:szCs w:val="24"/>
        </w:rPr>
        <w:t>，</w:t>
      </w:r>
      <w:r>
        <w:rPr>
          <w:rFonts w:eastAsia="宋体" w:cs="Times New Roman" w:hint="eastAsia"/>
          <w:sz w:val="24"/>
          <w:szCs w:val="24"/>
        </w:rPr>
        <w:t>存在</w:t>
      </w:r>
      <w:r>
        <w:rPr>
          <w:rFonts w:eastAsia="宋体" w:cs="Times New Roman"/>
          <w:sz w:val="24"/>
          <w:szCs w:val="24"/>
        </w:rPr>
        <w:t>较大</w:t>
      </w:r>
      <w:r>
        <w:rPr>
          <w:rFonts w:eastAsia="宋体" w:cs="Times New Roman" w:hint="eastAsia"/>
          <w:sz w:val="24"/>
          <w:szCs w:val="24"/>
        </w:rPr>
        <w:t>投资</w:t>
      </w:r>
      <w:r>
        <w:rPr>
          <w:rFonts w:eastAsia="宋体" w:cs="Times New Roman"/>
          <w:sz w:val="24"/>
          <w:szCs w:val="24"/>
        </w:rPr>
        <w:t>风险。因此，</w:t>
      </w:r>
      <w:r>
        <w:rPr>
          <w:rFonts w:eastAsia="宋体" w:cs="Times New Roman" w:hint="eastAsia"/>
          <w:sz w:val="24"/>
          <w:szCs w:val="24"/>
        </w:rPr>
        <w:t>对于</w:t>
      </w:r>
      <w:r>
        <w:rPr>
          <w:rFonts w:eastAsia="宋体" w:cs="Times New Roman"/>
          <w:sz w:val="24"/>
          <w:szCs w:val="24"/>
        </w:rPr>
        <w:t>亚洲</w:t>
      </w:r>
      <w:r>
        <w:rPr>
          <w:rFonts w:eastAsia="宋体" w:cs="Times New Roman" w:hint="eastAsia"/>
          <w:sz w:val="24"/>
          <w:szCs w:val="24"/>
        </w:rPr>
        <w:t>主要经济体的投资，</w:t>
      </w:r>
      <w:r>
        <w:rPr>
          <w:rFonts w:eastAsia="宋体" w:cs="Times New Roman"/>
          <w:sz w:val="24"/>
          <w:szCs w:val="24"/>
        </w:rPr>
        <w:t>需</w:t>
      </w:r>
      <w:r>
        <w:rPr>
          <w:rFonts w:eastAsia="宋体" w:cs="Times New Roman" w:hint="eastAsia"/>
          <w:sz w:val="24"/>
          <w:szCs w:val="24"/>
        </w:rPr>
        <w:t>按区域区分</w:t>
      </w:r>
      <w:r>
        <w:rPr>
          <w:rFonts w:eastAsia="宋体" w:cs="Times New Roman"/>
          <w:sz w:val="24"/>
          <w:szCs w:val="24"/>
        </w:rPr>
        <w:t>不同情况，尤其需要根据</w:t>
      </w:r>
      <w:r>
        <w:rPr>
          <w:rFonts w:eastAsia="宋体" w:cs="Times New Roman" w:hint="eastAsia"/>
          <w:sz w:val="24"/>
          <w:szCs w:val="24"/>
        </w:rPr>
        <w:t>东道国及周边</w:t>
      </w:r>
      <w:r>
        <w:rPr>
          <w:rFonts w:eastAsia="宋体" w:cs="Times New Roman"/>
          <w:sz w:val="24"/>
          <w:szCs w:val="24"/>
        </w:rPr>
        <w:t>局势的实时变化及时衡量风险。</w:t>
      </w:r>
    </w:p>
    <w:p w14:paraId="742DD54D"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部分欠发达国家国别</w:t>
      </w:r>
      <w:r>
        <w:rPr>
          <w:rFonts w:eastAsia="宋体" w:cs="Times New Roman"/>
          <w:b/>
          <w:bCs/>
          <w:sz w:val="24"/>
          <w:szCs w:val="24"/>
        </w:rPr>
        <w:t>风险</w:t>
      </w:r>
      <w:r>
        <w:rPr>
          <w:rFonts w:eastAsia="宋体" w:cs="Times New Roman" w:hint="eastAsia"/>
          <w:b/>
          <w:bCs/>
          <w:sz w:val="24"/>
          <w:szCs w:val="24"/>
        </w:rPr>
        <w:t>较高</w:t>
      </w:r>
      <w:r>
        <w:rPr>
          <w:rFonts w:eastAsia="宋体" w:cs="Times New Roman" w:hint="eastAsia"/>
          <w:sz w:val="24"/>
          <w:szCs w:val="24"/>
        </w:rPr>
        <w:t>。从排名中可以看出，综合得分最低</w:t>
      </w:r>
      <w:r>
        <w:rPr>
          <w:rFonts w:eastAsia="宋体" w:cs="Times New Roman"/>
          <w:sz w:val="24"/>
          <w:szCs w:val="24"/>
        </w:rPr>
        <w:t>的前</w:t>
      </w:r>
      <w:r>
        <w:rPr>
          <w:rFonts w:eastAsia="宋体" w:cs="Times New Roman"/>
          <w:sz w:val="24"/>
          <w:szCs w:val="24"/>
        </w:rPr>
        <w:t>1</w:t>
      </w:r>
      <w:r>
        <w:rPr>
          <w:rFonts w:eastAsia="宋体" w:cs="Times New Roman" w:hint="eastAsia"/>
          <w:sz w:val="24"/>
          <w:szCs w:val="24"/>
        </w:rPr>
        <w:t>0</w:t>
      </w:r>
      <w:r>
        <w:rPr>
          <w:rFonts w:eastAsia="宋体" w:cs="Times New Roman"/>
          <w:sz w:val="24"/>
          <w:szCs w:val="24"/>
        </w:rPr>
        <w:t>个国家</w:t>
      </w:r>
      <w:r>
        <w:rPr>
          <w:rFonts w:eastAsia="宋体" w:cs="Times New Roman" w:hint="eastAsia"/>
          <w:sz w:val="24"/>
          <w:szCs w:val="24"/>
        </w:rPr>
        <w:t>包括博茨瓦纳、乌干达、墨西哥、纳米比亚、莫桑比克、洪都拉斯、苏丹、伊拉克、喀麦隆和尼日尔。</w:t>
      </w:r>
      <w:r>
        <w:rPr>
          <w:rFonts w:eastAsia="宋体" w:cs="Times New Roman"/>
          <w:sz w:val="24"/>
          <w:szCs w:val="24"/>
        </w:rPr>
        <w:t>这些国家政治局势不稳定，经济发展缓慢</w:t>
      </w:r>
      <w:r>
        <w:rPr>
          <w:rFonts w:eastAsia="宋体" w:cs="Times New Roman" w:hint="eastAsia"/>
          <w:sz w:val="24"/>
          <w:szCs w:val="24"/>
        </w:rPr>
        <w:t>且水平较低</w:t>
      </w:r>
      <w:r>
        <w:rPr>
          <w:rFonts w:eastAsia="宋体" w:cs="Times New Roman"/>
          <w:sz w:val="24"/>
          <w:szCs w:val="24"/>
        </w:rPr>
        <w:t>，</w:t>
      </w:r>
      <w:r>
        <w:rPr>
          <w:rFonts w:eastAsia="宋体" w:cs="Times New Roman" w:hint="eastAsia"/>
          <w:sz w:val="24"/>
          <w:szCs w:val="24"/>
        </w:rPr>
        <w:t>存在较大</w:t>
      </w:r>
      <w:r>
        <w:rPr>
          <w:rFonts w:eastAsia="宋体" w:cs="Times New Roman"/>
          <w:sz w:val="24"/>
          <w:szCs w:val="24"/>
        </w:rPr>
        <w:t>投资风险</w:t>
      </w:r>
      <w:r>
        <w:rPr>
          <w:rFonts w:eastAsia="宋体" w:cs="Times New Roman" w:hint="eastAsia"/>
          <w:sz w:val="24"/>
          <w:szCs w:val="24"/>
        </w:rPr>
        <w:t>。例如，</w:t>
      </w:r>
      <w:r>
        <w:rPr>
          <w:rFonts w:eastAsia="宋体" w:cs="Times New Roman" w:hint="eastAsia"/>
          <w:sz w:val="24"/>
          <w:szCs w:val="24"/>
        </w:rPr>
        <w:t>2019</w:t>
      </w:r>
      <w:r>
        <w:rPr>
          <w:rFonts w:eastAsia="宋体" w:cs="Times New Roman" w:hint="eastAsia"/>
          <w:sz w:val="24"/>
          <w:szCs w:val="24"/>
        </w:rPr>
        <w:t>年，伊拉克多地爆发的示威抗议活动及其引发的暴力冲突导致大约</w:t>
      </w:r>
      <w:r>
        <w:rPr>
          <w:rFonts w:eastAsia="宋体" w:cs="Times New Roman" w:hint="eastAsia"/>
          <w:sz w:val="24"/>
          <w:szCs w:val="24"/>
        </w:rPr>
        <w:t>110</w:t>
      </w:r>
      <w:r>
        <w:rPr>
          <w:rFonts w:eastAsia="宋体" w:cs="Times New Roman" w:hint="eastAsia"/>
          <w:sz w:val="24"/>
          <w:szCs w:val="24"/>
        </w:rPr>
        <w:t>人死亡、</w:t>
      </w:r>
      <w:r>
        <w:rPr>
          <w:rFonts w:eastAsia="宋体" w:cs="Times New Roman" w:hint="eastAsia"/>
          <w:sz w:val="24"/>
          <w:szCs w:val="24"/>
        </w:rPr>
        <w:t>6000</w:t>
      </w:r>
      <w:r>
        <w:rPr>
          <w:rFonts w:eastAsia="宋体" w:cs="Times New Roman" w:hint="eastAsia"/>
          <w:sz w:val="24"/>
          <w:szCs w:val="24"/>
        </w:rPr>
        <w:t>多人受伤；</w:t>
      </w:r>
      <w:r>
        <w:rPr>
          <w:rFonts w:eastAsia="宋体" w:cs="Times New Roman" w:hint="eastAsia"/>
          <w:sz w:val="24"/>
          <w:szCs w:val="24"/>
        </w:rPr>
        <w:t>2019</w:t>
      </w:r>
      <w:r>
        <w:rPr>
          <w:rFonts w:eastAsia="宋体" w:cs="Times New Roman" w:hint="eastAsia"/>
          <w:sz w:val="24"/>
          <w:szCs w:val="24"/>
        </w:rPr>
        <w:t>年底，中国大使馆发布“墨西哥部分州市安全形势严峻</w:t>
      </w:r>
      <w:r>
        <w:rPr>
          <w:rFonts w:eastAsia="宋体" w:cs="Times New Roman" w:hint="eastAsia"/>
          <w:sz w:val="24"/>
          <w:szCs w:val="24"/>
        </w:rPr>
        <w:t xml:space="preserve"> </w:t>
      </w:r>
      <w:r>
        <w:rPr>
          <w:rFonts w:eastAsia="宋体" w:cs="Times New Roman" w:hint="eastAsia"/>
          <w:sz w:val="24"/>
          <w:szCs w:val="24"/>
        </w:rPr>
        <w:t>中使馆提醒谨慎前往”的新闻等</w:t>
      </w:r>
      <w:r>
        <w:rPr>
          <w:rFonts w:eastAsia="宋体" w:cs="Times New Roman"/>
          <w:sz w:val="24"/>
          <w:szCs w:val="24"/>
        </w:rPr>
        <w:t>。</w:t>
      </w:r>
      <w:r>
        <w:rPr>
          <w:rFonts w:eastAsia="宋体" w:cs="Times New Roman" w:hint="eastAsia"/>
          <w:sz w:val="24"/>
          <w:szCs w:val="24"/>
        </w:rPr>
        <w:t>这说明</w:t>
      </w:r>
      <w:r>
        <w:rPr>
          <w:rFonts w:eastAsia="宋体" w:cs="Times New Roman"/>
          <w:sz w:val="24"/>
          <w:szCs w:val="24"/>
        </w:rPr>
        <w:t>在这些</w:t>
      </w:r>
      <w:r>
        <w:rPr>
          <w:rFonts w:eastAsia="宋体" w:cs="Times New Roman" w:hint="eastAsia"/>
          <w:sz w:val="24"/>
          <w:szCs w:val="24"/>
        </w:rPr>
        <w:t>高风险国家</w:t>
      </w:r>
      <w:r>
        <w:rPr>
          <w:rFonts w:eastAsia="宋体" w:cs="Times New Roman"/>
          <w:sz w:val="24"/>
          <w:szCs w:val="24"/>
        </w:rPr>
        <w:t>投资的企业应及时采取风险规避</w:t>
      </w:r>
      <w:r>
        <w:rPr>
          <w:rFonts w:eastAsia="宋体" w:cs="Times New Roman" w:hint="eastAsia"/>
          <w:sz w:val="24"/>
          <w:szCs w:val="24"/>
        </w:rPr>
        <w:t>和风险转移</w:t>
      </w:r>
      <w:r>
        <w:rPr>
          <w:rFonts w:eastAsia="宋体" w:cs="Times New Roman"/>
          <w:sz w:val="24"/>
          <w:szCs w:val="24"/>
        </w:rPr>
        <w:t>措施，尽量</w:t>
      </w:r>
      <w:r>
        <w:rPr>
          <w:rFonts w:eastAsia="宋体" w:cs="Times New Roman" w:hint="eastAsia"/>
          <w:sz w:val="24"/>
          <w:szCs w:val="24"/>
        </w:rPr>
        <w:t>减少收益损失</w:t>
      </w:r>
      <w:r>
        <w:rPr>
          <w:rFonts w:eastAsia="宋体" w:cs="Times New Roman"/>
          <w:sz w:val="24"/>
          <w:szCs w:val="24"/>
        </w:rPr>
        <w:t>。</w:t>
      </w:r>
    </w:p>
    <w:p w14:paraId="1D5CE256"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）政治风险排名</w:t>
      </w:r>
    </w:p>
    <w:p w14:paraId="0F63BE5C"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政治风险排名上，排名前十位的国家分别为：瑞士、芬兰、丹麦、卢森堡、瑞典、新西兰、挪威、荷兰、新加坡和澳大利亚。这些发达经济体拥有较为成熟的民主政治体制、稳定的政府宏观决策预期和较低的腐败风险。相比之下，排名后十位的国家包括：乌兹别克斯坦、白俄罗斯、马里、几内亚、吉尔吉斯斯坦、塔吉克斯坦、土库曼斯坦、喀麦隆、伊拉克和苏丹。这些国家均出现不同程度的政治局势动荡，因此存在着较高政治风险（见表</w:t>
      </w:r>
      <w:r>
        <w:rPr>
          <w:rFonts w:eastAsia="宋体" w:cs="Times New Roman" w:hint="eastAsia"/>
          <w:sz w:val="24"/>
          <w:szCs w:val="24"/>
        </w:rPr>
        <w:t>11</w:t>
      </w:r>
      <w:r>
        <w:rPr>
          <w:rFonts w:eastAsia="宋体" w:cs="Times New Roman" w:hint="eastAsia"/>
          <w:sz w:val="24"/>
          <w:szCs w:val="24"/>
        </w:rPr>
        <w:t>）。</w:t>
      </w:r>
    </w:p>
    <w:p w14:paraId="008A7CFC" w14:textId="77777777" w:rsidR="006B10D9" w:rsidRDefault="006B10D9">
      <w:pPr>
        <w:pStyle w:val="affd"/>
      </w:pPr>
    </w:p>
    <w:p w14:paraId="5BE96D71" w14:textId="77777777" w:rsidR="006B10D9" w:rsidRDefault="00BE6472">
      <w:pPr>
        <w:pStyle w:val="affd"/>
      </w:pPr>
      <w:r>
        <w:rPr>
          <w:rFonts w:hint="eastAsia"/>
        </w:rPr>
        <w:lastRenderedPageBreak/>
        <w:t>表</w:t>
      </w:r>
      <w:r>
        <w:rPr>
          <w:rFonts w:hint="eastAsia"/>
        </w:rPr>
        <w:t>11  2019</w:t>
      </w:r>
      <w:r>
        <w:rPr>
          <w:rFonts w:hint="eastAsia"/>
        </w:rPr>
        <w:t>年国别政治风险排名</w:t>
      </w:r>
    </w:p>
    <w:tbl>
      <w:tblPr>
        <w:tblStyle w:val="31"/>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116"/>
        <w:gridCol w:w="1104"/>
        <w:gridCol w:w="1128"/>
        <w:gridCol w:w="1488"/>
        <w:gridCol w:w="948"/>
        <w:gridCol w:w="996"/>
        <w:gridCol w:w="1092"/>
      </w:tblGrid>
      <w:tr w:rsidR="006B10D9" w14:paraId="75C92EEB" w14:textId="77777777" w:rsidTr="006B10D9">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1063" w:type="dxa"/>
            <w:shd w:val="clear" w:color="auto" w:fill="4BACC6"/>
            <w:noWrap/>
            <w:vAlign w:val="center"/>
          </w:tcPr>
          <w:p w14:paraId="2518741A" w14:textId="77777777" w:rsidR="006B10D9" w:rsidRDefault="00BE6472">
            <w:pPr>
              <w:widowControl/>
              <w:snapToGrid w:val="0"/>
              <w:spacing w:before="100" w:line="312" w:lineRule="auto"/>
              <w:ind w:firstLineChars="0" w:firstLine="0"/>
              <w:jc w:val="center"/>
              <w:textAlignment w:val="bottom"/>
              <w:rPr>
                <w:rFonts w:eastAsia="宋体" w:cs="Arial"/>
                <w:b w:val="0"/>
                <w:bCs w:val="0"/>
                <w:color w:val="FFFFFF"/>
                <w:sz w:val="21"/>
                <w:szCs w:val="21"/>
              </w:rPr>
            </w:pPr>
            <w:r>
              <w:rPr>
                <w:rFonts w:eastAsia="宋体" w:cs="Arial"/>
                <w:b w:val="0"/>
                <w:bCs w:val="0"/>
                <w:color w:val="FFFFFF"/>
                <w:kern w:val="0"/>
                <w:sz w:val="21"/>
                <w:szCs w:val="21"/>
                <w:lang w:bidi="ar"/>
              </w:rPr>
              <w:t>政治得分排名</w:t>
            </w:r>
          </w:p>
        </w:tc>
        <w:tc>
          <w:tcPr>
            <w:tcW w:w="1116" w:type="dxa"/>
            <w:shd w:val="clear" w:color="auto" w:fill="4BACC6"/>
            <w:noWrap/>
            <w:vAlign w:val="center"/>
          </w:tcPr>
          <w:p w14:paraId="362AC58A"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腐败控制</w:t>
            </w:r>
          </w:p>
        </w:tc>
        <w:tc>
          <w:tcPr>
            <w:tcW w:w="1104" w:type="dxa"/>
            <w:shd w:val="clear" w:color="auto" w:fill="4BACC6"/>
            <w:noWrap/>
            <w:vAlign w:val="center"/>
          </w:tcPr>
          <w:p w14:paraId="21E90C89"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政治稳定</w:t>
            </w:r>
          </w:p>
        </w:tc>
        <w:tc>
          <w:tcPr>
            <w:tcW w:w="1128" w:type="dxa"/>
            <w:shd w:val="clear" w:color="auto" w:fill="4BACC6"/>
            <w:noWrap/>
            <w:vAlign w:val="center"/>
          </w:tcPr>
          <w:p w14:paraId="0492AF9A"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政府效力</w:t>
            </w:r>
          </w:p>
        </w:tc>
        <w:tc>
          <w:tcPr>
            <w:tcW w:w="1488" w:type="dxa"/>
            <w:shd w:val="clear" w:color="auto" w:fill="4BACC6"/>
            <w:noWrap/>
            <w:vAlign w:val="center"/>
          </w:tcPr>
          <w:p w14:paraId="0A675388"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外部冲突</w:t>
            </w:r>
          </w:p>
        </w:tc>
        <w:tc>
          <w:tcPr>
            <w:tcW w:w="948" w:type="dxa"/>
            <w:shd w:val="clear" w:color="auto" w:fill="4BACC6"/>
            <w:noWrap/>
            <w:vAlign w:val="center"/>
          </w:tcPr>
          <w:p w14:paraId="38FC3ECE"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法制</w:t>
            </w:r>
          </w:p>
        </w:tc>
        <w:tc>
          <w:tcPr>
            <w:tcW w:w="996" w:type="dxa"/>
            <w:shd w:val="clear" w:color="auto" w:fill="4BACC6"/>
            <w:noWrap/>
            <w:vAlign w:val="center"/>
          </w:tcPr>
          <w:p w14:paraId="400239BB"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问责制</w:t>
            </w:r>
          </w:p>
        </w:tc>
        <w:tc>
          <w:tcPr>
            <w:tcW w:w="1092" w:type="dxa"/>
            <w:shd w:val="clear" w:color="auto" w:fill="4BACC6"/>
            <w:noWrap/>
            <w:vAlign w:val="center"/>
          </w:tcPr>
          <w:p w14:paraId="306D8D0E"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FFFFFF"/>
                <w:sz w:val="21"/>
                <w:szCs w:val="21"/>
              </w:rPr>
            </w:pPr>
            <w:r>
              <w:rPr>
                <w:rFonts w:eastAsia="宋体" w:cs="Arial"/>
                <w:b w:val="0"/>
                <w:bCs w:val="0"/>
                <w:color w:val="FFFFFF"/>
                <w:kern w:val="0"/>
                <w:sz w:val="21"/>
                <w:szCs w:val="21"/>
                <w:lang w:bidi="ar"/>
              </w:rPr>
              <w:t>综合得分</w:t>
            </w:r>
          </w:p>
        </w:tc>
      </w:tr>
      <w:tr w:rsidR="006B10D9" w14:paraId="7EA05212"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B7DDE8"/>
            <w:noWrap/>
            <w:vAlign w:val="center"/>
          </w:tcPr>
          <w:p w14:paraId="4219EF99"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1</w:t>
            </w:r>
          </w:p>
        </w:tc>
        <w:tc>
          <w:tcPr>
            <w:tcW w:w="1116" w:type="dxa"/>
            <w:shd w:val="clear" w:color="auto" w:fill="B7DDE8"/>
            <w:noWrap/>
            <w:vAlign w:val="center"/>
          </w:tcPr>
          <w:p w14:paraId="78098EBB"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丹麦</w:t>
            </w:r>
          </w:p>
        </w:tc>
        <w:tc>
          <w:tcPr>
            <w:tcW w:w="1104" w:type="dxa"/>
            <w:shd w:val="clear" w:color="auto" w:fill="B7DDE8"/>
            <w:noWrap/>
            <w:vAlign w:val="center"/>
          </w:tcPr>
          <w:p w14:paraId="21B58715"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阿联酋</w:t>
            </w:r>
          </w:p>
        </w:tc>
        <w:tc>
          <w:tcPr>
            <w:tcW w:w="1128" w:type="dxa"/>
            <w:shd w:val="clear" w:color="auto" w:fill="B7DDE8"/>
            <w:noWrap/>
            <w:vAlign w:val="center"/>
          </w:tcPr>
          <w:p w14:paraId="4C0C00E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c>
          <w:tcPr>
            <w:tcW w:w="1488" w:type="dxa"/>
            <w:shd w:val="clear" w:color="auto" w:fill="B7DDE8"/>
            <w:noWrap/>
            <w:vAlign w:val="center"/>
          </w:tcPr>
          <w:p w14:paraId="038A7FD3"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马耳他</w:t>
            </w:r>
          </w:p>
        </w:tc>
        <w:tc>
          <w:tcPr>
            <w:tcW w:w="948" w:type="dxa"/>
            <w:shd w:val="clear" w:color="auto" w:fill="B7DDE8"/>
            <w:noWrap/>
            <w:vAlign w:val="center"/>
          </w:tcPr>
          <w:p w14:paraId="73566B16"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芬兰</w:t>
            </w:r>
          </w:p>
        </w:tc>
        <w:tc>
          <w:tcPr>
            <w:tcW w:w="996" w:type="dxa"/>
            <w:shd w:val="clear" w:color="auto" w:fill="B7DDE8"/>
            <w:noWrap/>
            <w:vAlign w:val="center"/>
          </w:tcPr>
          <w:p w14:paraId="555715FD"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芬兰</w:t>
            </w:r>
          </w:p>
        </w:tc>
        <w:tc>
          <w:tcPr>
            <w:tcW w:w="1092" w:type="dxa"/>
            <w:shd w:val="clear" w:color="auto" w:fill="B7DDE8"/>
            <w:noWrap/>
            <w:vAlign w:val="center"/>
          </w:tcPr>
          <w:p w14:paraId="08F3737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r>
      <w:tr w:rsidR="006B10D9" w14:paraId="7812501E"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noWrap/>
            <w:vAlign w:val="center"/>
          </w:tcPr>
          <w:p w14:paraId="67797A31"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2</w:t>
            </w:r>
          </w:p>
        </w:tc>
        <w:tc>
          <w:tcPr>
            <w:tcW w:w="1116" w:type="dxa"/>
            <w:shd w:val="clear" w:color="auto" w:fill="FFFFFF"/>
            <w:noWrap/>
            <w:vAlign w:val="center"/>
          </w:tcPr>
          <w:p w14:paraId="3A519B2B"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芬兰</w:t>
            </w:r>
          </w:p>
        </w:tc>
        <w:tc>
          <w:tcPr>
            <w:tcW w:w="1104" w:type="dxa"/>
            <w:shd w:val="clear" w:color="auto" w:fill="FFFFFF"/>
            <w:noWrap/>
            <w:vAlign w:val="center"/>
          </w:tcPr>
          <w:p w14:paraId="67BA93A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c>
          <w:tcPr>
            <w:tcW w:w="1128" w:type="dxa"/>
            <w:shd w:val="clear" w:color="auto" w:fill="FFFFFF"/>
            <w:noWrap/>
            <w:vAlign w:val="center"/>
          </w:tcPr>
          <w:p w14:paraId="7BBEDE4E"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c>
          <w:tcPr>
            <w:tcW w:w="1488" w:type="dxa"/>
            <w:shd w:val="clear" w:color="auto" w:fill="FFFFFF"/>
            <w:noWrap/>
            <w:vAlign w:val="center"/>
          </w:tcPr>
          <w:p w14:paraId="64634D78"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c>
          <w:tcPr>
            <w:tcW w:w="948" w:type="dxa"/>
            <w:shd w:val="clear" w:color="auto" w:fill="FFFFFF"/>
            <w:noWrap/>
            <w:vAlign w:val="center"/>
          </w:tcPr>
          <w:p w14:paraId="509FED9A"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c>
          <w:tcPr>
            <w:tcW w:w="996" w:type="dxa"/>
            <w:shd w:val="clear" w:color="auto" w:fill="FFFFFF"/>
            <w:noWrap/>
            <w:vAlign w:val="center"/>
          </w:tcPr>
          <w:p w14:paraId="226B1433"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c>
          <w:tcPr>
            <w:tcW w:w="1092" w:type="dxa"/>
            <w:shd w:val="clear" w:color="auto" w:fill="FFFFFF"/>
            <w:noWrap/>
            <w:vAlign w:val="center"/>
          </w:tcPr>
          <w:p w14:paraId="00F2A78C"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芬兰</w:t>
            </w:r>
          </w:p>
        </w:tc>
      </w:tr>
      <w:tr w:rsidR="006B10D9" w14:paraId="5DB95B88"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B7DDE8"/>
            <w:noWrap/>
            <w:vAlign w:val="center"/>
          </w:tcPr>
          <w:p w14:paraId="719879D2"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3</w:t>
            </w:r>
          </w:p>
        </w:tc>
        <w:tc>
          <w:tcPr>
            <w:tcW w:w="1116" w:type="dxa"/>
            <w:shd w:val="clear" w:color="auto" w:fill="B7DDE8"/>
            <w:noWrap/>
            <w:vAlign w:val="center"/>
          </w:tcPr>
          <w:p w14:paraId="01865A77"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瑞典</w:t>
            </w:r>
          </w:p>
        </w:tc>
        <w:tc>
          <w:tcPr>
            <w:tcW w:w="1104" w:type="dxa"/>
            <w:shd w:val="clear" w:color="auto" w:fill="B7DDE8"/>
            <w:noWrap/>
            <w:vAlign w:val="center"/>
          </w:tcPr>
          <w:p w14:paraId="1A492D5F"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卡塔尔</w:t>
            </w:r>
          </w:p>
        </w:tc>
        <w:tc>
          <w:tcPr>
            <w:tcW w:w="1128" w:type="dxa"/>
            <w:shd w:val="clear" w:color="auto" w:fill="B7DDE8"/>
            <w:noWrap/>
            <w:vAlign w:val="center"/>
          </w:tcPr>
          <w:p w14:paraId="045E5A73"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芬兰</w:t>
            </w:r>
          </w:p>
        </w:tc>
        <w:tc>
          <w:tcPr>
            <w:tcW w:w="1488" w:type="dxa"/>
            <w:shd w:val="clear" w:color="auto" w:fill="B7DDE8"/>
            <w:noWrap/>
            <w:vAlign w:val="center"/>
          </w:tcPr>
          <w:p w14:paraId="32C0B0F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芬兰</w:t>
            </w:r>
          </w:p>
        </w:tc>
        <w:tc>
          <w:tcPr>
            <w:tcW w:w="948" w:type="dxa"/>
            <w:shd w:val="clear" w:color="auto" w:fill="B7DDE8"/>
            <w:noWrap/>
            <w:vAlign w:val="center"/>
          </w:tcPr>
          <w:p w14:paraId="2551413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c>
          <w:tcPr>
            <w:tcW w:w="996" w:type="dxa"/>
            <w:shd w:val="clear" w:color="auto" w:fill="B7DDE8"/>
            <w:noWrap/>
            <w:vAlign w:val="center"/>
          </w:tcPr>
          <w:p w14:paraId="393ECE0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c>
          <w:tcPr>
            <w:tcW w:w="1092" w:type="dxa"/>
            <w:shd w:val="clear" w:color="auto" w:fill="B7DDE8"/>
            <w:noWrap/>
            <w:vAlign w:val="center"/>
          </w:tcPr>
          <w:p w14:paraId="3971CC5A"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丹麦</w:t>
            </w:r>
          </w:p>
        </w:tc>
      </w:tr>
      <w:tr w:rsidR="006B10D9" w14:paraId="60B9639E"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noWrap/>
            <w:vAlign w:val="center"/>
          </w:tcPr>
          <w:p w14:paraId="2AF94B25"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4</w:t>
            </w:r>
          </w:p>
        </w:tc>
        <w:tc>
          <w:tcPr>
            <w:tcW w:w="1116" w:type="dxa"/>
            <w:shd w:val="clear" w:color="auto" w:fill="FFFFFF"/>
            <w:noWrap/>
            <w:vAlign w:val="center"/>
          </w:tcPr>
          <w:p w14:paraId="38C4A302"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新西兰</w:t>
            </w:r>
          </w:p>
        </w:tc>
        <w:tc>
          <w:tcPr>
            <w:tcW w:w="1104" w:type="dxa"/>
            <w:shd w:val="clear" w:color="auto" w:fill="FFFFFF"/>
            <w:noWrap/>
            <w:vAlign w:val="center"/>
          </w:tcPr>
          <w:p w14:paraId="6AAE5206"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亚美尼亚</w:t>
            </w:r>
          </w:p>
        </w:tc>
        <w:tc>
          <w:tcPr>
            <w:tcW w:w="1128" w:type="dxa"/>
            <w:shd w:val="clear" w:color="auto" w:fill="FFFFFF"/>
            <w:noWrap/>
            <w:vAlign w:val="center"/>
          </w:tcPr>
          <w:p w14:paraId="3C8DA94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c>
          <w:tcPr>
            <w:tcW w:w="1488" w:type="dxa"/>
            <w:shd w:val="clear" w:color="auto" w:fill="FFFFFF"/>
            <w:noWrap/>
            <w:vAlign w:val="center"/>
          </w:tcPr>
          <w:p w14:paraId="21A35D9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纳米比亚</w:t>
            </w:r>
          </w:p>
        </w:tc>
        <w:tc>
          <w:tcPr>
            <w:tcW w:w="948" w:type="dxa"/>
            <w:shd w:val="clear" w:color="auto" w:fill="FFFFFF"/>
            <w:noWrap/>
            <w:vAlign w:val="center"/>
          </w:tcPr>
          <w:p w14:paraId="13491836"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瑞典</w:t>
            </w:r>
          </w:p>
        </w:tc>
        <w:tc>
          <w:tcPr>
            <w:tcW w:w="996" w:type="dxa"/>
            <w:shd w:val="clear" w:color="auto" w:fill="FFFFFF"/>
            <w:noWrap/>
            <w:vAlign w:val="center"/>
          </w:tcPr>
          <w:p w14:paraId="76327A4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瑞典</w:t>
            </w:r>
          </w:p>
        </w:tc>
        <w:tc>
          <w:tcPr>
            <w:tcW w:w="1092" w:type="dxa"/>
            <w:shd w:val="clear" w:color="auto" w:fill="FFFFFF"/>
            <w:noWrap/>
            <w:vAlign w:val="center"/>
          </w:tcPr>
          <w:p w14:paraId="0988D0A8"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r>
      <w:tr w:rsidR="006B10D9" w14:paraId="03267C47"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B7DDE8"/>
            <w:noWrap/>
            <w:vAlign w:val="center"/>
          </w:tcPr>
          <w:p w14:paraId="432F9325"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5</w:t>
            </w:r>
          </w:p>
        </w:tc>
        <w:tc>
          <w:tcPr>
            <w:tcW w:w="1116" w:type="dxa"/>
            <w:shd w:val="clear" w:color="auto" w:fill="B7DDE8"/>
            <w:noWrap/>
            <w:vAlign w:val="center"/>
          </w:tcPr>
          <w:p w14:paraId="132CB7C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冰岛</w:t>
            </w:r>
          </w:p>
        </w:tc>
        <w:tc>
          <w:tcPr>
            <w:tcW w:w="1104" w:type="dxa"/>
            <w:shd w:val="clear" w:color="auto" w:fill="B7DDE8"/>
            <w:noWrap/>
            <w:vAlign w:val="center"/>
          </w:tcPr>
          <w:p w14:paraId="35921B4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c>
          <w:tcPr>
            <w:tcW w:w="1128" w:type="dxa"/>
            <w:shd w:val="clear" w:color="auto" w:fill="B7DDE8"/>
            <w:noWrap/>
            <w:vAlign w:val="center"/>
          </w:tcPr>
          <w:p w14:paraId="412CC35D"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丹麦</w:t>
            </w:r>
          </w:p>
        </w:tc>
        <w:tc>
          <w:tcPr>
            <w:tcW w:w="1488" w:type="dxa"/>
            <w:shd w:val="clear" w:color="auto" w:fill="B7DDE8"/>
            <w:noWrap/>
            <w:vAlign w:val="center"/>
          </w:tcPr>
          <w:p w14:paraId="6D4FA172"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瑞典</w:t>
            </w:r>
          </w:p>
        </w:tc>
        <w:tc>
          <w:tcPr>
            <w:tcW w:w="948" w:type="dxa"/>
            <w:shd w:val="clear" w:color="auto" w:fill="B7DDE8"/>
            <w:noWrap/>
            <w:vAlign w:val="center"/>
          </w:tcPr>
          <w:p w14:paraId="22F18A6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新西兰</w:t>
            </w:r>
          </w:p>
        </w:tc>
        <w:tc>
          <w:tcPr>
            <w:tcW w:w="996" w:type="dxa"/>
            <w:shd w:val="clear" w:color="auto" w:fill="B7DDE8"/>
            <w:noWrap/>
            <w:vAlign w:val="center"/>
          </w:tcPr>
          <w:p w14:paraId="2756575F"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新西兰</w:t>
            </w:r>
          </w:p>
        </w:tc>
        <w:tc>
          <w:tcPr>
            <w:tcW w:w="1092" w:type="dxa"/>
            <w:shd w:val="clear" w:color="auto" w:fill="B7DDE8"/>
            <w:noWrap/>
            <w:vAlign w:val="center"/>
          </w:tcPr>
          <w:p w14:paraId="3662B0D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瑞典</w:t>
            </w:r>
          </w:p>
        </w:tc>
      </w:tr>
      <w:tr w:rsidR="006B10D9" w14:paraId="04617721"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noWrap/>
            <w:vAlign w:val="center"/>
          </w:tcPr>
          <w:p w14:paraId="767A594D"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6</w:t>
            </w:r>
          </w:p>
        </w:tc>
        <w:tc>
          <w:tcPr>
            <w:tcW w:w="1116" w:type="dxa"/>
            <w:shd w:val="clear" w:color="auto" w:fill="FFFFFF"/>
            <w:noWrap/>
            <w:vAlign w:val="center"/>
          </w:tcPr>
          <w:p w14:paraId="4EC0D0F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德国</w:t>
            </w:r>
          </w:p>
        </w:tc>
        <w:tc>
          <w:tcPr>
            <w:tcW w:w="1104" w:type="dxa"/>
            <w:shd w:val="clear" w:color="auto" w:fill="FFFFFF"/>
            <w:noWrap/>
            <w:vAlign w:val="center"/>
          </w:tcPr>
          <w:p w14:paraId="561C8298"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匈牙利</w:t>
            </w:r>
          </w:p>
        </w:tc>
        <w:tc>
          <w:tcPr>
            <w:tcW w:w="1128" w:type="dxa"/>
            <w:shd w:val="clear" w:color="auto" w:fill="FFFFFF"/>
            <w:noWrap/>
            <w:vAlign w:val="center"/>
          </w:tcPr>
          <w:p w14:paraId="1ECAE147"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c>
          <w:tcPr>
            <w:tcW w:w="1488" w:type="dxa"/>
            <w:shd w:val="clear" w:color="auto" w:fill="FFFFFF"/>
            <w:noWrap/>
            <w:vAlign w:val="center"/>
          </w:tcPr>
          <w:p w14:paraId="68313563"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奥地利</w:t>
            </w:r>
          </w:p>
        </w:tc>
        <w:tc>
          <w:tcPr>
            <w:tcW w:w="948" w:type="dxa"/>
            <w:shd w:val="clear" w:color="auto" w:fill="FFFFFF"/>
            <w:noWrap/>
            <w:vAlign w:val="center"/>
          </w:tcPr>
          <w:p w14:paraId="42D9F39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奥地利</w:t>
            </w:r>
          </w:p>
        </w:tc>
        <w:tc>
          <w:tcPr>
            <w:tcW w:w="996" w:type="dxa"/>
            <w:shd w:val="clear" w:color="auto" w:fill="FFFFFF"/>
            <w:noWrap/>
            <w:vAlign w:val="center"/>
          </w:tcPr>
          <w:p w14:paraId="3E623BB9"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奥地利</w:t>
            </w:r>
          </w:p>
        </w:tc>
        <w:tc>
          <w:tcPr>
            <w:tcW w:w="1092" w:type="dxa"/>
            <w:shd w:val="clear" w:color="auto" w:fill="FFFFFF"/>
            <w:noWrap/>
            <w:vAlign w:val="center"/>
          </w:tcPr>
          <w:p w14:paraId="599A0292"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新西兰</w:t>
            </w:r>
          </w:p>
        </w:tc>
      </w:tr>
      <w:tr w:rsidR="006B10D9" w14:paraId="2A46F4CE"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B7DDE8"/>
            <w:noWrap/>
            <w:vAlign w:val="center"/>
          </w:tcPr>
          <w:p w14:paraId="2A23E988"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7</w:t>
            </w:r>
          </w:p>
        </w:tc>
        <w:tc>
          <w:tcPr>
            <w:tcW w:w="1116" w:type="dxa"/>
            <w:shd w:val="clear" w:color="auto" w:fill="B7DDE8"/>
            <w:noWrap/>
            <w:vAlign w:val="center"/>
          </w:tcPr>
          <w:p w14:paraId="3EC2D74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c>
          <w:tcPr>
            <w:tcW w:w="1104" w:type="dxa"/>
            <w:shd w:val="clear" w:color="auto" w:fill="B7DDE8"/>
            <w:noWrap/>
            <w:vAlign w:val="center"/>
          </w:tcPr>
          <w:p w14:paraId="53C8B21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阿曼</w:t>
            </w:r>
          </w:p>
        </w:tc>
        <w:tc>
          <w:tcPr>
            <w:tcW w:w="1128" w:type="dxa"/>
            <w:shd w:val="clear" w:color="auto" w:fill="B7DDE8"/>
            <w:noWrap/>
            <w:vAlign w:val="center"/>
          </w:tcPr>
          <w:p w14:paraId="55647E75"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瑞典</w:t>
            </w:r>
          </w:p>
        </w:tc>
        <w:tc>
          <w:tcPr>
            <w:tcW w:w="1488" w:type="dxa"/>
            <w:shd w:val="clear" w:color="auto" w:fill="B7DDE8"/>
            <w:noWrap/>
            <w:vAlign w:val="center"/>
          </w:tcPr>
          <w:p w14:paraId="0B543C8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爱尔兰</w:t>
            </w:r>
          </w:p>
        </w:tc>
        <w:tc>
          <w:tcPr>
            <w:tcW w:w="948" w:type="dxa"/>
            <w:shd w:val="clear" w:color="auto" w:fill="B7DDE8"/>
            <w:noWrap/>
            <w:vAlign w:val="center"/>
          </w:tcPr>
          <w:p w14:paraId="39A1C6DA"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c>
          <w:tcPr>
            <w:tcW w:w="996" w:type="dxa"/>
            <w:shd w:val="clear" w:color="auto" w:fill="B7DDE8"/>
            <w:noWrap/>
            <w:vAlign w:val="center"/>
          </w:tcPr>
          <w:p w14:paraId="0E56768F"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丹麦</w:t>
            </w:r>
          </w:p>
        </w:tc>
        <w:tc>
          <w:tcPr>
            <w:tcW w:w="1092" w:type="dxa"/>
            <w:shd w:val="clear" w:color="auto" w:fill="B7DDE8"/>
            <w:noWrap/>
            <w:vAlign w:val="center"/>
          </w:tcPr>
          <w:p w14:paraId="260F0BDD"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r>
      <w:tr w:rsidR="006B10D9" w14:paraId="2A6E9CBF"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noWrap/>
            <w:vAlign w:val="center"/>
          </w:tcPr>
          <w:p w14:paraId="7F2A3C4D"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8</w:t>
            </w:r>
          </w:p>
        </w:tc>
        <w:tc>
          <w:tcPr>
            <w:tcW w:w="1116" w:type="dxa"/>
            <w:shd w:val="clear" w:color="auto" w:fill="FFFFFF"/>
            <w:noWrap/>
            <w:vAlign w:val="center"/>
          </w:tcPr>
          <w:p w14:paraId="1258626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加拿大</w:t>
            </w:r>
          </w:p>
        </w:tc>
        <w:tc>
          <w:tcPr>
            <w:tcW w:w="1104" w:type="dxa"/>
            <w:shd w:val="clear" w:color="auto" w:fill="FFFFFF"/>
            <w:noWrap/>
            <w:vAlign w:val="center"/>
          </w:tcPr>
          <w:p w14:paraId="63C35916"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埃及</w:t>
            </w:r>
          </w:p>
        </w:tc>
        <w:tc>
          <w:tcPr>
            <w:tcW w:w="1128" w:type="dxa"/>
            <w:shd w:val="clear" w:color="auto" w:fill="FFFFFF"/>
            <w:noWrap/>
            <w:vAlign w:val="center"/>
          </w:tcPr>
          <w:p w14:paraId="583D9B2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c>
          <w:tcPr>
            <w:tcW w:w="1488" w:type="dxa"/>
            <w:shd w:val="clear" w:color="auto" w:fill="FFFFFF"/>
            <w:noWrap/>
            <w:vAlign w:val="center"/>
          </w:tcPr>
          <w:p w14:paraId="4E74F75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蒙古国</w:t>
            </w:r>
          </w:p>
        </w:tc>
        <w:tc>
          <w:tcPr>
            <w:tcW w:w="948" w:type="dxa"/>
            <w:shd w:val="clear" w:color="auto" w:fill="FFFFFF"/>
            <w:noWrap/>
            <w:vAlign w:val="center"/>
          </w:tcPr>
          <w:p w14:paraId="784085FC"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丹麦</w:t>
            </w:r>
          </w:p>
        </w:tc>
        <w:tc>
          <w:tcPr>
            <w:tcW w:w="996" w:type="dxa"/>
            <w:shd w:val="clear" w:color="auto" w:fill="FFFFFF"/>
            <w:noWrap/>
            <w:vAlign w:val="center"/>
          </w:tcPr>
          <w:p w14:paraId="5E611127"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c>
          <w:tcPr>
            <w:tcW w:w="1092" w:type="dxa"/>
            <w:shd w:val="clear" w:color="auto" w:fill="FFFFFF"/>
            <w:noWrap/>
            <w:vAlign w:val="center"/>
          </w:tcPr>
          <w:p w14:paraId="4CDBE1B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r>
      <w:tr w:rsidR="006B10D9" w14:paraId="3A4F6FDC"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B7DDE8"/>
            <w:noWrap/>
            <w:vAlign w:val="center"/>
          </w:tcPr>
          <w:p w14:paraId="70800381"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9</w:t>
            </w:r>
          </w:p>
        </w:tc>
        <w:tc>
          <w:tcPr>
            <w:tcW w:w="1116" w:type="dxa"/>
            <w:shd w:val="clear" w:color="auto" w:fill="B7DDE8"/>
            <w:noWrap/>
            <w:vAlign w:val="center"/>
          </w:tcPr>
          <w:p w14:paraId="7A136DF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c>
          <w:tcPr>
            <w:tcW w:w="1104" w:type="dxa"/>
            <w:shd w:val="clear" w:color="auto" w:fill="B7DDE8"/>
            <w:noWrap/>
            <w:vAlign w:val="center"/>
          </w:tcPr>
          <w:p w14:paraId="566D769D"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孟加拉国</w:t>
            </w:r>
          </w:p>
        </w:tc>
        <w:tc>
          <w:tcPr>
            <w:tcW w:w="1128" w:type="dxa"/>
            <w:shd w:val="clear" w:color="auto" w:fill="B7DDE8"/>
            <w:noWrap/>
            <w:vAlign w:val="center"/>
          </w:tcPr>
          <w:p w14:paraId="406C4A9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加拿大</w:t>
            </w:r>
          </w:p>
        </w:tc>
        <w:tc>
          <w:tcPr>
            <w:tcW w:w="1488" w:type="dxa"/>
            <w:shd w:val="clear" w:color="auto" w:fill="B7DDE8"/>
            <w:noWrap/>
            <w:vAlign w:val="center"/>
          </w:tcPr>
          <w:p w14:paraId="157554E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墨西哥</w:t>
            </w:r>
          </w:p>
        </w:tc>
        <w:tc>
          <w:tcPr>
            <w:tcW w:w="948" w:type="dxa"/>
            <w:shd w:val="clear" w:color="auto" w:fill="B7DDE8"/>
            <w:noWrap/>
            <w:vAlign w:val="center"/>
          </w:tcPr>
          <w:p w14:paraId="5145D1B1"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c>
          <w:tcPr>
            <w:tcW w:w="996" w:type="dxa"/>
            <w:shd w:val="clear" w:color="auto" w:fill="B7DDE8"/>
            <w:noWrap/>
            <w:vAlign w:val="center"/>
          </w:tcPr>
          <w:p w14:paraId="7E8A559A"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c>
          <w:tcPr>
            <w:tcW w:w="1092" w:type="dxa"/>
            <w:shd w:val="clear" w:color="auto" w:fill="B7DDE8"/>
            <w:noWrap/>
            <w:vAlign w:val="center"/>
          </w:tcPr>
          <w:p w14:paraId="1C030123"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r>
      <w:tr w:rsidR="006B10D9" w14:paraId="051056E2" w14:textId="77777777" w:rsidTr="006B10D9">
        <w:trPr>
          <w:trHeight w:val="264"/>
          <w:jc w:val="center"/>
        </w:trPr>
        <w:tc>
          <w:tcPr>
            <w:cnfStyle w:val="001000000000" w:firstRow="0" w:lastRow="0" w:firstColumn="1" w:lastColumn="0" w:oddVBand="0" w:evenVBand="0" w:oddHBand="0" w:evenHBand="0" w:firstRowFirstColumn="0" w:firstRowLastColumn="0" w:lastRowFirstColumn="0" w:lastRowLastColumn="0"/>
            <w:tcW w:w="1063" w:type="dxa"/>
            <w:shd w:val="clear" w:color="auto" w:fill="FFFFFF"/>
            <w:noWrap/>
            <w:vAlign w:val="center"/>
          </w:tcPr>
          <w:p w14:paraId="14832417"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b w:val="0"/>
                <w:bCs w:val="0"/>
                <w:color w:val="000000"/>
                <w:kern w:val="0"/>
                <w:sz w:val="21"/>
                <w:szCs w:val="21"/>
                <w:lang w:bidi="ar"/>
              </w:rPr>
              <w:t>10</w:t>
            </w:r>
          </w:p>
        </w:tc>
        <w:tc>
          <w:tcPr>
            <w:tcW w:w="1116" w:type="dxa"/>
            <w:shd w:val="clear" w:color="auto" w:fill="FFFFFF"/>
            <w:noWrap/>
            <w:vAlign w:val="center"/>
          </w:tcPr>
          <w:p w14:paraId="060C3FAE"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c>
          <w:tcPr>
            <w:tcW w:w="1104" w:type="dxa"/>
            <w:shd w:val="clear" w:color="auto" w:fill="FFFFFF"/>
            <w:noWrap/>
            <w:vAlign w:val="center"/>
          </w:tcPr>
          <w:p w14:paraId="1EF3A7F7"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马耳他</w:t>
            </w:r>
          </w:p>
        </w:tc>
        <w:tc>
          <w:tcPr>
            <w:tcW w:w="1128" w:type="dxa"/>
            <w:shd w:val="clear" w:color="auto" w:fill="FFFFFF"/>
            <w:noWrap/>
            <w:vAlign w:val="center"/>
          </w:tcPr>
          <w:p w14:paraId="047F7996"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日本</w:t>
            </w:r>
          </w:p>
        </w:tc>
        <w:tc>
          <w:tcPr>
            <w:tcW w:w="1488" w:type="dxa"/>
            <w:shd w:val="clear" w:color="auto" w:fill="FFFFFF"/>
            <w:noWrap/>
            <w:vAlign w:val="center"/>
          </w:tcPr>
          <w:p w14:paraId="29683494"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乌兹别克斯坦</w:t>
            </w:r>
          </w:p>
        </w:tc>
        <w:tc>
          <w:tcPr>
            <w:tcW w:w="948" w:type="dxa"/>
            <w:shd w:val="clear" w:color="auto" w:fill="FFFFFF"/>
            <w:noWrap/>
            <w:vAlign w:val="center"/>
          </w:tcPr>
          <w:p w14:paraId="1DB5D76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c>
          <w:tcPr>
            <w:tcW w:w="996" w:type="dxa"/>
            <w:shd w:val="clear" w:color="auto" w:fill="FFFFFF"/>
            <w:noWrap/>
            <w:vAlign w:val="center"/>
          </w:tcPr>
          <w:p w14:paraId="64144DE6"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加拿大</w:t>
            </w:r>
          </w:p>
        </w:tc>
        <w:tc>
          <w:tcPr>
            <w:tcW w:w="1092" w:type="dxa"/>
            <w:shd w:val="clear" w:color="auto" w:fill="FFFFFF"/>
            <w:noWrap/>
            <w:vAlign w:val="center"/>
          </w:tcPr>
          <w:p w14:paraId="79FD4A17"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澳大利亚</w:t>
            </w:r>
          </w:p>
        </w:tc>
      </w:tr>
    </w:tbl>
    <w:p w14:paraId="5EE1DFC3" w14:textId="77777777" w:rsidR="006B10D9" w:rsidRDefault="006B10D9">
      <w:pPr>
        <w:snapToGrid w:val="0"/>
        <w:spacing w:line="240" w:lineRule="auto"/>
        <w:ind w:firstLineChars="0" w:firstLine="0"/>
        <w:rPr>
          <w:rFonts w:eastAsia="宋体" w:cs="Times New Roman"/>
          <w:sz w:val="24"/>
          <w:szCs w:val="24"/>
        </w:rPr>
      </w:pPr>
    </w:p>
    <w:p w14:paraId="1A521681" w14:textId="77777777" w:rsidR="006B10D9" w:rsidRDefault="00BE6472">
      <w:pPr>
        <w:keepNext/>
        <w:keepLines/>
        <w:numPr>
          <w:ilvl w:val="255"/>
          <w:numId w:val="0"/>
        </w:numPr>
        <w:spacing w:line="360" w:lineRule="auto"/>
        <w:ind w:firstLineChars="200"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）经济风险排名</w:t>
      </w:r>
    </w:p>
    <w:p w14:paraId="5A362475" w14:textId="77777777" w:rsidR="006B10D9" w:rsidRDefault="00BE6472">
      <w:pPr>
        <w:numPr>
          <w:ilvl w:val="255"/>
          <w:numId w:val="0"/>
        </w:numPr>
        <w:spacing w:line="360" w:lineRule="auto"/>
        <w:ind w:firstLineChars="200" w:firstLine="480"/>
        <w:rPr>
          <w:rFonts w:eastAsia="宋体" w:cs="Times New Roman"/>
          <w:sz w:val="24"/>
          <w:szCs w:val="24"/>
        </w:rPr>
      </w:pPr>
      <w:r>
        <w:rPr>
          <w:rFonts w:eastAsia="宋体" w:cs="Times New Roman" w:hint="eastAsia"/>
          <w:sz w:val="24"/>
          <w:szCs w:val="24"/>
        </w:rPr>
        <w:t>经济风险排名上，发达经济体普遍得分较高，存在较低风险（见表</w:t>
      </w:r>
      <w:r>
        <w:rPr>
          <w:rFonts w:eastAsia="宋体" w:cs="Times New Roman" w:hint="eastAsia"/>
          <w:sz w:val="24"/>
          <w:szCs w:val="24"/>
        </w:rPr>
        <w:t>12</w:t>
      </w:r>
      <w:r>
        <w:rPr>
          <w:rFonts w:eastAsia="宋体" w:cs="Times New Roman" w:hint="eastAsia"/>
          <w:sz w:val="24"/>
          <w:szCs w:val="24"/>
        </w:rPr>
        <w:t>）。相比之下，排名后十位的国家如尼日尔、苏丹等也是全球人均</w:t>
      </w:r>
      <w:r>
        <w:rPr>
          <w:rFonts w:eastAsia="宋体" w:cs="Times New Roman" w:hint="eastAsia"/>
          <w:sz w:val="24"/>
          <w:szCs w:val="24"/>
        </w:rPr>
        <w:t>GDP</w:t>
      </w:r>
      <w:r>
        <w:rPr>
          <w:rFonts w:eastAsia="宋体" w:cs="Times New Roman" w:hint="eastAsia"/>
          <w:sz w:val="24"/>
          <w:szCs w:val="24"/>
        </w:rPr>
        <w:t>最低的国家之一。对于经济风险较高的国家，中国企业在投资前应全面评估东道国的投资政策、资源开发前景、利益相关群体等不确定性较高的因素，做好投资风险管控和合规管理。</w:t>
      </w:r>
    </w:p>
    <w:p w14:paraId="6A219549" w14:textId="77777777" w:rsidR="006B10D9" w:rsidRDefault="00BE6472">
      <w:pPr>
        <w:pStyle w:val="affd"/>
      </w:pPr>
      <w:r>
        <w:rPr>
          <w:rFonts w:hint="eastAsia"/>
        </w:rPr>
        <w:t>表</w:t>
      </w:r>
      <w:r>
        <w:rPr>
          <w:rFonts w:hint="eastAsia"/>
        </w:rPr>
        <w:t>12  2019</w:t>
      </w:r>
      <w:r>
        <w:rPr>
          <w:rFonts w:hint="eastAsia"/>
        </w:rPr>
        <w:t>年国别经济风险排名</w:t>
      </w:r>
    </w:p>
    <w:tbl>
      <w:tblPr>
        <w:tblStyle w:val="3-51"/>
        <w:tblW w:w="8741"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3"/>
        <w:gridCol w:w="1032"/>
        <w:gridCol w:w="1080"/>
        <w:gridCol w:w="1080"/>
        <w:gridCol w:w="1332"/>
        <w:gridCol w:w="900"/>
        <w:gridCol w:w="1308"/>
        <w:gridCol w:w="1116"/>
      </w:tblGrid>
      <w:tr w:rsidR="006B10D9" w14:paraId="281A3DFE" w14:textId="77777777" w:rsidTr="006B10D9">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893" w:type="dxa"/>
            <w:tcBorders>
              <w:bottom w:val="nil"/>
            </w:tcBorders>
            <w:noWrap/>
            <w:vAlign w:val="center"/>
          </w:tcPr>
          <w:p w14:paraId="25690A3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rPr>
                <w:rFonts w:eastAsia="宋体" w:cs="Arial"/>
                <w:color w:val="000000"/>
                <w:sz w:val="21"/>
                <w:szCs w:val="21"/>
              </w:rPr>
            </w:pPr>
            <w:r>
              <w:rPr>
                <w:rFonts w:eastAsia="宋体" w:cs="Arial"/>
                <w:color w:val="000000"/>
                <w:kern w:val="0"/>
                <w:sz w:val="21"/>
                <w:szCs w:val="21"/>
                <w:lang w:bidi="ar"/>
              </w:rPr>
              <w:t>经济得分排名</w:t>
            </w:r>
          </w:p>
        </w:tc>
        <w:tc>
          <w:tcPr>
            <w:tcW w:w="1032" w:type="dxa"/>
            <w:noWrap/>
            <w:vAlign w:val="center"/>
          </w:tcPr>
          <w:p w14:paraId="49BA44D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GDP</w:t>
            </w:r>
          </w:p>
        </w:tc>
        <w:tc>
          <w:tcPr>
            <w:tcW w:w="1080" w:type="dxa"/>
            <w:noWrap/>
            <w:vAlign w:val="center"/>
          </w:tcPr>
          <w:p w14:paraId="09EEAF1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失业率</w:t>
            </w:r>
          </w:p>
        </w:tc>
        <w:tc>
          <w:tcPr>
            <w:tcW w:w="1080" w:type="dxa"/>
            <w:noWrap/>
            <w:vAlign w:val="center"/>
          </w:tcPr>
          <w:p w14:paraId="24BEC7F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通货膨胀</w:t>
            </w:r>
          </w:p>
        </w:tc>
        <w:tc>
          <w:tcPr>
            <w:tcW w:w="1332" w:type="dxa"/>
            <w:noWrap/>
            <w:vAlign w:val="center"/>
          </w:tcPr>
          <w:p w14:paraId="460914D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贸易开放度</w:t>
            </w:r>
          </w:p>
        </w:tc>
        <w:tc>
          <w:tcPr>
            <w:tcW w:w="900" w:type="dxa"/>
            <w:noWrap/>
            <w:vAlign w:val="center"/>
          </w:tcPr>
          <w:p w14:paraId="657116A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人均</w:t>
            </w:r>
            <w:r>
              <w:rPr>
                <w:rFonts w:eastAsia="宋体" w:cs="Arial"/>
                <w:color w:val="000000"/>
                <w:kern w:val="0"/>
                <w:sz w:val="21"/>
                <w:szCs w:val="21"/>
                <w:lang w:bidi="ar"/>
              </w:rPr>
              <w:t>GDP</w:t>
            </w:r>
          </w:p>
        </w:tc>
        <w:tc>
          <w:tcPr>
            <w:tcW w:w="1308" w:type="dxa"/>
            <w:noWrap/>
            <w:vAlign w:val="center"/>
          </w:tcPr>
          <w:p w14:paraId="3E7E03D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GDP</w:t>
            </w:r>
            <w:r>
              <w:rPr>
                <w:rFonts w:eastAsia="宋体" w:cs="Arial"/>
                <w:color w:val="000000"/>
                <w:kern w:val="0"/>
                <w:sz w:val="21"/>
                <w:szCs w:val="21"/>
                <w:lang w:bidi="ar"/>
              </w:rPr>
              <w:t>增长率</w:t>
            </w:r>
          </w:p>
        </w:tc>
        <w:tc>
          <w:tcPr>
            <w:tcW w:w="1116" w:type="dxa"/>
            <w:noWrap/>
            <w:vAlign w:val="center"/>
          </w:tcPr>
          <w:p w14:paraId="03672C4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综合得分</w:t>
            </w:r>
          </w:p>
        </w:tc>
      </w:tr>
      <w:tr w:rsidR="006B10D9" w14:paraId="014A1E5B"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11C8F47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1</w:t>
            </w:r>
          </w:p>
        </w:tc>
        <w:tc>
          <w:tcPr>
            <w:tcW w:w="1032" w:type="dxa"/>
            <w:shd w:val="clear" w:color="auto" w:fill="D9E2F3"/>
            <w:noWrap/>
            <w:vAlign w:val="center"/>
          </w:tcPr>
          <w:p w14:paraId="6557661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美国</w:t>
            </w:r>
          </w:p>
        </w:tc>
        <w:tc>
          <w:tcPr>
            <w:tcW w:w="1080" w:type="dxa"/>
            <w:shd w:val="clear" w:color="auto" w:fill="D9E2F3"/>
            <w:noWrap/>
            <w:vAlign w:val="center"/>
          </w:tcPr>
          <w:p w14:paraId="64F4CA5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卡塔尔</w:t>
            </w:r>
          </w:p>
        </w:tc>
        <w:tc>
          <w:tcPr>
            <w:tcW w:w="1080" w:type="dxa"/>
            <w:shd w:val="clear" w:color="auto" w:fill="D9E2F3"/>
            <w:noWrap/>
            <w:vAlign w:val="center"/>
          </w:tcPr>
          <w:p w14:paraId="1E04203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马里</w:t>
            </w:r>
          </w:p>
        </w:tc>
        <w:tc>
          <w:tcPr>
            <w:tcW w:w="1332" w:type="dxa"/>
            <w:shd w:val="clear" w:color="auto" w:fill="D9E2F3"/>
            <w:noWrap/>
            <w:vAlign w:val="center"/>
          </w:tcPr>
          <w:p w14:paraId="1F557E7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c>
          <w:tcPr>
            <w:tcW w:w="900" w:type="dxa"/>
            <w:shd w:val="clear" w:color="auto" w:fill="D9E2F3"/>
            <w:noWrap/>
            <w:vAlign w:val="center"/>
          </w:tcPr>
          <w:p w14:paraId="2DE10E1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c>
          <w:tcPr>
            <w:tcW w:w="1308" w:type="dxa"/>
            <w:shd w:val="clear" w:color="auto" w:fill="D9E2F3"/>
            <w:noWrap/>
            <w:vAlign w:val="center"/>
          </w:tcPr>
          <w:p w14:paraId="2DE776E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埃塞俄比亚</w:t>
            </w:r>
          </w:p>
        </w:tc>
        <w:tc>
          <w:tcPr>
            <w:tcW w:w="1116" w:type="dxa"/>
            <w:shd w:val="clear" w:color="auto" w:fill="D9E2F3"/>
            <w:noWrap/>
            <w:vAlign w:val="center"/>
          </w:tcPr>
          <w:p w14:paraId="23C96C3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美国</w:t>
            </w:r>
          </w:p>
        </w:tc>
      </w:tr>
      <w:tr w:rsidR="006B10D9" w14:paraId="69858751"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137B336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2</w:t>
            </w:r>
          </w:p>
        </w:tc>
        <w:tc>
          <w:tcPr>
            <w:tcW w:w="1032" w:type="dxa"/>
            <w:noWrap/>
            <w:vAlign w:val="center"/>
          </w:tcPr>
          <w:p w14:paraId="786F753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日本</w:t>
            </w:r>
          </w:p>
        </w:tc>
        <w:tc>
          <w:tcPr>
            <w:tcW w:w="1080" w:type="dxa"/>
            <w:noWrap/>
            <w:vAlign w:val="center"/>
          </w:tcPr>
          <w:p w14:paraId="66F0CE4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白俄罗斯</w:t>
            </w:r>
          </w:p>
        </w:tc>
        <w:tc>
          <w:tcPr>
            <w:tcW w:w="1080" w:type="dxa"/>
            <w:noWrap/>
            <w:vAlign w:val="center"/>
          </w:tcPr>
          <w:p w14:paraId="3F2675C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尼日尔</w:t>
            </w:r>
          </w:p>
        </w:tc>
        <w:tc>
          <w:tcPr>
            <w:tcW w:w="1332" w:type="dxa"/>
            <w:noWrap/>
            <w:vAlign w:val="center"/>
          </w:tcPr>
          <w:p w14:paraId="4182048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c>
          <w:tcPr>
            <w:tcW w:w="900" w:type="dxa"/>
            <w:noWrap/>
            <w:vAlign w:val="center"/>
          </w:tcPr>
          <w:p w14:paraId="33F56F3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c>
          <w:tcPr>
            <w:tcW w:w="1308" w:type="dxa"/>
            <w:noWrap/>
            <w:vAlign w:val="center"/>
          </w:tcPr>
          <w:p w14:paraId="69B84A3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孟加拉国</w:t>
            </w:r>
          </w:p>
        </w:tc>
        <w:tc>
          <w:tcPr>
            <w:tcW w:w="1116" w:type="dxa"/>
            <w:noWrap/>
            <w:vAlign w:val="center"/>
          </w:tcPr>
          <w:p w14:paraId="5E04643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卢森堡</w:t>
            </w:r>
          </w:p>
        </w:tc>
      </w:tr>
      <w:tr w:rsidR="006B10D9" w14:paraId="15E8CCB2"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42A5198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3</w:t>
            </w:r>
          </w:p>
        </w:tc>
        <w:tc>
          <w:tcPr>
            <w:tcW w:w="1032" w:type="dxa"/>
            <w:shd w:val="clear" w:color="auto" w:fill="D9E2F3"/>
            <w:noWrap/>
            <w:vAlign w:val="center"/>
          </w:tcPr>
          <w:p w14:paraId="52D00CA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德国</w:t>
            </w:r>
          </w:p>
        </w:tc>
        <w:tc>
          <w:tcPr>
            <w:tcW w:w="1080" w:type="dxa"/>
            <w:shd w:val="clear" w:color="auto" w:fill="D9E2F3"/>
            <w:noWrap/>
            <w:vAlign w:val="center"/>
          </w:tcPr>
          <w:p w14:paraId="1281611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尼日尔</w:t>
            </w:r>
          </w:p>
        </w:tc>
        <w:tc>
          <w:tcPr>
            <w:tcW w:w="1080" w:type="dxa"/>
            <w:shd w:val="clear" w:color="auto" w:fill="D9E2F3"/>
            <w:noWrap/>
            <w:vAlign w:val="center"/>
          </w:tcPr>
          <w:p w14:paraId="0877939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沙特阿拉伯</w:t>
            </w:r>
          </w:p>
        </w:tc>
        <w:tc>
          <w:tcPr>
            <w:tcW w:w="1332" w:type="dxa"/>
            <w:shd w:val="clear" w:color="auto" w:fill="D9E2F3"/>
            <w:noWrap/>
            <w:vAlign w:val="center"/>
          </w:tcPr>
          <w:p w14:paraId="6E64E91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马耳他</w:t>
            </w:r>
          </w:p>
        </w:tc>
        <w:tc>
          <w:tcPr>
            <w:tcW w:w="900" w:type="dxa"/>
            <w:shd w:val="clear" w:color="auto" w:fill="D9E2F3"/>
            <w:noWrap/>
            <w:vAlign w:val="center"/>
          </w:tcPr>
          <w:p w14:paraId="304EA87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爱尔兰</w:t>
            </w:r>
          </w:p>
        </w:tc>
        <w:tc>
          <w:tcPr>
            <w:tcW w:w="1308" w:type="dxa"/>
            <w:shd w:val="clear" w:color="auto" w:fill="D9E2F3"/>
            <w:noWrap/>
            <w:vAlign w:val="center"/>
          </w:tcPr>
          <w:p w14:paraId="54A0BA6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亚美尼亚</w:t>
            </w:r>
          </w:p>
        </w:tc>
        <w:tc>
          <w:tcPr>
            <w:tcW w:w="1116" w:type="dxa"/>
            <w:shd w:val="clear" w:color="auto" w:fill="D9E2F3"/>
            <w:noWrap/>
            <w:vAlign w:val="center"/>
          </w:tcPr>
          <w:p w14:paraId="351C334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爱尔兰</w:t>
            </w:r>
          </w:p>
        </w:tc>
      </w:tr>
      <w:tr w:rsidR="006B10D9" w14:paraId="4E53CF03"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1F01733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4</w:t>
            </w:r>
          </w:p>
        </w:tc>
        <w:tc>
          <w:tcPr>
            <w:tcW w:w="1032" w:type="dxa"/>
            <w:noWrap/>
            <w:vAlign w:val="center"/>
          </w:tcPr>
          <w:p w14:paraId="15AE322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印度</w:t>
            </w:r>
          </w:p>
        </w:tc>
        <w:tc>
          <w:tcPr>
            <w:tcW w:w="1080" w:type="dxa"/>
            <w:noWrap/>
            <w:vAlign w:val="center"/>
          </w:tcPr>
          <w:p w14:paraId="56C6602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老挝</w:t>
            </w:r>
          </w:p>
        </w:tc>
        <w:tc>
          <w:tcPr>
            <w:tcW w:w="1080" w:type="dxa"/>
            <w:noWrap/>
            <w:vAlign w:val="center"/>
          </w:tcPr>
          <w:p w14:paraId="1363802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阿联酋</w:t>
            </w:r>
          </w:p>
        </w:tc>
        <w:tc>
          <w:tcPr>
            <w:tcW w:w="1332" w:type="dxa"/>
            <w:noWrap/>
            <w:vAlign w:val="center"/>
          </w:tcPr>
          <w:p w14:paraId="6B39072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爱尔兰</w:t>
            </w:r>
          </w:p>
        </w:tc>
        <w:tc>
          <w:tcPr>
            <w:tcW w:w="900" w:type="dxa"/>
            <w:noWrap/>
            <w:vAlign w:val="center"/>
          </w:tcPr>
          <w:p w14:paraId="05D5387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c>
          <w:tcPr>
            <w:tcW w:w="1308" w:type="dxa"/>
            <w:noWrap/>
            <w:vAlign w:val="center"/>
          </w:tcPr>
          <w:p w14:paraId="5FE4157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柬埔寨</w:t>
            </w:r>
          </w:p>
        </w:tc>
        <w:tc>
          <w:tcPr>
            <w:tcW w:w="1116" w:type="dxa"/>
            <w:noWrap/>
            <w:vAlign w:val="center"/>
          </w:tcPr>
          <w:p w14:paraId="4C17F66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r>
      <w:tr w:rsidR="006B10D9" w14:paraId="10E839E8"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003995E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5</w:t>
            </w:r>
          </w:p>
        </w:tc>
        <w:tc>
          <w:tcPr>
            <w:tcW w:w="1032" w:type="dxa"/>
            <w:shd w:val="clear" w:color="auto" w:fill="D9E2F3"/>
            <w:noWrap/>
            <w:vAlign w:val="center"/>
          </w:tcPr>
          <w:p w14:paraId="3C37D93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英国</w:t>
            </w:r>
          </w:p>
        </w:tc>
        <w:tc>
          <w:tcPr>
            <w:tcW w:w="1080" w:type="dxa"/>
            <w:shd w:val="clear" w:color="auto" w:fill="D9E2F3"/>
            <w:noWrap/>
            <w:vAlign w:val="center"/>
          </w:tcPr>
          <w:p w14:paraId="4595E6B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柬埔寨</w:t>
            </w:r>
          </w:p>
        </w:tc>
        <w:tc>
          <w:tcPr>
            <w:tcW w:w="1080" w:type="dxa"/>
            <w:shd w:val="clear" w:color="auto" w:fill="D9E2F3"/>
            <w:noWrap/>
            <w:vAlign w:val="center"/>
          </w:tcPr>
          <w:p w14:paraId="22C0850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卡塔尔</w:t>
            </w:r>
          </w:p>
        </w:tc>
        <w:tc>
          <w:tcPr>
            <w:tcW w:w="1332" w:type="dxa"/>
            <w:shd w:val="clear" w:color="auto" w:fill="D9E2F3"/>
            <w:noWrap/>
            <w:vAlign w:val="center"/>
          </w:tcPr>
          <w:p w14:paraId="4EBCE84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越南</w:t>
            </w:r>
          </w:p>
        </w:tc>
        <w:tc>
          <w:tcPr>
            <w:tcW w:w="900" w:type="dxa"/>
            <w:shd w:val="clear" w:color="auto" w:fill="D9E2F3"/>
            <w:noWrap/>
            <w:vAlign w:val="center"/>
          </w:tcPr>
          <w:p w14:paraId="40282AE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冰岛</w:t>
            </w:r>
          </w:p>
        </w:tc>
        <w:tc>
          <w:tcPr>
            <w:tcW w:w="1308" w:type="dxa"/>
            <w:shd w:val="clear" w:color="auto" w:fill="D9E2F3"/>
            <w:noWrap/>
            <w:vAlign w:val="center"/>
          </w:tcPr>
          <w:p w14:paraId="6003FAA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越南</w:t>
            </w:r>
          </w:p>
        </w:tc>
        <w:tc>
          <w:tcPr>
            <w:tcW w:w="1116" w:type="dxa"/>
            <w:shd w:val="clear" w:color="auto" w:fill="D9E2F3"/>
            <w:noWrap/>
            <w:vAlign w:val="center"/>
          </w:tcPr>
          <w:p w14:paraId="13B48F4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瑞士</w:t>
            </w:r>
          </w:p>
        </w:tc>
      </w:tr>
      <w:tr w:rsidR="006B10D9" w14:paraId="0BDF2C41"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380240D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6</w:t>
            </w:r>
          </w:p>
        </w:tc>
        <w:tc>
          <w:tcPr>
            <w:tcW w:w="1032" w:type="dxa"/>
            <w:noWrap/>
            <w:vAlign w:val="center"/>
          </w:tcPr>
          <w:p w14:paraId="497E3D7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法国</w:t>
            </w:r>
          </w:p>
        </w:tc>
        <w:tc>
          <w:tcPr>
            <w:tcW w:w="1080" w:type="dxa"/>
            <w:noWrap/>
            <w:vAlign w:val="center"/>
          </w:tcPr>
          <w:p w14:paraId="0B09C5E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泰国</w:t>
            </w:r>
          </w:p>
        </w:tc>
        <w:tc>
          <w:tcPr>
            <w:tcW w:w="1080" w:type="dxa"/>
            <w:noWrap/>
            <w:vAlign w:val="center"/>
          </w:tcPr>
          <w:p w14:paraId="10F9A1BC"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巴拿马</w:t>
            </w:r>
          </w:p>
        </w:tc>
        <w:tc>
          <w:tcPr>
            <w:tcW w:w="1332" w:type="dxa"/>
            <w:noWrap/>
            <w:vAlign w:val="center"/>
          </w:tcPr>
          <w:p w14:paraId="53BE5DF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匈牙利</w:t>
            </w:r>
          </w:p>
        </w:tc>
        <w:tc>
          <w:tcPr>
            <w:tcW w:w="900" w:type="dxa"/>
            <w:noWrap/>
            <w:vAlign w:val="center"/>
          </w:tcPr>
          <w:p w14:paraId="4927E78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美国</w:t>
            </w:r>
          </w:p>
        </w:tc>
        <w:tc>
          <w:tcPr>
            <w:tcW w:w="1308" w:type="dxa"/>
            <w:noWrap/>
            <w:vAlign w:val="center"/>
          </w:tcPr>
          <w:p w14:paraId="1AEA309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塔吉克斯坦</w:t>
            </w:r>
          </w:p>
        </w:tc>
        <w:tc>
          <w:tcPr>
            <w:tcW w:w="1116" w:type="dxa"/>
            <w:noWrap/>
            <w:vAlign w:val="center"/>
          </w:tcPr>
          <w:p w14:paraId="2556BEB7"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德国</w:t>
            </w:r>
          </w:p>
        </w:tc>
      </w:tr>
      <w:tr w:rsidR="006B10D9" w14:paraId="57E55768"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0BB16ED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lastRenderedPageBreak/>
              <w:t>7</w:t>
            </w:r>
          </w:p>
        </w:tc>
        <w:tc>
          <w:tcPr>
            <w:tcW w:w="1032" w:type="dxa"/>
            <w:shd w:val="clear" w:color="auto" w:fill="D9E2F3"/>
            <w:noWrap/>
            <w:vAlign w:val="center"/>
          </w:tcPr>
          <w:p w14:paraId="30F4FA0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意大利</w:t>
            </w:r>
          </w:p>
        </w:tc>
        <w:tc>
          <w:tcPr>
            <w:tcW w:w="1080" w:type="dxa"/>
            <w:shd w:val="clear" w:color="auto" w:fill="D9E2F3"/>
            <w:noWrap/>
            <w:vAlign w:val="center"/>
          </w:tcPr>
          <w:p w14:paraId="4129B26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马达加斯加</w:t>
            </w:r>
          </w:p>
        </w:tc>
        <w:tc>
          <w:tcPr>
            <w:tcW w:w="1080" w:type="dxa"/>
            <w:shd w:val="clear" w:color="auto" w:fill="D9E2F3"/>
            <w:noWrap/>
            <w:vAlign w:val="center"/>
          </w:tcPr>
          <w:p w14:paraId="77AE89B6"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伊拉克</w:t>
            </w:r>
          </w:p>
        </w:tc>
        <w:tc>
          <w:tcPr>
            <w:tcW w:w="1332" w:type="dxa"/>
            <w:shd w:val="clear" w:color="auto" w:fill="D9E2F3"/>
            <w:noWrap/>
            <w:vAlign w:val="center"/>
          </w:tcPr>
          <w:p w14:paraId="7DE5F8F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阿联酋</w:t>
            </w:r>
          </w:p>
        </w:tc>
        <w:tc>
          <w:tcPr>
            <w:tcW w:w="900" w:type="dxa"/>
            <w:shd w:val="clear" w:color="auto" w:fill="D9E2F3"/>
            <w:noWrap/>
            <w:vAlign w:val="center"/>
          </w:tcPr>
          <w:p w14:paraId="7A8CDA4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新加坡</w:t>
            </w:r>
          </w:p>
        </w:tc>
        <w:tc>
          <w:tcPr>
            <w:tcW w:w="1308" w:type="dxa"/>
            <w:shd w:val="clear" w:color="auto" w:fill="D9E2F3"/>
            <w:noWrap/>
            <w:vAlign w:val="center"/>
          </w:tcPr>
          <w:p w14:paraId="089F62D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乌干达</w:t>
            </w:r>
          </w:p>
        </w:tc>
        <w:tc>
          <w:tcPr>
            <w:tcW w:w="1116" w:type="dxa"/>
            <w:shd w:val="clear" w:color="auto" w:fill="D9E2F3"/>
            <w:noWrap/>
            <w:vAlign w:val="center"/>
          </w:tcPr>
          <w:p w14:paraId="65A0764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挪威</w:t>
            </w:r>
          </w:p>
        </w:tc>
      </w:tr>
      <w:tr w:rsidR="006B10D9" w14:paraId="229643AE"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145708AD"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8</w:t>
            </w:r>
          </w:p>
        </w:tc>
        <w:tc>
          <w:tcPr>
            <w:tcW w:w="1032" w:type="dxa"/>
            <w:noWrap/>
            <w:vAlign w:val="center"/>
          </w:tcPr>
          <w:p w14:paraId="69F48AC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巴西</w:t>
            </w:r>
          </w:p>
        </w:tc>
        <w:tc>
          <w:tcPr>
            <w:tcW w:w="1080" w:type="dxa"/>
            <w:noWrap/>
            <w:vAlign w:val="center"/>
          </w:tcPr>
          <w:p w14:paraId="657D858E"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乌干达</w:t>
            </w:r>
          </w:p>
        </w:tc>
        <w:tc>
          <w:tcPr>
            <w:tcW w:w="1080" w:type="dxa"/>
            <w:noWrap/>
            <w:vAlign w:val="center"/>
          </w:tcPr>
          <w:p w14:paraId="1B79837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阿曼</w:t>
            </w:r>
          </w:p>
        </w:tc>
        <w:tc>
          <w:tcPr>
            <w:tcW w:w="1332" w:type="dxa"/>
            <w:noWrap/>
            <w:vAlign w:val="center"/>
          </w:tcPr>
          <w:p w14:paraId="1FB413E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斯洛文尼亚</w:t>
            </w:r>
          </w:p>
        </w:tc>
        <w:tc>
          <w:tcPr>
            <w:tcW w:w="900" w:type="dxa"/>
            <w:noWrap/>
            <w:vAlign w:val="center"/>
          </w:tcPr>
          <w:p w14:paraId="5A6CC2A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卡塔尔</w:t>
            </w:r>
          </w:p>
        </w:tc>
        <w:tc>
          <w:tcPr>
            <w:tcW w:w="1308" w:type="dxa"/>
            <w:noWrap/>
            <w:vAlign w:val="center"/>
          </w:tcPr>
          <w:p w14:paraId="1973BDC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加纳</w:t>
            </w:r>
          </w:p>
        </w:tc>
        <w:tc>
          <w:tcPr>
            <w:tcW w:w="1116" w:type="dxa"/>
            <w:noWrap/>
            <w:vAlign w:val="center"/>
          </w:tcPr>
          <w:p w14:paraId="08438D7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日本</w:t>
            </w:r>
          </w:p>
        </w:tc>
      </w:tr>
      <w:tr w:rsidR="006B10D9" w14:paraId="09EC10E6"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79AF27F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9</w:t>
            </w:r>
          </w:p>
        </w:tc>
        <w:tc>
          <w:tcPr>
            <w:tcW w:w="1032" w:type="dxa"/>
            <w:shd w:val="clear" w:color="auto" w:fill="D9E2F3"/>
            <w:noWrap/>
            <w:vAlign w:val="center"/>
          </w:tcPr>
          <w:p w14:paraId="4F9C88E4"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加拿大</w:t>
            </w:r>
          </w:p>
        </w:tc>
        <w:tc>
          <w:tcPr>
            <w:tcW w:w="1080" w:type="dxa"/>
            <w:shd w:val="clear" w:color="auto" w:fill="D9E2F3"/>
            <w:noWrap/>
            <w:vAlign w:val="center"/>
          </w:tcPr>
          <w:p w14:paraId="433C7728"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坦桑尼亚</w:t>
            </w:r>
          </w:p>
        </w:tc>
        <w:tc>
          <w:tcPr>
            <w:tcW w:w="1080" w:type="dxa"/>
            <w:shd w:val="clear" w:color="auto" w:fill="D9E2F3"/>
            <w:noWrap/>
            <w:vAlign w:val="center"/>
          </w:tcPr>
          <w:p w14:paraId="01B41BB1"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摩洛哥</w:t>
            </w:r>
          </w:p>
        </w:tc>
        <w:tc>
          <w:tcPr>
            <w:tcW w:w="1332" w:type="dxa"/>
            <w:shd w:val="clear" w:color="auto" w:fill="D9E2F3"/>
            <w:noWrap/>
            <w:vAlign w:val="center"/>
          </w:tcPr>
          <w:p w14:paraId="759706D3"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c>
          <w:tcPr>
            <w:tcW w:w="900" w:type="dxa"/>
            <w:shd w:val="clear" w:color="auto" w:fill="D9E2F3"/>
            <w:noWrap/>
            <w:vAlign w:val="center"/>
          </w:tcPr>
          <w:p w14:paraId="3DEDCF55"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丹麦</w:t>
            </w:r>
          </w:p>
        </w:tc>
        <w:tc>
          <w:tcPr>
            <w:tcW w:w="1308" w:type="dxa"/>
            <w:shd w:val="clear" w:color="auto" w:fill="D9E2F3"/>
            <w:noWrap/>
            <w:vAlign w:val="center"/>
          </w:tcPr>
          <w:p w14:paraId="6737B20A"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菲律宾</w:t>
            </w:r>
          </w:p>
        </w:tc>
        <w:tc>
          <w:tcPr>
            <w:tcW w:w="1116" w:type="dxa"/>
            <w:shd w:val="clear" w:color="auto" w:fill="D9E2F3"/>
            <w:noWrap/>
            <w:vAlign w:val="center"/>
          </w:tcPr>
          <w:p w14:paraId="5EB6126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荷兰</w:t>
            </w:r>
          </w:p>
        </w:tc>
      </w:tr>
      <w:tr w:rsidR="006B10D9" w14:paraId="13254881" w14:textId="77777777" w:rsidTr="006B10D9">
        <w:trPr>
          <w:trHeight w:val="264"/>
        </w:trPr>
        <w:tc>
          <w:tcPr>
            <w:cnfStyle w:val="001000000000" w:firstRow="0" w:lastRow="0" w:firstColumn="1" w:lastColumn="0" w:oddVBand="0" w:evenVBand="0" w:oddHBand="0" w:evenHBand="0" w:firstRowFirstColumn="0" w:firstRowLastColumn="0" w:lastRowFirstColumn="0" w:lastRowLastColumn="0"/>
            <w:tcW w:w="893" w:type="dxa"/>
            <w:noWrap/>
            <w:vAlign w:val="center"/>
          </w:tcPr>
          <w:p w14:paraId="4050EC1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center"/>
              <w:textAlignment w:val="bottom"/>
              <w:rPr>
                <w:rFonts w:eastAsia="宋体" w:cs="Arial"/>
                <w:color w:val="000000"/>
                <w:sz w:val="21"/>
                <w:szCs w:val="21"/>
              </w:rPr>
            </w:pPr>
            <w:r>
              <w:rPr>
                <w:rFonts w:eastAsia="宋体" w:cs="Arial"/>
                <w:color w:val="000000"/>
                <w:kern w:val="0"/>
                <w:sz w:val="21"/>
                <w:szCs w:val="21"/>
                <w:lang w:bidi="ar"/>
              </w:rPr>
              <w:t>10</w:t>
            </w:r>
          </w:p>
        </w:tc>
        <w:tc>
          <w:tcPr>
            <w:tcW w:w="1032" w:type="dxa"/>
            <w:noWrap/>
            <w:vAlign w:val="center"/>
          </w:tcPr>
          <w:p w14:paraId="7B7F2D5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俄罗斯</w:t>
            </w:r>
          </w:p>
        </w:tc>
        <w:tc>
          <w:tcPr>
            <w:tcW w:w="1080" w:type="dxa"/>
            <w:noWrap/>
            <w:vAlign w:val="center"/>
          </w:tcPr>
          <w:p w14:paraId="58FA3DE9"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捷克</w:t>
            </w:r>
          </w:p>
        </w:tc>
        <w:tc>
          <w:tcPr>
            <w:tcW w:w="1080" w:type="dxa"/>
            <w:noWrap/>
            <w:vAlign w:val="center"/>
          </w:tcPr>
          <w:p w14:paraId="13260A8F"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厄瓜多尔</w:t>
            </w:r>
          </w:p>
        </w:tc>
        <w:tc>
          <w:tcPr>
            <w:tcW w:w="1332" w:type="dxa"/>
            <w:noWrap/>
            <w:vAlign w:val="center"/>
          </w:tcPr>
          <w:p w14:paraId="356FCD8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捷克</w:t>
            </w:r>
          </w:p>
        </w:tc>
        <w:tc>
          <w:tcPr>
            <w:tcW w:w="900" w:type="dxa"/>
            <w:noWrap/>
            <w:vAlign w:val="center"/>
          </w:tcPr>
          <w:p w14:paraId="1D2D0CD0"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澳大利亚</w:t>
            </w:r>
          </w:p>
        </w:tc>
        <w:tc>
          <w:tcPr>
            <w:tcW w:w="1308" w:type="dxa"/>
            <w:noWrap/>
            <w:vAlign w:val="center"/>
          </w:tcPr>
          <w:p w14:paraId="64514DB2"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尼日尔</w:t>
            </w:r>
          </w:p>
        </w:tc>
        <w:tc>
          <w:tcPr>
            <w:tcW w:w="1116" w:type="dxa"/>
            <w:noWrap/>
            <w:vAlign w:val="center"/>
          </w:tcPr>
          <w:p w14:paraId="1E1E801B" w14:textId="77777777" w:rsidR="006B10D9" w:rsidRDefault="00BE6472">
            <w:pPr>
              <w:widowControl/>
              <w:pBdr>
                <w:top w:val="none" w:sz="0" w:space="1" w:color="auto"/>
                <w:left w:val="none" w:sz="0" w:space="4" w:color="auto"/>
                <w:bottom w:val="none" w:sz="0" w:space="1" w:color="auto"/>
                <w:right w:val="none" w:sz="0" w:space="4" w:color="auto"/>
              </w:pBdr>
              <w:tabs>
                <w:tab w:val="center" w:pos="4153"/>
                <w:tab w:val="right" w:pos="8306"/>
              </w:tabs>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冰岛</w:t>
            </w:r>
          </w:p>
        </w:tc>
      </w:tr>
    </w:tbl>
    <w:p w14:paraId="185B3549" w14:textId="77777777" w:rsidR="006B10D9" w:rsidRDefault="006B10D9">
      <w:pPr>
        <w:snapToGrid w:val="0"/>
        <w:spacing w:line="240" w:lineRule="auto"/>
        <w:ind w:firstLineChars="0" w:firstLine="0"/>
      </w:pPr>
    </w:p>
    <w:p w14:paraId="7E1802BD"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4</w:t>
      </w:r>
      <w:r>
        <w:rPr>
          <w:rFonts w:eastAsia="宋体" w:cs="Times New Roman" w:hint="eastAsia"/>
          <w:sz w:val="24"/>
          <w:szCs w:val="24"/>
        </w:rPr>
        <w:t>）社会风险排名</w:t>
      </w:r>
    </w:p>
    <w:p w14:paraId="7A2E08F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社会风险排名上，发达经济体劳动力受教育水平普遍较高，能够提供适合企业发展的中高端人才，且对于资本和人员的流动限制较少（见表</w:t>
      </w:r>
      <w:r>
        <w:rPr>
          <w:rFonts w:eastAsia="宋体" w:cs="Times New Roman" w:hint="eastAsia"/>
          <w:sz w:val="24"/>
          <w:szCs w:val="24"/>
        </w:rPr>
        <w:t>13</w:t>
      </w:r>
      <w:r>
        <w:rPr>
          <w:rFonts w:eastAsia="宋体" w:cs="Times New Roman" w:hint="eastAsia"/>
          <w:sz w:val="24"/>
          <w:szCs w:val="24"/>
        </w:rPr>
        <w:t>）。缅甸、多哥、阿尔及利亚、吉尔吉斯斯坦、莫桑比克、伊拉克、苏丹、土库曼斯坦、塔吉克斯坦、尼日尔等国家社会风险较高，战乱和社会动荡带来的不安定因素会对外部投资造成极为不利影响。</w:t>
      </w:r>
    </w:p>
    <w:p w14:paraId="531AD2C2" w14:textId="77777777" w:rsidR="006B10D9" w:rsidRDefault="00BE6472">
      <w:pPr>
        <w:pStyle w:val="affd"/>
      </w:pPr>
      <w:r>
        <w:rPr>
          <w:rFonts w:hint="eastAsia"/>
        </w:rPr>
        <w:t>表</w:t>
      </w:r>
      <w:r>
        <w:rPr>
          <w:rFonts w:hint="eastAsia"/>
        </w:rPr>
        <w:t>13</w:t>
      </w:r>
      <w:r>
        <w:t xml:space="preserve"> </w:t>
      </w:r>
      <w:r>
        <w:rPr>
          <w:rFonts w:hint="eastAsia"/>
        </w:rPr>
        <w:t xml:space="preserve"> 2019</w:t>
      </w:r>
      <w:r>
        <w:rPr>
          <w:rFonts w:hint="eastAsia"/>
        </w:rPr>
        <w:t>年国别社会风险排名</w:t>
      </w:r>
    </w:p>
    <w:tbl>
      <w:tblPr>
        <w:tblStyle w:val="3-61"/>
        <w:tblW w:w="8471"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436"/>
        <w:gridCol w:w="1435"/>
        <w:gridCol w:w="1494"/>
        <w:gridCol w:w="1699"/>
        <w:gridCol w:w="1235"/>
      </w:tblGrid>
      <w:tr w:rsidR="006B10D9" w14:paraId="37E4B5F5" w14:textId="77777777" w:rsidTr="006B10D9">
        <w:trPr>
          <w:cnfStyle w:val="100000000000" w:firstRow="1" w:lastRow="0" w:firstColumn="0" w:lastColumn="0" w:oddVBand="0" w:evenVBand="0" w:oddHBand="0" w:evenHBand="0" w:firstRowFirstColumn="0" w:firstRowLastColumn="0" w:lastRowFirstColumn="0" w:lastRowLastColumn="0"/>
          <w:trHeight w:val="632"/>
        </w:trPr>
        <w:tc>
          <w:tcPr>
            <w:cnfStyle w:val="001000000100" w:firstRow="0" w:lastRow="0" w:firstColumn="1" w:lastColumn="0" w:oddVBand="0" w:evenVBand="0" w:oddHBand="0" w:evenHBand="0" w:firstRowFirstColumn="1" w:firstRowLastColumn="0" w:lastRowFirstColumn="0" w:lastRowLastColumn="0"/>
            <w:tcW w:w="1172" w:type="dxa"/>
            <w:tcBorders>
              <w:bottom w:val="nil"/>
            </w:tcBorders>
            <w:noWrap/>
            <w:vAlign w:val="center"/>
          </w:tcPr>
          <w:p w14:paraId="47142D06" w14:textId="77777777" w:rsidR="006B10D9" w:rsidRDefault="00BE6472">
            <w:pPr>
              <w:widowControl/>
              <w:snapToGrid w:val="0"/>
              <w:spacing w:before="100" w:line="312" w:lineRule="auto"/>
              <w:ind w:firstLineChars="0" w:firstLine="0"/>
              <w:jc w:val="center"/>
              <w:textAlignment w:val="bottom"/>
              <w:rPr>
                <w:rFonts w:eastAsia="宋体" w:cs="Arial"/>
                <w:b w:val="0"/>
                <w:bCs w:val="0"/>
                <w:color w:val="000000"/>
                <w:kern w:val="0"/>
                <w:sz w:val="21"/>
                <w:szCs w:val="20"/>
                <w:lang w:bidi="ar"/>
              </w:rPr>
            </w:pPr>
            <w:r>
              <w:rPr>
                <w:rFonts w:eastAsia="宋体" w:cs="Arial" w:hint="eastAsia"/>
                <w:b w:val="0"/>
                <w:bCs w:val="0"/>
                <w:color w:val="000000"/>
                <w:kern w:val="0"/>
                <w:sz w:val="21"/>
                <w:szCs w:val="20"/>
                <w:lang w:bidi="ar"/>
              </w:rPr>
              <w:t>社会风险</w:t>
            </w:r>
          </w:p>
          <w:p w14:paraId="6C102322" w14:textId="77777777" w:rsidR="006B10D9" w:rsidRDefault="00BE6472">
            <w:pPr>
              <w:widowControl/>
              <w:snapToGrid w:val="0"/>
              <w:spacing w:before="100" w:line="312" w:lineRule="auto"/>
              <w:ind w:firstLineChars="0" w:firstLine="0"/>
              <w:jc w:val="center"/>
              <w:textAlignment w:val="bottom"/>
              <w:rPr>
                <w:rFonts w:eastAsia="宋体" w:cs="Arial"/>
                <w:b w:val="0"/>
                <w:bCs w:val="0"/>
                <w:color w:val="000000"/>
                <w:sz w:val="21"/>
                <w:szCs w:val="20"/>
              </w:rPr>
            </w:pPr>
            <w:r>
              <w:rPr>
                <w:rFonts w:eastAsia="宋体" w:cs="Arial" w:hint="eastAsia"/>
                <w:b w:val="0"/>
                <w:bCs w:val="0"/>
                <w:color w:val="000000"/>
                <w:kern w:val="0"/>
                <w:sz w:val="21"/>
                <w:szCs w:val="20"/>
                <w:lang w:bidi="ar"/>
              </w:rPr>
              <w:t>得分排名</w:t>
            </w:r>
          </w:p>
        </w:tc>
        <w:tc>
          <w:tcPr>
            <w:tcW w:w="1436" w:type="dxa"/>
            <w:noWrap/>
            <w:vAlign w:val="center"/>
          </w:tcPr>
          <w:p w14:paraId="4220B508"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000000"/>
                <w:sz w:val="21"/>
                <w:szCs w:val="20"/>
              </w:rPr>
            </w:pPr>
            <w:r>
              <w:rPr>
                <w:rFonts w:eastAsia="宋体" w:cs="Arial" w:hint="eastAsia"/>
                <w:b w:val="0"/>
                <w:bCs w:val="0"/>
                <w:color w:val="000000"/>
                <w:sz w:val="21"/>
                <w:szCs w:val="20"/>
              </w:rPr>
              <w:t>教育水平</w:t>
            </w:r>
          </w:p>
        </w:tc>
        <w:tc>
          <w:tcPr>
            <w:tcW w:w="1435" w:type="dxa"/>
            <w:noWrap/>
            <w:vAlign w:val="center"/>
          </w:tcPr>
          <w:p w14:paraId="7BCDBA1C"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000000"/>
                <w:sz w:val="21"/>
                <w:szCs w:val="20"/>
              </w:rPr>
            </w:pPr>
            <w:r>
              <w:rPr>
                <w:rFonts w:eastAsia="宋体" w:cs="Arial" w:hint="eastAsia"/>
                <w:b w:val="0"/>
                <w:bCs w:val="0"/>
                <w:color w:val="000000"/>
                <w:kern w:val="0"/>
                <w:sz w:val="21"/>
                <w:szCs w:val="20"/>
                <w:lang w:bidi="ar"/>
              </w:rPr>
              <w:t>其他投资风险</w:t>
            </w:r>
          </w:p>
        </w:tc>
        <w:tc>
          <w:tcPr>
            <w:tcW w:w="1494" w:type="dxa"/>
            <w:noWrap/>
            <w:vAlign w:val="center"/>
          </w:tcPr>
          <w:p w14:paraId="1E69CBF2"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000000"/>
                <w:sz w:val="21"/>
                <w:szCs w:val="20"/>
              </w:rPr>
            </w:pPr>
            <w:r>
              <w:rPr>
                <w:rFonts w:eastAsia="宋体" w:cs="Arial" w:hint="eastAsia"/>
                <w:b w:val="0"/>
                <w:bCs w:val="0"/>
                <w:color w:val="000000"/>
                <w:kern w:val="0"/>
                <w:sz w:val="21"/>
                <w:szCs w:val="20"/>
                <w:lang w:bidi="ar"/>
              </w:rPr>
              <w:t>社会安全</w:t>
            </w:r>
          </w:p>
        </w:tc>
        <w:tc>
          <w:tcPr>
            <w:tcW w:w="1699" w:type="dxa"/>
            <w:noWrap/>
            <w:vAlign w:val="center"/>
          </w:tcPr>
          <w:p w14:paraId="5BC1BB7C"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000000"/>
                <w:sz w:val="21"/>
                <w:szCs w:val="20"/>
              </w:rPr>
            </w:pPr>
            <w:r>
              <w:rPr>
                <w:rFonts w:eastAsia="宋体" w:cs="Arial" w:hint="eastAsia"/>
                <w:b w:val="0"/>
                <w:bCs w:val="0"/>
                <w:color w:val="000000"/>
                <w:sz w:val="21"/>
                <w:szCs w:val="20"/>
              </w:rPr>
              <w:t>资本和人员流动限制</w:t>
            </w:r>
          </w:p>
        </w:tc>
        <w:tc>
          <w:tcPr>
            <w:tcW w:w="1235" w:type="dxa"/>
            <w:noWrap/>
            <w:vAlign w:val="center"/>
          </w:tcPr>
          <w:p w14:paraId="32426335"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b w:val="0"/>
                <w:bCs w:val="0"/>
                <w:color w:val="000000"/>
                <w:sz w:val="21"/>
                <w:szCs w:val="20"/>
              </w:rPr>
            </w:pPr>
            <w:r>
              <w:rPr>
                <w:rFonts w:eastAsia="宋体" w:cs="Arial" w:hint="eastAsia"/>
                <w:b w:val="0"/>
                <w:bCs w:val="0"/>
                <w:color w:val="000000"/>
                <w:kern w:val="0"/>
                <w:sz w:val="21"/>
                <w:szCs w:val="20"/>
                <w:lang w:bidi="ar"/>
              </w:rPr>
              <w:t>综合得分</w:t>
            </w:r>
          </w:p>
        </w:tc>
      </w:tr>
      <w:tr w:rsidR="006B10D9" w14:paraId="6BAE13D4"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5C253957"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1</w:t>
            </w:r>
          </w:p>
        </w:tc>
        <w:tc>
          <w:tcPr>
            <w:tcW w:w="1436" w:type="dxa"/>
            <w:shd w:val="clear" w:color="auto" w:fill="E2EFD9"/>
            <w:noWrap/>
            <w:vAlign w:val="center"/>
          </w:tcPr>
          <w:p w14:paraId="1B15A76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爱尔兰</w:t>
            </w:r>
          </w:p>
        </w:tc>
        <w:tc>
          <w:tcPr>
            <w:tcW w:w="1435" w:type="dxa"/>
            <w:shd w:val="clear" w:color="auto" w:fill="E2EFD9"/>
            <w:noWrap/>
            <w:vAlign w:val="center"/>
          </w:tcPr>
          <w:p w14:paraId="28C50539"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爱尔兰</w:t>
            </w:r>
          </w:p>
        </w:tc>
        <w:tc>
          <w:tcPr>
            <w:tcW w:w="1494" w:type="dxa"/>
            <w:shd w:val="clear" w:color="auto" w:fill="E2EFD9"/>
            <w:noWrap/>
            <w:vAlign w:val="center"/>
          </w:tcPr>
          <w:p w14:paraId="2966228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新加坡</w:t>
            </w:r>
          </w:p>
        </w:tc>
        <w:tc>
          <w:tcPr>
            <w:tcW w:w="1699" w:type="dxa"/>
            <w:shd w:val="clear" w:color="auto" w:fill="E2EFD9"/>
            <w:noWrap/>
            <w:vAlign w:val="center"/>
          </w:tcPr>
          <w:p w14:paraId="4E46EE6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巴拿马</w:t>
            </w:r>
          </w:p>
        </w:tc>
        <w:tc>
          <w:tcPr>
            <w:tcW w:w="1235" w:type="dxa"/>
            <w:shd w:val="clear" w:color="auto" w:fill="E2EFD9"/>
            <w:noWrap/>
            <w:vAlign w:val="center"/>
          </w:tcPr>
          <w:p w14:paraId="1233E39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新加坡</w:t>
            </w:r>
          </w:p>
        </w:tc>
      </w:tr>
      <w:tr w:rsidR="006B10D9" w14:paraId="1EFCD859"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103BAA46"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2</w:t>
            </w:r>
          </w:p>
        </w:tc>
        <w:tc>
          <w:tcPr>
            <w:tcW w:w="1436" w:type="dxa"/>
            <w:noWrap/>
            <w:vAlign w:val="center"/>
          </w:tcPr>
          <w:p w14:paraId="5BFFF57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丹麦</w:t>
            </w:r>
          </w:p>
        </w:tc>
        <w:tc>
          <w:tcPr>
            <w:tcW w:w="1435" w:type="dxa"/>
            <w:noWrap/>
            <w:vAlign w:val="center"/>
          </w:tcPr>
          <w:p w14:paraId="05783B8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美国</w:t>
            </w:r>
          </w:p>
        </w:tc>
        <w:tc>
          <w:tcPr>
            <w:tcW w:w="1494" w:type="dxa"/>
            <w:noWrap/>
            <w:vAlign w:val="center"/>
          </w:tcPr>
          <w:p w14:paraId="70919D4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日本</w:t>
            </w:r>
          </w:p>
        </w:tc>
        <w:tc>
          <w:tcPr>
            <w:tcW w:w="1699" w:type="dxa"/>
            <w:noWrap/>
            <w:vAlign w:val="center"/>
          </w:tcPr>
          <w:p w14:paraId="1D4CE10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赞比亚</w:t>
            </w:r>
          </w:p>
        </w:tc>
        <w:tc>
          <w:tcPr>
            <w:tcW w:w="1235" w:type="dxa"/>
            <w:noWrap/>
            <w:vAlign w:val="center"/>
          </w:tcPr>
          <w:p w14:paraId="296190C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爱尔兰</w:t>
            </w:r>
          </w:p>
        </w:tc>
      </w:tr>
      <w:tr w:rsidR="006B10D9" w14:paraId="6AACE765"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650499EF"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3</w:t>
            </w:r>
          </w:p>
        </w:tc>
        <w:tc>
          <w:tcPr>
            <w:tcW w:w="1436" w:type="dxa"/>
            <w:shd w:val="clear" w:color="auto" w:fill="E2EFD9"/>
            <w:noWrap/>
            <w:vAlign w:val="center"/>
          </w:tcPr>
          <w:p w14:paraId="7C924A3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美国</w:t>
            </w:r>
          </w:p>
        </w:tc>
        <w:tc>
          <w:tcPr>
            <w:tcW w:w="1435" w:type="dxa"/>
            <w:shd w:val="clear" w:color="auto" w:fill="E2EFD9"/>
            <w:noWrap/>
            <w:vAlign w:val="center"/>
          </w:tcPr>
          <w:p w14:paraId="13367C3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新西兰</w:t>
            </w:r>
          </w:p>
        </w:tc>
        <w:tc>
          <w:tcPr>
            <w:tcW w:w="1494" w:type="dxa"/>
            <w:shd w:val="clear" w:color="auto" w:fill="E2EFD9"/>
            <w:noWrap/>
            <w:vAlign w:val="center"/>
          </w:tcPr>
          <w:p w14:paraId="2C475E0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阿曼</w:t>
            </w:r>
          </w:p>
        </w:tc>
        <w:tc>
          <w:tcPr>
            <w:tcW w:w="1699" w:type="dxa"/>
            <w:shd w:val="clear" w:color="auto" w:fill="E2EFD9"/>
            <w:noWrap/>
            <w:vAlign w:val="center"/>
          </w:tcPr>
          <w:p w14:paraId="48EE566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新加坡</w:t>
            </w:r>
          </w:p>
        </w:tc>
        <w:tc>
          <w:tcPr>
            <w:tcW w:w="1235" w:type="dxa"/>
            <w:shd w:val="clear" w:color="auto" w:fill="E2EFD9"/>
            <w:noWrap/>
            <w:vAlign w:val="center"/>
          </w:tcPr>
          <w:p w14:paraId="7A74B76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荷兰</w:t>
            </w:r>
          </w:p>
        </w:tc>
      </w:tr>
      <w:tr w:rsidR="006B10D9" w14:paraId="216471C2"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06360D00"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4</w:t>
            </w:r>
          </w:p>
        </w:tc>
        <w:tc>
          <w:tcPr>
            <w:tcW w:w="1436" w:type="dxa"/>
            <w:noWrap/>
            <w:vAlign w:val="center"/>
          </w:tcPr>
          <w:p w14:paraId="629D5D6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新西兰</w:t>
            </w:r>
          </w:p>
        </w:tc>
        <w:tc>
          <w:tcPr>
            <w:tcW w:w="1435" w:type="dxa"/>
            <w:noWrap/>
            <w:vAlign w:val="center"/>
          </w:tcPr>
          <w:p w14:paraId="4A158FF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加拿大</w:t>
            </w:r>
          </w:p>
        </w:tc>
        <w:tc>
          <w:tcPr>
            <w:tcW w:w="1494" w:type="dxa"/>
            <w:noWrap/>
            <w:vAlign w:val="center"/>
          </w:tcPr>
          <w:p w14:paraId="3841A6A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塞内加尔</w:t>
            </w:r>
          </w:p>
        </w:tc>
        <w:tc>
          <w:tcPr>
            <w:tcW w:w="1699" w:type="dxa"/>
            <w:noWrap/>
            <w:vAlign w:val="center"/>
          </w:tcPr>
          <w:p w14:paraId="49A2B13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乌干达</w:t>
            </w:r>
          </w:p>
        </w:tc>
        <w:tc>
          <w:tcPr>
            <w:tcW w:w="1235" w:type="dxa"/>
            <w:noWrap/>
            <w:vAlign w:val="center"/>
          </w:tcPr>
          <w:p w14:paraId="0175DB2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新西兰</w:t>
            </w:r>
          </w:p>
        </w:tc>
      </w:tr>
      <w:tr w:rsidR="006B10D9" w14:paraId="4D9D952C"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256CE11E"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5</w:t>
            </w:r>
          </w:p>
        </w:tc>
        <w:tc>
          <w:tcPr>
            <w:tcW w:w="1436" w:type="dxa"/>
            <w:shd w:val="clear" w:color="auto" w:fill="E2EFD9"/>
            <w:noWrap/>
            <w:vAlign w:val="center"/>
          </w:tcPr>
          <w:p w14:paraId="5D04FF5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韩国</w:t>
            </w:r>
          </w:p>
        </w:tc>
        <w:tc>
          <w:tcPr>
            <w:tcW w:w="1435" w:type="dxa"/>
            <w:shd w:val="clear" w:color="auto" w:fill="E2EFD9"/>
            <w:noWrap/>
            <w:vAlign w:val="center"/>
          </w:tcPr>
          <w:p w14:paraId="23C5BBF0"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瑞典</w:t>
            </w:r>
          </w:p>
        </w:tc>
        <w:tc>
          <w:tcPr>
            <w:tcW w:w="1494" w:type="dxa"/>
            <w:shd w:val="clear" w:color="auto" w:fill="E2EFD9"/>
            <w:noWrap/>
            <w:vAlign w:val="center"/>
          </w:tcPr>
          <w:p w14:paraId="73C7AED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卢森堡</w:t>
            </w:r>
          </w:p>
        </w:tc>
        <w:tc>
          <w:tcPr>
            <w:tcW w:w="1699" w:type="dxa"/>
            <w:shd w:val="clear" w:color="auto" w:fill="E2EFD9"/>
            <w:noWrap/>
            <w:vAlign w:val="center"/>
          </w:tcPr>
          <w:p w14:paraId="4E8C5BD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爱尔兰</w:t>
            </w:r>
          </w:p>
        </w:tc>
        <w:tc>
          <w:tcPr>
            <w:tcW w:w="1235" w:type="dxa"/>
            <w:shd w:val="clear" w:color="auto" w:fill="E2EFD9"/>
            <w:noWrap/>
            <w:vAlign w:val="center"/>
          </w:tcPr>
          <w:p w14:paraId="79ABC47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日本</w:t>
            </w:r>
          </w:p>
        </w:tc>
      </w:tr>
      <w:tr w:rsidR="006B10D9" w14:paraId="016DFA1A"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3170A7CE"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6</w:t>
            </w:r>
          </w:p>
        </w:tc>
        <w:tc>
          <w:tcPr>
            <w:tcW w:w="1436" w:type="dxa"/>
            <w:noWrap/>
            <w:vAlign w:val="center"/>
          </w:tcPr>
          <w:p w14:paraId="49E2561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冰岛</w:t>
            </w:r>
          </w:p>
        </w:tc>
        <w:tc>
          <w:tcPr>
            <w:tcW w:w="1435" w:type="dxa"/>
            <w:noWrap/>
            <w:vAlign w:val="center"/>
          </w:tcPr>
          <w:p w14:paraId="0B0E6CEE"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挪威</w:t>
            </w:r>
          </w:p>
        </w:tc>
        <w:tc>
          <w:tcPr>
            <w:tcW w:w="1494" w:type="dxa"/>
            <w:noWrap/>
            <w:vAlign w:val="center"/>
          </w:tcPr>
          <w:p w14:paraId="4375AA7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卡塔尔</w:t>
            </w:r>
          </w:p>
        </w:tc>
        <w:tc>
          <w:tcPr>
            <w:tcW w:w="1699" w:type="dxa"/>
            <w:noWrap/>
            <w:vAlign w:val="center"/>
          </w:tcPr>
          <w:p w14:paraId="141AA14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秘鲁</w:t>
            </w:r>
          </w:p>
        </w:tc>
        <w:tc>
          <w:tcPr>
            <w:tcW w:w="1235" w:type="dxa"/>
            <w:noWrap/>
            <w:vAlign w:val="center"/>
          </w:tcPr>
          <w:p w14:paraId="5CAA042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加拿大</w:t>
            </w:r>
          </w:p>
        </w:tc>
      </w:tr>
      <w:tr w:rsidR="006B10D9" w14:paraId="7A347AF9"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7320782E"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7</w:t>
            </w:r>
          </w:p>
        </w:tc>
        <w:tc>
          <w:tcPr>
            <w:tcW w:w="1436" w:type="dxa"/>
            <w:shd w:val="clear" w:color="auto" w:fill="E2EFD9"/>
            <w:noWrap/>
            <w:vAlign w:val="center"/>
          </w:tcPr>
          <w:p w14:paraId="3FAF7A8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澳大利亚</w:t>
            </w:r>
          </w:p>
        </w:tc>
        <w:tc>
          <w:tcPr>
            <w:tcW w:w="1435" w:type="dxa"/>
            <w:shd w:val="clear" w:color="auto" w:fill="E2EFD9"/>
            <w:noWrap/>
            <w:vAlign w:val="center"/>
          </w:tcPr>
          <w:p w14:paraId="49FBFE6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新加坡</w:t>
            </w:r>
          </w:p>
        </w:tc>
        <w:tc>
          <w:tcPr>
            <w:tcW w:w="1494" w:type="dxa"/>
            <w:shd w:val="clear" w:color="auto" w:fill="E2EFD9"/>
            <w:noWrap/>
            <w:vAlign w:val="center"/>
          </w:tcPr>
          <w:p w14:paraId="635CB20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印度尼西亚</w:t>
            </w:r>
          </w:p>
        </w:tc>
        <w:tc>
          <w:tcPr>
            <w:tcW w:w="1699" w:type="dxa"/>
            <w:shd w:val="clear" w:color="auto" w:fill="E2EFD9"/>
            <w:noWrap/>
            <w:vAlign w:val="center"/>
          </w:tcPr>
          <w:p w14:paraId="762792B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荷兰</w:t>
            </w:r>
          </w:p>
        </w:tc>
        <w:tc>
          <w:tcPr>
            <w:tcW w:w="1235" w:type="dxa"/>
            <w:shd w:val="clear" w:color="auto" w:fill="E2EFD9"/>
            <w:noWrap/>
            <w:vAlign w:val="center"/>
          </w:tcPr>
          <w:p w14:paraId="6735135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英国</w:t>
            </w:r>
          </w:p>
        </w:tc>
      </w:tr>
      <w:tr w:rsidR="006B10D9" w14:paraId="33B8EB67"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4A5E9865"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8</w:t>
            </w:r>
          </w:p>
        </w:tc>
        <w:tc>
          <w:tcPr>
            <w:tcW w:w="1436" w:type="dxa"/>
            <w:noWrap/>
            <w:vAlign w:val="center"/>
          </w:tcPr>
          <w:p w14:paraId="2A0930E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荷兰</w:t>
            </w:r>
          </w:p>
        </w:tc>
        <w:tc>
          <w:tcPr>
            <w:tcW w:w="1435" w:type="dxa"/>
            <w:noWrap/>
            <w:vAlign w:val="center"/>
          </w:tcPr>
          <w:p w14:paraId="3DA71D49"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澳大利亚</w:t>
            </w:r>
          </w:p>
        </w:tc>
        <w:tc>
          <w:tcPr>
            <w:tcW w:w="1494" w:type="dxa"/>
            <w:noWrap/>
            <w:vAlign w:val="center"/>
          </w:tcPr>
          <w:p w14:paraId="4F1B58E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阿联酋</w:t>
            </w:r>
          </w:p>
        </w:tc>
        <w:tc>
          <w:tcPr>
            <w:tcW w:w="1699" w:type="dxa"/>
            <w:noWrap/>
            <w:vAlign w:val="center"/>
          </w:tcPr>
          <w:p w14:paraId="672E788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乌拉圭</w:t>
            </w:r>
          </w:p>
        </w:tc>
        <w:tc>
          <w:tcPr>
            <w:tcW w:w="1235" w:type="dxa"/>
            <w:noWrap/>
            <w:vAlign w:val="center"/>
          </w:tcPr>
          <w:p w14:paraId="7CD2880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法国</w:t>
            </w:r>
          </w:p>
        </w:tc>
      </w:tr>
      <w:tr w:rsidR="006B10D9" w14:paraId="4C9A0A7C"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582BA243"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9</w:t>
            </w:r>
          </w:p>
        </w:tc>
        <w:tc>
          <w:tcPr>
            <w:tcW w:w="1436" w:type="dxa"/>
            <w:shd w:val="clear" w:color="auto" w:fill="E2EFD9"/>
            <w:noWrap/>
            <w:vAlign w:val="center"/>
          </w:tcPr>
          <w:p w14:paraId="1CFCC7F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加拿大</w:t>
            </w:r>
          </w:p>
        </w:tc>
        <w:tc>
          <w:tcPr>
            <w:tcW w:w="1435" w:type="dxa"/>
            <w:shd w:val="clear" w:color="auto" w:fill="E2EFD9"/>
            <w:noWrap/>
            <w:vAlign w:val="center"/>
          </w:tcPr>
          <w:p w14:paraId="28914B7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法国</w:t>
            </w:r>
          </w:p>
        </w:tc>
        <w:tc>
          <w:tcPr>
            <w:tcW w:w="1494" w:type="dxa"/>
            <w:shd w:val="clear" w:color="auto" w:fill="E2EFD9"/>
            <w:noWrap/>
            <w:vAlign w:val="center"/>
          </w:tcPr>
          <w:p w14:paraId="690804A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挪威</w:t>
            </w:r>
          </w:p>
        </w:tc>
        <w:tc>
          <w:tcPr>
            <w:tcW w:w="1699" w:type="dxa"/>
            <w:shd w:val="clear" w:color="auto" w:fill="E2EFD9"/>
            <w:noWrap/>
            <w:vAlign w:val="center"/>
          </w:tcPr>
          <w:p w14:paraId="73A7ED0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哥斯达黎加</w:t>
            </w:r>
          </w:p>
        </w:tc>
        <w:tc>
          <w:tcPr>
            <w:tcW w:w="1235" w:type="dxa"/>
            <w:shd w:val="clear" w:color="auto" w:fill="E2EFD9"/>
            <w:noWrap/>
            <w:vAlign w:val="center"/>
          </w:tcPr>
          <w:p w14:paraId="0C3E499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挪威</w:t>
            </w:r>
          </w:p>
        </w:tc>
      </w:tr>
      <w:tr w:rsidR="006B10D9" w14:paraId="3C4B59EF" w14:textId="77777777" w:rsidTr="006B10D9">
        <w:trPr>
          <w:trHeight w:val="262"/>
        </w:trPr>
        <w:tc>
          <w:tcPr>
            <w:cnfStyle w:val="001000000000" w:firstRow="0" w:lastRow="0" w:firstColumn="1" w:lastColumn="0" w:oddVBand="0" w:evenVBand="0" w:oddHBand="0" w:evenHBand="0" w:firstRowFirstColumn="0" w:firstRowLastColumn="0" w:lastRowFirstColumn="0" w:lastRowLastColumn="0"/>
            <w:tcW w:w="1172" w:type="dxa"/>
            <w:noWrap/>
            <w:vAlign w:val="center"/>
          </w:tcPr>
          <w:p w14:paraId="4C910EB6"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color w:val="000000"/>
                <w:kern w:val="0"/>
                <w:sz w:val="21"/>
                <w:szCs w:val="20"/>
                <w:lang w:bidi="ar"/>
              </w:rPr>
              <w:t>10</w:t>
            </w:r>
          </w:p>
        </w:tc>
        <w:tc>
          <w:tcPr>
            <w:tcW w:w="1436" w:type="dxa"/>
            <w:noWrap/>
            <w:vAlign w:val="center"/>
          </w:tcPr>
          <w:p w14:paraId="73EE49E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奥地利</w:t>
            </w:r>
          </w:p>
        </w:tc>
        <w:tc>
          <w:tcPr>
            <w:tcW w:w="1435" w:type="dxa"/>
            <w:noWrap/>
            <w:vAlign w:val="center"/>
          </w:tcPr>
          <w:p w14:paraId="1795674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瑞士</w:t>
            </w:r>
          </w:p>
        </w:tc>
        <w:tc>
          <w:tcPr>
            <w:tcW w:w="1494" w:type="dxa"/>
            <w:noWrap/>
            <w:vAlign w:val="center"/>
          </w:tcPr>
          <w:p w14:paraId="59A7D22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斯洛文尼亚</w:t>
            </w:r>
          </w:p>
        </w:tc>
        <w:tc>
          <w:tcPr>
            <w:tcW w:w="1699" w:type="dxa"/>
            <w:noWrap/>
            <w:vAlign w:val="center"/>
          </w:tcPr>
          <w:p w14:paraId="1636075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以色列</w:t>
            </w:r>
          </w:p>
        </w:tc>
        <w:tc>
          <w:tcPr>
            <w:tcW w:w="1235" w:type="dxa"/>
            <w:noWrap/>
            <w:vAlign w:val="center"/>
          </w:tcPr>
          <w:p w14:paraId="31C3B6D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意大利</w:t>
            </w:r>
          </w:p>
        </w:tc>
      </w:tr>
    </w:tbl>
    <w:p w14:paraId="31C60642" w14:textId="77777777" w:rsidR="006B10D9" w:rsidRDefault="006B10D9">
      <w:pPr>
        <w:snapToGrid w:val="0"/>
        <w:spacing w:line="240" w:lineRule="auto"/>
        <w:ind w:firstLineChars="0" w:firstLine="0"/>
      </w:pPr>
    </w:p>
    <w:p w14:paraId="14EAE30D"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5</w:t>
      </w:r>
      <w:r>
        <w:rPr>
          <w:rFonts w:eastAsia="宋体" w:cs="Times New Roman" w:hint="eastAsia"/>
          <w:sz w:val="24"/>
          <w:szCs w:val="24"/>
        </w:rPr>
        <w:t>）债务风险排名</w:t>
      </w:r>
    </w:p>
    <w:p w14:paraId="121531B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2019</w:t>
      </w:r>
      <w:r>
        <w:rPr>
          <w:rFonts w:eastAsia="宋体" w:cs="Times New Roman" w:hint="eastAsia"/>
          <w:sz w:val="24"/>
          <w:szCs w:val="24"/>
        </w:rPr>
        <w:t>年，发达经济体债务占全球债务一半以上，其中，美国和澳大利亚政府负债与国内生产总值比率创历史最高纪录。在新冠肺炎疫情暴发之前，公共债务水平普</w:t>
      </w:r>
      <w:r>
        <w:rPr>
          <w:rFonts w:eastAsia="宋体" w:cs="Times New Roman" w:hint="eastAsia"/>
          <w:sz w:val="24"/>
          <w:szCs w:val="24"/>
        </w:rPr>
        <w:lastRenderedPageBreak/>
        <w:t>遍上升已经引发全球关注。二十国集团响应世界银行与国际货币基金组织的呼吁，于</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4</w:t>
      </w:r>
      <w:r>
        <w:rPr>
          <w:rFonts w:eastAsia="宋体" w:cs="Times New Roman" w:hint="eastAsia"/>
          <w:sz w:val="24"/>
          <w:szCs w:val="24"/>
        </w:rPr>
        <w:t>月批准了《暂停偿债倡议》（</w:t>
      </w:r>
      <w:r>
        <w:rPr>
          <w:rFonts w:eastAsia="宋体" w:cs="Times New Roman" w:hint="eastAsia"/>
          <w:sz w:val="24"/>
          <w:szCs w:val="24"/>
        </w:rPr>
        <w:t>DSSI</w:t>
      </w:r>
      <w:r>
        <w:rPr>
          <w:rFonts w:eastAsia="宋体" w:cs="Times New Roman" w:hint="eastAsia"/>
          <w:sz w:val="24"/>
          <w:szCs w:val="24"/>
        </w:rPr>
        <w:t>），以帮助多达</w:t>
      </w:r>
      <w:r>
        <w:rPr>
          <w:rFonts w:eastAsia="宋体" w:cs="Times New Roman" w:hint="eastAsia"/>
          <w:sz w:val="24"/>
          <w:szCs w:val="24"/>
        </w:rPr>
        <w:t>73</w:t>
      </w:r>
      <w:r>
        <w:rPr>
          <w:rFonts w:eastAsia="宋体" w:cs="Times New Roman" w:hint="eastAsia"/>
          <w:sz w:val="24"/>
          <w:szCs w:val="24"/>
        </w:rPr>
        <w:t>个最贫困国家管控新冠肺炎疫情的影响，并开展合作以防范新冠肺炎疫情引发的主权债务危机风险上升。</w:t>
      </w:r>
    </w:p>
    <w:p w14:paraId="52219BC3" w14:textId="77777777" w:rsidR="006B10D9" w:rsidRDefault="00BE6472">
      <w:pPr>
        <w:pStyle w:val="affd"/>
      </w:pPr>
      <w:r>
        <w:rPr>
          <w:rFonts w:hint="eastAsia"/>
        </w:rPr>
        <w:t>表</w:t>
      </w:r>
      <w:r>
        <w:rPr>
          <w:rFonts w:hint="eastAsia"/>
        </w:rPr>
        <w:t>14  2019</w:t>
      </w:r>
      <w:r>
        <w:rPr>
          <w:rFonts w:hint="eastAsia"/>
        </w:rPr>
        <w:t>年国别债务风险排名</w:t>
      </w:r>
    </w:p>
    <w:tbl>
      <w:tblPr>
        <w:tblStyle w:val="3-21"/>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706"/>
        <w:gridCol w:w="1328"/>
        <w:gridCol w:w="1654"/>
        <w:gridCol w:w="1312"/>
        <w:gridCol w:w="1372"/>
      </w:tblGrid>
      <w:tr w:rsidR="006B10D9" w14:paraId="15D24537" w14:textId="77777777" w:rsidTr="006B10D9">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100" w:firstRow="0" w:lastRow="0" w:firstColumn="1" w:lastColumn="0" w:oddVBand="0" w:evenVBand="0" w:oddHBand="0" w:evenHBand="0" w:firstRowFirstColumn="1" w:firstRowLastColumn="0" w:lastRowFirstColumn="0" w:lastRowLastColumn="0"/>
            <w:tcW w:w="1345" w:type="dxa"/>
            <w:tcBorders>
              <w:bottom w:val="nil"/>
            </w:tcBorders>
            <w:noWrap/>
            <w:vAlign w:val="center"/>
          </w:tcPr>
          <w:p w14:paraId="6E6176F5"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1"/>
              </w:rPr>
            </w:pPr>
            <w:r>
              <w:rPr>
                <w:rFonts w:eastAsia="宋体" w:cs="Arial" w:hint="eastAsia"/>
                <w:color w:val="000000"/>
                <w:kern w:val="0"/>
                <w:sz w:val="21"/>
                <w:szCs w:val="21"/>
                <w:lang w:bidi="ar"/>
              </w:rPr>
              <w:t>债务风险</w:t>
            </w:r>
            <w:r>
              <w:rPr>
                <w:rFonts w:eastAsia="宋体" w:cs="Arial" w:hint="eastAsia"/>
                <w:color w:val="000000"/>
                <w:kern w:val="0"/>
                <w:sz w:val="21"/>
                <w:szCs w:val="21"/>
                <w:lang w:bidi="ar"/>
              </w:rPr>
              <w:t xml:space="preserve"> </w:t>
            </w:r>
            <w:r>
              <w:rPr>
                <w:rFonts w:eastAsia="宋体" w:cs="Arial"/>
                <w:color w:val="000000"/>
                <w:kern w:val="0"/>
                <w:sz w:val="21"/>
                <w:szCs w:val="21"/>
                <w:lang w:bidi="ar"/>
              </w:rPr>
              <w:t>得分排名</w:t>
            </w:r>
          </w:p>
        </w:tc>
        <w:tc>
          <w:tcPr>
            <w:tcW w:w="1706" w:type="dxa"/>
            <w:noWrap/>
            <w:vAlign w:val="center"/>
          </w:tcPr>
          <w:p w14:paraId="2C1D7D28"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1"/>
                <w:lang w:bidi="ar"/>
              </w:rPr>
            </w:pPr>
            <w:r>
              <w:rPr>
                <w:rFonts w:eastAsia="宋体" w:cs="Arial" w:hint="eastAsia"/>
                <w:color w:val="000000"/>
                <w:kern w:val="0"/>
                <w:sz w:val="21"/>
                <w:szCs w:val="21"/>
                <w:lang w:bidi="ar"/>
              </w:rPr>
              <w:t>公共债务</w:t>
            </w:r>
            <w:r>
              <w:rPr>
                <w:rFonts w:eastAsia="宋体" w:cs="Arial" w:hint="eastAsia"/>
                <w:color w:val="000000"/>
                <w:kern w:val="0"/>
                <w:sz w:val="21"/>
                <w:szCs w:val="21"/>
                <w:lang w:bidi="ar"/>
              </w:rPr>
              <w:t>/GDP</w:t>
            </w:r>
          </w:p>
        </w:tc>
        <w:tc>
          <w:tcPr>
            <w:tcW w:w="1328" w:type="dxa"/>
            <w:noWrap/>
            <w:vAlign w:val="center"/>
          </w:tcPr>
          <w:p w14:paraId="02572D98"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1"/>
                <w:lang w:bidi="ar"/>
              </w:rPr>
            </w:pPr>
            <w:r>
              <w:rPr>
                <w:rFonts w:eastAsia="宋体" w:cs="Arial" w:hint="eastAsia"/>
                <w:color w:val="000000"/>
                <w:kern w:val="0"/>
                <w:sz w:val="21"/>
                <w:szCs w:val="21"/>
                <w:lang w:bidi="ar"/>
              </w:rPr>
              <w:t>财政余额</w:t>
            </w:r>
            <w:r>
              <w:rPr>
                <w:rFonts w:eastAsia="宋体" w:cs="Arial" w:hint="eastAsia"/>
                <w:color w:val="000000"/>
                <w:kern w:val="0"/>
                <w:sz w:val="21"/>
                <w:szCs w:val="21"/>
                <w:lang w:bidi="ar"/>
              </w:rPr>
              <w:t>/GDP</w:t>
            </w:r>
          </w:p>
        </w:tc>
        <w:tc>
          <w:tcPr>
            <w:tcW w:w="1654" w:type="dxa"/>
            <w:noWrap/>
            <w:vAlign w:val="center"/>
          </w:tcPr>
          <w:p w14:paraId="657CCD53"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1"/>
                <w:lang w:bidi="ar"/>
              </w:rPr>
            </w:pPr>
            <w:r>
              <w:rPr>
                <w:rFonts w:eastAsia="宋体" w:cs="Arial" w:hint="eastAsia"/>
                <w:color w:val="000000"/>
                <w:kern w:val="0"/>
                <w:sz w:val="21"/>
                <w:szCs w:val="21"/>
                <w:lang w:bidi="ar"/>
              </w:rPr>
              <w:t>短期外债</w:t>
            </w:r>
            <w:r>
              <w:rPr>
                <w:rFonts w:eastAsia="宋体" w:cs="Arial" w:hint="eastAsia"/>
                <w:color w:val="000000"/>
                <w:kern w:val="0"/>
                <w:sz w:val="21"/>
                <w:szCs w:val="21"/>
                <w:lang w:bidi="ar"/>
              </w:rPr>
              <w:t>/</w:t>
            </w:r>
            <w:r>
              <w:rPr>
                <w:rFonts w:eastAsia="宋体" w:cs="Arial" w:hint="eastAsia"/>
                <w:color w:val="000000"/>
                <w:kern w:val="0"/>
                <w:sz w:val="21"/>
                <w:szCs w:val="21"/>
                <w:lang w:bidi="ar"/>
              </w:rPr>
              <w:t>总外债</w:t>
            </w:r>
          </w:p>
        </w:tc>
        <w:tc>
          <w:tcPr>
            <w:tcW w:w="1312" w:type="dxa"/>
            <w:noWrap/>
            <w:vAlign w:val="center"/>
          </w:tcPr>
          <w:p w14:paraId="7FDDD054"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1"/>
                <w:lang w:bidi="ar"/>
              </w:rPr>
            </w:pPr>
            <w:r>
              <w:rPr>
                <w:rFonts w:eastAsia="宋体" w:cs="Arial" w:hint="eastAsia"/>
                <w:color w:val="000000"/>
                <w:kern w:val="0"/>
                <w:sz w:val="21"/>
                <w:szCs w:val="21"/>
                <w:lang w:bidi="ar"/>
              </w:rPr>
              <w:t>外债</w:t>
            </w:r>
            <w:r>
              <w:rPr>
                <w:rFonts w:eastAsia="宋体" w:cs="Arial" w:hint="eastAsia"/>
                <w:color w:val="000000"/>
                <w:kern w:val="0"/>
                <w:sz w:val="21"/>
                <w:szCs w:val="21"/>
                <w:lang w:bidi="ar"/>
              </w:rPr>
              <w:t>/GDP</w:t>
            </w:r>
          </w:p>
        </w:tc>
        <w:tc>
          <w:tcPr>
            <w:tcW w:w="1372" w:type="dxa"/>
            <w:noWrap/>
            <w:vAlign w:val="center"/>
          </w:tcPr>
          <w:p w14:paraId="7B8E1BED"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1"/>
              </w:rPr>
            </w:pPr>
            <w:r>
              <w:rPr>
                <w:rFonts w:eastAsia="宋体" w:cs="Arial"/>
                <w:color w:val="000000"/>
                <w:kern w:val="0"/>
                <w:sz w:val="21"/>
                <w:szCs w:val="21"/>
                <w:lang w:bidi="ar"/>
              </w:rPr>
              <w:t>综合得分</w:t>
            </w:r>
          </w:p>
        </w:tc>
      </w:tr>
      <w:tr w:rsidR="006B10D9" w14:paraId="6643D889"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3EB61B08"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1</w:t>
            </w:r>
          </w:p>
        </w:tc>
        <w:tc>
          <w:tcPr>
            <w:tcW w:w="1706" w:type="dxa"/>
            <w:shd w:val="clear" w:color="auto" w:fill="FBE4D5"/>
            <w:noWrap/>
            <w:vAlign w:val="center"/>
          </w:tcPr>
          <w:p w14:paraId="6B37E9C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法国</w:t>
            </w:r>
          </w:p>
        </w:tc>
        <w:tc>
          <w:tcPr>
            <w:tcW w:w="1328" w:type="dxa"/>
            <w:shd w:val="clear" w:color="auto" w:fill="FBE4D5"/>
            <w:noWrap/>
            <w:vAlign w:val="center"/>
          </w:tcPr>
          <w:p w14:paraId="5B0F87E0"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挪威</w:t>
            </w:r>
          </w:p>
        </w:tc>
        <w:tc>
          <w:tcPr>
            <w:tcW w:w="1654" w:type="dxa"/>
            <w:shd w:val="clear" w:color="auto" w:fill="FBE4D5"/>
            <w:noWrap/>
            <w:vAlign w:val="center"/>
          </w:tcPr>
          <w:p w14:paraId="7DDC727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日本</w:t>
            </w:r>
          </w:p>
        </w:tc>
        <w:tc>
          <w:tcPr>
            <w:tcW w:w="1312" w:type="dxa"/>
            <w:shd w:val="clear" w:color="auto" w:fill="FBE4D5"/>
            <w:noWrap/>
            <w:vAlign w:val="center"/>
          </w:tcPr>
          <w:p w14:paraId="0D20341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卢森堡</w:t>
            </w:r>
          </w:p>
        </w:tc>
        <w:tc>
          <w:tcPr>
            <w:tcW w:w="1372" w:type="dxa"/>
            <w:shd w:val="clear" w:color="auto" w:fill="FBE4D5"/>
            <w:noWrap/>
            <w:vAlign w:val="center"/>
          </w:tcPr>
          <w:p w14:paraId="277C4A8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日本</w:t>
            </w:r>
          </w:p>
        </w:tc>
      </w:tr>
      <w:tr w:rsidR="006B10D9" w14:paraId="1D38AA09"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53D6E226"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2</w:t>
            </w:r>
          </w:p>
        </w:tc>
        <w:tc>
          <w:tcPr>
            <w:tcW w:w="1706" w:type="dxa"/>
            <w:noWrap/>
            <w:vAlign w:val="center"/>
          </w:tcPr>
          <w:p w14:paraId="75AEB899"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塞浦路斯</w:t>
            </w:r>
          </w:p>
        </w:tc>
        <w:tc>
          <w:tcPr>
            <w:tcW w:w="1328" w:type="dxa"/>
            <w:noWrap/>
            <w:vAlign w:val="center"/>
          </w:tcPr>
          <w:p w14:paraId="4AECBBE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科威特</w:t>
            </w:r>
          </w:p>
        </w:tc>
        <w:tc>
          <w:tcPr>
            <w:tcW w:w="1654" w:type="dxa"/>
            <w:noWrap/>
            <w:vAlign w:val="center"/>
          </w:tcPr>
          <w:p w14:paraId="76F112D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新加坡</w:t>
            </w:r>
          </w:p>
        </w:tc>
        <w:tc>
          <w:tcPr>
            <w:tcW w:w="1312" w:type="dxa"/>
            <w:noWrap/>
            <w:vAlign w:val="center"/>
          </w:tcPr>
          <w:p w14:paraId="196C82F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塞浦路斯</w:t>
            </w:r>
          </w:p>
        </w:tc>
        <w:tc>
          <w:tcPr>
            <w:tcW w:w="1372" w:type="dxa"/>
            <w:noWrap/>
            <w:vAlign w:val="center"/>
          </w:tcPr>
          <w:p w14:paraId="72EA2FC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苏丹</w:t>
            </w:r>
          </w:p>
        </w:tc>
      </w:tr>
      <w:tr w:rsidR="006B10D9" w14:paraId="219E7B6F"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21DFD7BD"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3</w:t>
            </w:r>
          </w:p>
        </w:tc>
        <w:tc>
          <w:tcPr>
            <w:tcW w:w="1706" w:type="dxa"/>
            <w:shd w:val="clear" w:color="auto" w:fill="FBE4D5"/>
            <w:noWrap/>
            <w:vAlign w:val="center"/>
          </w:tcPr>
          <w:p w14:paraId="2364378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西班牙</w:t>
            </w:r>
          </w:p>
        </w:tc>
        <w:tc>
          <w:tcPr>
            <w:tcW w:w="1328" w:type="dxa"/>
            <w:shd w:val="clear" w:color="auto" w:fill="FBE4D5"/>
            <w:noWrap/>
            <w:vAlign w:val="center"/>
          </w:tcPr>
          <w:p w14:paraId="56B386B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卡塔尔</w:t>
            </w:r>
          </w:p>
        </w:tc>
        <w:tc>
          <w:tcPr>
            <w:tcW w:w="1654" w:type="dxa"/>
            <w:shd w:val="clear" w:color="auto" w:fill="FBE4D5"/>
            <w:noWrap/>
            <w:vAlign w:val="center"/>
          </w:tcPr>
          <w:p w14:paraId="404415A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英国</w:t>
            </w:r>
          </w:p>
        </w:tc>
        <w:tc>
          <w:tcPr>
            <w:tcW w:w="1312" w:type="dxa"/>
            <w:shd w:val="clear" w:color="auto" w:fill="FBE4D5"/>
            <w:noWrap/>
            <w:vAlign w:val="center"/>
          </w:tcPr>
          <w:p w14:paraId="0EFFE5E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爱尔兰</w:t>
            </w:r>
          </w:p>
        </w:tc>
        <w:tc>
          <w:tcPr>
            <w:tcW w:w="1372" w:type="dxa"/>
            <w:shd w:val="clear" w:color="auto" w:fill="FBE4D5"/>
            <w:noWrap/>
            <w:vAlign w:val="center"/>
          </w:tcPr>
          <w:p w14:paraId="0A23FC9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希腊</w:t>
            </w:r>
          </w:p>
        </w:tc>
      </w:tr>
      <w:tr w:rsidR="006B10D9" w14:paraId="12F6AE9C"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57F222D8"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4</w:t>
            </w:r>
          </w:p>
        </w:tc>
        <w:tc>
          <w:tcPr>
            <w:tcW w:w="1706" w:type="dxa"/>
            <w:noWrap/>
            <w:vAlign w:val="center"/>
          </w:tcPr>
          <w:p w14:paraId="7F2FAA4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赞比亚</w:t>
            </w:r>
          </w:p>
        </w:tc>
        <w:tc>
          <w:tcPr>
            <w:tcW w:w="1328" w:type="dxa"/>
            <w:noWrap/>
            <w:vAlign w:val="center"/>
          </w:tcPr>
          <w:p w14:paraId="62A488F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新加坡</w:t>
            </w:r>
          </w:p>
        </w:tc>
        <w:tc>
          <w:tcPr>
            <w:tcW w:w="1654" w:type="dxa"/>
            <w:noWrap/>
            <w:vAlign w:val="center"/>
          </w:tcPr>
          <w:p w14:paraId="5D281D10"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伊朗</w:t>
            </w:r>
          </w:p>
        </w:tc>
        <w:tc>
          <w:tcPr>
            <w:tcW w:w="1312" w:type="dxa"/>
            <w:noWrap/>
            <w:vAlign w:val="center"/>
          </w:tcPr>
          <w:p w14:paraId="66EFCFC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马耳他</w:t>
            </w:r>
          </w:p>
        </w:tc>
        <w:tc>
          <w:tcPr>
            <w:tcW w:w="1372" w:type="dxa"/>
            <w:noWrap/>
            <w:vAlign w:val="center"/>
          </w:tcPr>
          <w:p w14:paraId="1902940E"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意大利</w:t>
            </w:r>
          </w:p>
        </w:tc>
      </w:tr>
      <w:tr w:rsidR="006B10D9" w14:paraId="6A545761"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1C956221"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5</w:t>
            </w:r>
          </w:p>
        </w:tc>
        <w:tc>
          <w:tcPr>
            <w:tcW w:w="1706" w:type="dxa"/>
            <w:shd w:val="clear" w:color="auto" w:fill="FBE4D5"/>
            <w:noWrap/>
            <w:vAlign w:val="center"/>
          </w:tcPr>
          <w:p w14:paraId="29E23C1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阿根廷</w:t>
            </w:r>
          </w:p>
        </w:tc>
        <w:tc>
          <w:tcPr>
            <w:tcW w:w="1328" w:type="dxa"/>
            <w:shd w:val="clear" w:color="auto" w:fill="FBE4D5"/>
            <w:noWrap/>
            <w:vAlign w:val="center"/>
          </w:tcPr>
          <w:p w14:paraId="67282FB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丹麦</w:t>
            </w:r>
          </w:p>
        </w:tc>
        <w:tc>
          <w:tcPr>
            <w:tcW w:w="1654" w:type="dxa"/>
            <w:shd w:val="clear" w:color="auto" w:fill="FBE4D5"/>
            <w:noWrap/>
            <w:vAlign w:val="center"/>
          </w:tcPr>
          <w:p w14:paraId="0BBB9F3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瑞士</w:t>
            </w:r>
          </w:p>
        </w:tc>
        <w:tc>
          <w:tcPr>
            <w:tcW w:w="1312" w:type="dxa"/>
            <w:shd w:val="clear" w:color="auto" w:fill="FBE4D5"/>
            <w:noWrap/>
            <w:vAlign w:val="center"/>
          </w:tcPr>
          <w:p w14:paraId="37D857C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荷兰</w:t>
            </w:r>
          </w:p>
        </w:tc>
        <w:tc>
          <w:tcPr>
            <w:tcW w:w="1372" w:type="dxa"/>
            <w:shd w:val="clear" w:color="auto" w:fill="FBE4D5"/>
            <w:noWrap/>
            <w:vAlign w:val="center"/>
          </w:tcPr>
          <w:p w14:paraId="01AD2440"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新加坡</w:t>
            </w:r>
          </w:p>
        </w:tc>
      </w:tr>
      <w:tr w:rsidR="006B10D9" w14:paraId="59B9627A"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40A923EB"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6</w:t>
            </w:r>
          </w:p>
        </w:tc>
        <w:tc>
          <w:tcPr>
            <w:tcW w:w="1706" w:type="dxa"/>
            <w:noWrap/>
            <w:vAlign w:val="center"/>
          </w:tcPr>
          <w:p w14:paraId="33D3CCA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巴西</w:t>
            </w:r>
          </w:p>
        </w:tc>
        <w:tc>
          <w:tcPr>
            <w:tcW w:w="1328" w:type="dxa"/>
            <w:noWrap/>
            <w:vAlign w:val="center"/>
          </w:tcPr>
          <w:p w14:paraId="5F5E29A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柬埔寨</w:t>
            </w:r>
          </w:p>
        </w:tc>
        <w:tc>
          <w:tcPr>
            <w:tcW w:w="1654" w:type="dxa"/>
            <w:noWrap/>
            <w:vAlign w:val="center"/>
          </w:tcPr>
          <w:p w14:paraId="3A7104D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科威特</w:t>
            </w:r>
          </w:p>
        </w:tc>
        <w:tc>
          <w:tcPr>
            <w:tcW w:w="1312" w:type="dxa"/>
            <w:noWrap/>
            <w:vAlign w:val="center"/>
          </w:tcPr>
          <w:p w14:paraId="1CD2D09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新加坡</w:t>
            </w:r>
          </w:p>
        </w:tc>
        <w:tc>
          <w:tcPr>
            <w:tcW w:w="1372" w:type="dxa"/>
            <w:noWrap/>
            <w:vAlign w:val="center"/>
          </w:tcPr>
          <w:p w14:paraId="5E9A1F8E"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葡萄牙</w:t>
            </w:r>
          </w:p>
        </w:tc>
      </w:tr>
      <w:tr w:rsidR="006B10D9" w14:paraId="367C79C8"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3803BEA2"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7</w:t>
            </w:r>
          </w:p>
        </w:tc>
        <w:tc>
          <w:tcPr>
            <w:tcW w:w="1706" w:type="dxa"/>
            <w:shd w:val="clear" w:color="auto" w:fill="FBE4D5"/>
            <w:noWrap/>
            <w:vAlign w:val="center"/>
          </w:tcPr>
          <w:p w14:paraId="02B51E4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加拿大</w:t>
            </w:r>
          </w:p>
        </w:tc>
        <w:tc>
          <w:tcPr>
            <w:tcW w:w="1328" w:type="dxa"/>
            <w:shd w:val="clear" w:color="auto" w:fill="FBE4D5"/>
            <w:noWrap/>
            <w:vAlign w:val="center"/>
          </w:tcPr>
          <w:p w14:paraId="7958347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卢森堡</w:t>
            </w:r>
          </w:p>
        </w:tc>
        <w:tc>
          <w:tcPr>
            <w:tcW w:w="1654" w:type="dxa"/>
            <w:shd w:val="clear" w:color="auto" w:fill="FBE4D5"/>
            <w:noWrap/>
            <w:vAlign w:val="center"/>
          </w:tcPr>
          <w:p w14:paraId="47E1471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捷克</w:t>
            </w:r>
          </w:p>
        </w:tc>
        <w:tc>
          <w:tcPr>
            <w:tcW w:w="1312" w:type="dxa"/>
            <w:shd w:val="clear" w:color="auto" w:fill="FBE4D5"/>
            <w:noWrap/>
            <w:vAlign w:val="center"/>
          </w:tcPr>
          <w:p w14:paraId="2871455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英国</w:t>
            </w:r>
          </w:p>
        </w:tc>
        <w:tc>
          <w:tcPr>
            <w:tcW w:w="1372" w:type="dxa"/>
            <w:shd w:val="clear" w:color="auto" w:fill="FBE4D5"/>
            <w:noWrap/>
            <w:vAlign w:val="center"/>
          </w:tcPr>
          <w:p w14:paraId="1C7E5B2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美国</w:t>
            </w:r>
          </w:p>
        </w:tc>
      </w:tr>
      <w:tr w:rsidR="006B10D9" w14:paraId="62A65CF1"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6058BC7B"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8</w:t>
            </w:r>
          </w:p>
        </w:tc>
        <w:tc>
          <w:tcPr>
            <w:tcW w:w="1706" w:type="dxa"/>
            <w:noWrap/>
            <w:vAlign w:val="center"/>
          </w:tcPr>
          <w:p w14:paraId="474397D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斯里兰卡</w:t>
            </w:r>
          </w:p>
        </w:tc>
        <w:tc>
          <w:tcPr>
            <w:tcW w:w="1328" w:type="dxa"/>
            <w:noWrap/>
            <w:vAlign w:val="center"/>
          </w:tcPr>
          <w:p w14:paraId="072424A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多哥</w:t>
            </w:r>
          </w:p>
        </w:tc>
        <w:tc>
          <w:tcPr>
            <w:tcW w:w="1654" w:type="dxa"/>
            <w:noWrap/>
            <w:vAlign w:val="center"/>
          </w:tcPr>
          <w:p w14:paraId="109F4B4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约旦</w:t>
            </w:r>
          </w:p>
        </w:tc>
        <w:tc>
          <w:tcPr>
            <w:tcW w:w="1312" w:type="dxa"/>
            <w:noWrap/>
            <w:vAlign w:val="center"/>
          </w:tcPr>
          <w:p w14:paraId="4A179B2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瑞士</w:t>
            </w:r>
          </w:p>
        </w:tc>
        <w:tc>
          <w:tcPr>
            <w:tcW w:w="1372" w:type="dxa"/>
            <w:noWrap/>
            <w:vAlign w:val="center"/>
          </w:tcPr>
          <w:p w14:paraId="06A77E5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巴林</w:t>
            </w:r>
          </w:p>
        </w:tc>
      </w:tr>
      <w:tr w:rsidR="006B10D9" w14:paraId="7D619744"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23487021"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9</w:t>
            </w:r>
          </w:p>
        </w:tc>
        <w:tc>
          <w:tcPr>
            <w:tcW w:w="1706" w:type="dxa"/>
            <w:shd w:val="clear" w:color="auto" w:fill="FBE4D5"/>
            <w:noWrap/>
            <w:vAlign w:val="center"/>
          </w:tcPr>
          <w:p w14:paraId="2D026F0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巴基斯坦</w:t>
            </w:r>
          </w:p>
        </w:tc>
        <w:tc>
          <w:tcPr>
            <w:tcW w:w="1328" w:type="dxa"/>
            <w:shd w:val="clear" w:color="auto" w:fill="FBE4D5"/>
            <w:noWrap/>
            <w:vAlign w:val="center"/>
          </w:tcPr>
          <w:p w14:paraId="5169BBC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俄罗斯</w:t>
            </w:r>
          </w:p>
        </w:tc>
        <w:tc>
          <w:tcPr>
            <w:tcW w:w="1654" w:type="dxa"/>
            <w:shd w:val="clear" w:color="auto" w:fill="FBE4D5"/>
            <w:noWrap/>
            <w:vAlign w:val="center"/>
          </w:tcPr>
          <w:p w14:paraId="60568F0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阿尔及利亚</w:t>
            </w:r>
          </w:p>
        </w:tc>
        <w:tc>
          <w:tcPr>
            <w:tcW w:w="1312" w:type="dxa"/>
            <w:shd w:val="clear" w:color="auto" w:fill="FBE4D5"/>
            <w:noWrap/>
            <w:vAlign w:val="center"/>
          </w:tcPr>
          <w:p w14:paraId="73B9B41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希腊</w:t>
            </w:r>
          </w:p>
        </w:tc>
        <w:tc>
          <w:tcPr>
            <w:tcW w:w="1372" w:type="dxa"/>
            <w:shd w:val="clear" w:color="auto" w:fill="FBE4D5"/>
            <w:noWrap/>
            <w:vAlign w:val="center"/>
          </w:tcPr>
          <w:p w14:paraId="363DD6AE"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安哥拉</w:t>
            </w:r>
          </w:p>
        </w:tc>
      </w:tr>
      <w:tr w:rsidR="006B10D9" w14:paraId="0ADE6A97" w14:textId="77777777" w:rsidTr="006B10D9">
        <w:trPr>
          <w:trHeight w:val="261"/>
          <w:jc w:val="center"/>
        </w:trPr>
        <w:tc>
          <w:tcPr>
            <w:cnfStyle w:val="001000000000" w:firstRow="0" w:lastRow="0" w:firstColumn="1" w:lastColumn="0" w:oddVBand="0" w:evenVBand="0" w:oddHBand="0" w:evenHBand="0" w:firstRowFirstColumn="0" w:firstRowLastColumn="0" w:lastRowFirstColumn="0" w:lastRowLastColumn="0"/>
            <w:tcW w:w="1345" w:type="dxa"/>
            <w:noWrap/>
            <w:vAlign w:val="center"/>
          </w:tcPr>
          <w:p w14:paraId="23F5058A"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1"/>
              </w:rPr>
            </w:pPr>
            <w:r>
              <w:rPr>
                <w:rFonts w:eastAsia="宋体" w:cs="Arial"/>
                <w:bCs/>
                <w:color w:val="000000"/>
                <w:kern w:val="0"/>
                <w:sz w:val="21"/>
                <w:szCs w:val="21"/>
                <w:lang w:bidi="ar"/>
              </w:rPr>
              <w:t>10</w:t>
            </w:r>
          </w:p>
        </w:tc>
        <w:tc>
          <w:tcPr>
            <w:tcW w:w="1706" w:type="dxa"/>
            <w:noWrap/>
            <w:vAlign w:val="center"/>
          </w:tcPr>
          <w:p w14:paraId="09E24019"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英国</w:t>
            </w:r>
          </w:p>
        </w:tc>
        <w:tc>
          <w:tcPr>
            <w:tcW w:w="1328" w:type="dxa"/>
            <w:noWrap/>
            <w:vAlign w:val="center"/>
          </w:tcPr>
          <w:p w14:paraId="47C1C51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塞浦路斯</w:t>
            </w:r>
          </w:p>
        </w:tc>
        <w:tc>
          <w:tcPr>
            <w:tcW w:w="1654" w:type="dxa"/>
            <w:noWrap/>
            <w:vAlign w:val="center"/>
          </w:tcPr>
          <w:p w14:paraId="6FB1E9A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马来西亚</w:t>
            </w:r>
          </w:p>
        </w:tc>
        <w:tc>
          <w:tcPr>
            <w:tcW w:w="1312" w:type="dxa"/>
            <w:noWrap/>
            <w:vAlign w:val="center"/>
          </w:tcPr>
          <w:p w14:paraId="175E7D2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芬兰</w:t>
            </w:r>
          </w:p>
        </w:tc>
        <w:tc>
          <w:tcPr>
            <w:tcW w:w="1372" w:type="dxa"/>
            <w:noWrap/>
            <w:vAlign w:val="center"/>
          </w:tcPr>
          <w:p w14:paraId="1EF3D27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1"/>
                <w:lang w:bidi="ar"/>
              </w:rPr>
            </w:pPr>
            <w:r>
              <w:rPr>
                <w:rFonts w:eastAsia="宋体" w:cs="Arial"/>
                <w:bCs/>
                <w:color w:val="000000"/>
                <w:kern w:val="0"/>
                <w:sz w:val="21"/>
                <w:szCs w:val="21"/>
                <w:lang w:bidi="ar"/>
              </w:rPr>
              <w:t>莫桑比克</w:t>
            </w:r>
          </w:p>
        </w:tc>
      </w:tr>
    </w:tbl>
    <w:p w14:paraId="11ABD549" w14:textId="77777777" w:rsidR="006B10D9" w:rsidRDefault="006B10D9">
      <w:pPr>
        <w:snapToGrid w:val="0"/>
        <w:spacing w:line="240" w:lineRule="auto"/>
        <w:ind w:firstLineChars="0" w:firstLine="0"/>
      </w:pPr>
    </w:p>
    <w:p w14:paraId="08220E5D"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6</w:t>
      </w:r>
      <w:r>
        <w:rPr>
          <w:rFonts w:eastAsia="宋体" w:cs="Times New Roman" w:hint="eastAsia"/>
          <w:sz w:val="24"/>
          <w:szCs w:val="24"/>
        </w:rPr>
        <w:t>）双边关系排名</w:t>
      </w:r>
    </w:p>
    <w:p w14:paraId="1D8DCC25"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良好的双边关系有助于保障企业海外投资。其中，双边投资协定（</w:t>
      </w:r>
      <w:r>
        <w:rPr>
          <w:rFonts w:eastAsia="宋体" w:cs="Times New Roman" w:hint="eastAsia"/>
          <w:sz w:val="24"/>
          <w:szCs w:val="24"/>
        </w:rPr>
        <w:t>BIT</w:t>
      </w:r>
      <w:r>
        <w:rPr>
          <w:rFonts w:eastAsia="宋体" w:cs="Times New Roman" w:hint="eastAsia"/>
          <w:sz w:val="24"/>
          <w:szCs w:val="24"/>
        </w:rPr>
        <w:t>）作为东道国政府对签约国投资的承诺，从企业进入后的待遇、资产收益汇出、免于被征收和国有化以及损失赔偿等方面做出了承诺，能够有效保护外资在东道国的各种资产和收益，大大降低了企业投资的风险和成本。从双边关系排名上看（见表</w:t>
      </w:r>
      <w:r>
        <w:rPr>
          <w:rFonts w:eastAsia="宋体" w:cs="Times New Roman" w:hint="eastAsia"/>
          <w:sz w:val="24"/>
          <w:szCs w:val="24"/>
        </w:rPr>
        <w:t>15</w:t>
      </w:r>
      <w:r>
        <w:rPr>
          <w:rFonts w:eastAsia="宋体" w:cs="Times New Roman" w:hint="eastAsia"/>
          <w:sz w:val="24"/>
          <w:szCs w:val="24"/>
        </w:rPr>
        <w:t>），东南亚国家和“一带一路”沿线国家与中国保持了良好双边关系，蒙古国、几内亚、缅甸、塔吉克斯坦、吉尔吉斯斯坦、土库曼斯坦、老挝、越南、菲律宾、马来西亚等国对中国贸易依存度较高，有助于中国企业扩大在当地投资。</w:t>
      </w:r>
    </w:p>
    <w:p w14:paraId="63DD706B" w14:textId="77777777" w:rsidR="006B10D9" w:rsidRDefault="00BE6472">
      <w:pPr>
        <w:pStyle w:val="affd"/>
      </w:pPr>
      <w:r>
        <w:rPr>
          <w:rFonts w:hint="eastAsia"/>
        </w:rPr>
        <w:t>表</w:t>
      </w:r>
      <w:r>
        <w:rPr>
          <w:rFonts w:hint="eastAsia"/>
        </w:rPr>
        <w:t>15  2019</w:t>
      </w:r>
      <w:r>
        <w:rPr>
          <w:rFonts w:hint="eastAsia"/>
        </w:rPr>
        <w:t>年国别双边关系排名</w:t>
      </w:r>
    </w:p>
    <w:tbl>
      <w:tblPr>
        <w:tblStyle w:val="32"/>
        <w:tblW w:w="6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594"/>
      </w:tblGrid>
      <w:tr w:rsidR="006B10D9" w14:paraId="5EC68462" w14:textId="77777777" w:rsidTr="006B10D9">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242" w:type="dxa"/>
            <w:noWrap/>
            <w:vAlign w:val="center"/>
          </w:tcPr>
          <w:p w14:paraId="412EB5ED"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hint="eastAsia"/>
                <w:color w:val="000000"/>
                <w:kern w:val="0"/>
                <w:sz w:val="21"/>
                <w:szCs w:val="20"/>
                <w:lang w:bidi="ar"/>
              </w:rPr>
              <w:t>双边关系</w:t>
            </w:r>
            <w:r>
              <w:rPr>
                <w:rFonts w:eastAsia="宋体" w:cs="Arial" w:hint="eastAsia"/>
                <w:color w:val="000000"/>
                <w:kern w:val="0"/>
                <w:sz w:val="21"/>
                <w:szCs w:val="20"/>
                <w:lang w:bidi="ar"/>
              </w:rPr>
              <w:t xml:space="preserve">   </w:t>
            </w:r>
            <w:r>
              <w:rPr>
                <w:rFonts w:eastAsia="宋体" w:cs="Arial"/>
                <w:color w:val="000000"/>
                <w:kern w:val="0"/>
                <w:sz w:val="21"/>
                <w:szCs w:val="20"/>
                <w:lang w:bidi="ar"/>
              </w:rPr>
              <w:t>得分排名</w:t>
            </w:r>
          </w:p>
        </w:tc>
        <w:tc>
          <w:tcPr>
            <w:tcW w:w="4594" w:type="dxa"/>
            <w:noWrap/>
            <w:vAlign w:val="center"/>
          </w:tcPr>
          <w:p w14:paraId="38062502"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sz w:val="21"/>
                <w:szCs w:val="20"/>
              </w:rPr>
            </w:pPr>
            <w:r>
              <w:rPr>
                <w:rFonts w:eastAsia="宋体" w:cs="Arial"/>
                <w:color w:val="000000"/>
                <w:kern w:val="0"/>
                <w:sz w:val="21"/>
                <w:szCs w:val="20"/>
                <w:lang w:bidi="ar"/>
              </w:rPr>
              <w:t>综合得分</w:t>
            </w:r>
          </w:p>
        </w:tc>
      </w:tr>
      <w:tr w:rsidR="006B10D9" w14:paraId="42AA4586"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F2F2F2"/>
            <w:noWrap/>
            <w:vAlign w:val="center"/>
          </w:tcPr>
          <w:p w14:paraId="00D18876"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1</w:t>
            </w:r>
          </w:p>
        </w:tc>
        <w:tc>
          <w:tcPr>
            <w:tcW w:w="4594" w:type="dxa"/>
            <w:shd w:val="clear" w:color="auto" w:fill="F2F2F2"/>
            <w:noWrap/>
            <w:vAlign w:val="center"/>
          </w:tcPr>
          <w:p w14:paraId="016CB6B7"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蒙古</w:t>
            </w:r>
            <w:r>
              <w:rPr>
                <w:rFonts w:eastAsia="宋体" w:cs="Arial" w:hint="eastAsia"/>
                <w:color w:val="000000"/>
                <w:kern w:val="0"/>
                <w:sz w:val="21"/>
                <w:szCs w:val="20"/>
                <w:lang w:bidi="ar"/>
              </w:rPr>
              <w:t>国</w:t>
            </w:r>
            <w:r>
              <w:rPr>
                <w:rFonts w:eastAsia="宋体" w:cs="Arial"/>
                <w:color w:val="000000"/>
                <w:kern w:val="0"/>
                <w:sz w:val="21"/>
                <w:szCs w:val="20"/>
                <w:lang w:bidi="ar"/>
              </w:rPr>
              <w:t>国</w:t>
            </w:r>
          </w:p>
        </w:tc>
      </w:tr>
      <w:tr w:rsidR="006B10D9" w14:paraId="19B9F3B9"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noWrap/>
            <w:vAlign w:val="center"/>
          </w:tcPr>
          <w:p w14:paraId="193A101E"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2</w:t>
            </w:r>
          </w:p>
        </w:tc>
        <w:tc>
          <w:tcPr>
            <w:tcW w:w="4594" w:type="dxa"/>
            <w:noWrap/>
            <w:vAlign w:val="center"/>
          </w:tcPr>
          <w:p w14:paraId="6388FF6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几内亚</w:t>
            </w:r>
          </w:p>
        </w:tc>
      </w:tr>
      <w:tr w:rsidR="006B10D9" w14:paraId="7602384F"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F2F2F2"/>
            <w:noWrap/>
            <w:vAlign w:val="center"/>
          </w:tcPr>
          <w:p w14:paraId="0DC7BEA0"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lastRenderedPageBreak/>
              <w:t>3</w:t>
            </w:r>
          </w:p>
        </w:tc>
        <w:tc>
          <w:tcPr>
            <w:tcW w:w="4594" w:type="dxa"/>
            <w:shd w:val="clear" w:color="auto" w:fill="F2F2F2"/>
            <w:noWrap/>
            <w:vAlign w:val="center"/>
          </w:tcPr>
          <w:p w14:paraId="42E8BF5D"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缅甸</w:t>
            </w:r>
          </w:p>
        </w:tc>
      </w:tr>
      <w:tr w:rsidR="006B10D9" w14:paraId="217BBA1A"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noWrap/>
            <w:vAlign w:val="center"/>
          </w:tcPr>
          <w:p w14:paraId="4E37339F"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4</w:t>
            </w:r>
          </w:p>
        </w:tc>
        <w:tc>
          <w:tcPr>
            <w:tcW w:w="4594" w:type="dxa"/>
            <w:noWrap/>
            <w:vAlign w:val="center"/>
          </w:tcPr>
          <w:p w14:paraId="36C43D98"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塔吉克斯坦</w:t>
            </w:r>
          </w:p>
        </w:tc>
      </w:tr>
      <w:tr w:rsidR="006B10D9" w14:paraId="33522AB4"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F2F2F2"/>
            <w:noWrap/>
            <w:vAlign w:val="center"/>
          </w:tcPr>
          <w:p w14:paraId="229F2EAB"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5</w:t>
            </w:r>
          </w:p>
        </w:tc>
        <w:tc>
          <w:tcPr>
            <w:tcW w:w="4594" w:type="dxa"/>
            <w:shd w:val="clear" w:color="auto" w:fill="F2F2F2"/>
            <w:noWrap/>
            <w:vAlign w:val="center"/>
          </w:tcPr>
          <w:p w14:paraId="4FCE2AF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吉尔吉斯斯坦</w:t>
            </w:r>
          </w:p>
        </w:tc>
      </w:tr>
      <w:tr w:rsidR="006B10D9" w14:paraId="0A9D12E4"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noWrap/>
            <w:vAlign w:val="center"/>
          </w:tcPr>
          <w:p w14:paraId="723D1C58"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6</w:t>
            </w:r>
          </w:p>
        </w:tc>
        <w:tc>
          <w:tcPr>
            <w:tcW w:w="4594" w:type="dxa"/>
            <w:noWrap/>
            <w:vAlign w:val="center"/>
          </w:tcPr>
          <w:p w14:paraId="2D755DD2"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土库曼斯坦</w:t>
            </w:r>
          </w:p>
        </w:tc>
      </w:tr>
      <w:tr w:rsidR="006B10D9" w14:paraId="45D914F1"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F2F2F2"/>
            <w:noWrap/>
            <w:vAlign w:val="center"/>
          </w:tcPr>
          <w:p w14:paraId="46EA60E3"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7</w:t>
            </w:r>
          </w:p>
        </w:tc>
        <w:tc>
          <w:tcPr>
            <w:tcW w:w="4594" w:type="dxa"/>
            <w:shd w:val="clear" w:color="auto" w:fill="F2F2F2"/>
            <w:noWrap/>
            <w:vAlign w:val="center"/>
          </w:tcPr>
          <w:p w14:paraId="2893B6D0"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老挝</w:t>
            </w:r>
          </w:p>
        </w:tc>
      </w:tr>
      <w:tr w:rsidR="006B10D9" w14:paraId="5C6FED7A"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noWrap/>
            <w:vAlign w:val="center"/>
          </w:tcPr>
          <w:p w14:paraId="3405310D"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8</w:t>
            </w:r>
          </w:p>
        </w:tc>
        <w:tc>
          <w:tcPr>
            <w:tcW w:w="4594" w:type="dxa"/>
            <w:noWrap/>
            <w:vAlign w:val="center"/>
          </w:tcPr>
          <w:p w14:paraId="46378ED9"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越南</w:t>
            </w:r>
          </w:p>
        </w:tc>
      </w:tr>
      <w:tr w:rsidR="006B10D9" w14:paraId="18A94F7F"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F2F2F2"/>
            <w:noWrap/>
            <w:vAlign w:val="center"/>
          </w:tcPr>
          <w:p w14:paraId="4CF64892"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9</w:t>
            </w:r>
          </w:p>
        </w:tc>
        <w:tc>
          <w:tcPr>
            <w:tcW w:w="4594" w:type="dxa"/>
            <w:shd w:val="clear" w:color="auto" w:fill="F2F2F2"/>
            <w:noWrap/>
            <w:vAlign w:val="center"/>
          </w:tcPr>
          <w:p w14:paraId="1F4AEE6B"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color w:val="000000"/>
                <w:kern w:val="0"/>
                <w:sz w:val="21"/>
                <w:szCs w:val="20"/>
                <w:lang w:bidi="ar"/>
              </w:rPr>
              <w:t>菲律宾</w:t>
            </w:r>
          </w:p>
        </w:tc>
      </w:tr>
      <w:tr w:rsidR="006B10D9" w14:paraId="2F219E37" w14:textId="77777777" w:rsidTr="006B10D9">
        <w:trPr>
          <w:trHeight w:val="239"/>
          <w:jc w:val="center"/>
        </w:trPr>
        <w:tc>
          <w:tcPr>
            <w:cnfStyle w:val="001000000000" w:firstRow="0" w:lastRow="0" w:firstColumn="1" w:lastColumn="0" w:oddVBand="0" w:evenVBand="0" w:oddHBand="0" w:evenHBand="0" w:firstRowFirstColumn="0" w:firstRowLastColumn="0" w:lastRowFirstColumn="0" w:lastRowLastColumn="0"/>
            <w:tcW w:w="2242" w:type="dxa"/>
            <w:noWrap/>
            <w:vAlign w:val="center"/>
          </w:tcPr>
          <w:p w14:paraId="325B7FB3" w14:textId="77777777" w:rsidR="006B10D9" w:rsidRDefault="00BE6472">
            <w:pPr>
              <w:widowControl/>
              <w:snapToGrid w:val="0"/>
              <w:spacing w:before="100" w:line="312" w:lineRule="auto"/>
              <w:ind w:firstLineChars="0" w:firstLine="0"/>
              <w:jc w:val="center"/>
              <w:textAlignment w:val="bottom"/>
              <w:rPr>
                <w:rFonts w:eastAsia="宋体" w:cs="Arial"/>
                <w:iCs/>
                <w:color w:val="000000"/>
                <w:sz w:val="21"/>
                <w:szCs w:val="20"/>
              </w:rPr>
            </w:pPr>
            <w:r>
              <w:rPr>
                <w:rFonts w:eastAsia="宋体" w:cs="Arial"/>
                <w:color w:val="000000"/>
                <w:kern w:val="0"/>
                <w:sz w:val="21"/>
                <w:szCs w:val="20"/>
                <w:lang w:bidi="ar"/>
              </w:rPr>
              <w:t>10</w:t>
            </w:r>
          </w:p>
        </w:tc>
        <w:tc>
          <w:tcPr>
            <w:tcW w:w="4594" w:type="dxa"/>
            <w:noWrap/>
            <w:vAlign w:val="center"/>
          </w:tcPr>
          <w:p w14:paraId="7B3EB138" w14:textId="77777777" w:rsidR="006B10D9" w:rsidRDefault="00BE6472">
            <w:pPr>
              <w:widowControl/>
              <w:snapToGrid w:val="0"/>
              <w:spacing w:before="100" w:line="312" w:lineRule="auto"/>
              <w:ind w:firstLineChars="0" w:firstLine="0"/>
              <w:jc w:val="center"/>
              <w:textAlignment w:val="bottom"/>
              <w:cnfStyle w:val="000000000000" w:firstRow="0"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hint="eastAsia"/>
                <w:color w:val="000000"/>
                <w:kern w:val="0"/>
                <w:sz w:val="21"/>
                <w:szCs w:val="20"/>
                <w:lang w:bidi="ar"/>
              </w:rPr>
              <w:t>马来西亚</w:t>
            </w:r>
          </w:p>
        </w:tc>
      </w:tr>
    </w:tbl>
    <w:p w14:paraId="37BF7AF9" w14:textId="77777777" w:rsidR="006B10D9" w:rsidRDefault="006B10D9">
      <w:pPr>
        <w:snapToGrid w:val="0"/>
        <w:spacing w:line="240" w:lineRule="auto"/>
        <w:ind w:firstLineChars="0" w:firstLine="0"/>
      </w:pPr>
      <w:bookmarkStart w:id="66" w:name="_Toc13343"/>
    </w:p>
    <w:p w14:paraId="47DD77E0" w14:textId="77777777" w:rsidR="006B10D9" w:rsidRDefault="00BE6472">
      <w:pPr>
        <w:pStyle w:val="3"/>
        <w:spacing w:before="120" w:after="240"/>
      </w:pPr>
      <w:bookmarkStart w:id="67" w:name="_Toc93922388"/>
      <w:r>
        <w:rPr>
          <w:rFonts w:hint="eastAsia"/>
        </w:rPr>
        <w:t>（四）</w:t>
      </w:r>
      <w:r>
        <w:rPr>
          <w:rFonts w:hint="eastAsia"/>
        </w:rPr>
        <w:t>2020</w:t>
      </w:r>
      <w:r>
        <w:rPr>
          <w:rFonts w:hint="eastAsia"/>
        </w:rPr>
        <w:t>年国别风险综合得分情况</w:t>
      </w:r>
      <w:bookmarkEnd w:id="66"/>
      <w:bookmarkEnd w:id="67"/>
    </w:p>
    <w:p w14:paraId="164CA8EA" w14:textId="77777777" w:rsidR="006B10D9" w:rsidRDefault="00BE6472">
      <w:pPr>
        <w:pStyle w:val="4"/>
      </w:pPr>
      <w:bookmarkStart w:id="68" w:name="_Toc25620"/>
      <w:r>
        <w:rPr>
          <w:rFonts w:hint="eastAsia"/>
        </w:rPr>
        <w:t>1</w:t>
      </w:r>
      <w:r>
        <w:rPr>
          <w:rFonts w:cs="华文楷体" w:hint="eastAsia"/>
        </w:rPr>
        <w:t>.</w:t>
      </w:r>
      <w:r>
        <w:rPr>
          <w:rFonts w:hint="eastAsia"/>
        </w:rPr>
        <w:t>指标说明</w:t>
      </w:r>
      <w:bookmarkEnd w:id="68"/>
    </w:p>
    <w:p w14:paraId="15F8D90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在计算</w:t>
      </w:r>
      <w:r>
        <w:rPr>
          <w:rFonts w:eastAsia="宋体" w:cs="Times New Roman" w:hint="eastAsia"/>
          <w:sz w:val="24"/>
          <w:szCs w:val="24"/>
        </w:rPr>
        <w:t>2020</w:t>
      </w:r>
      <w:r>
        <w:rPr>
          <w:rFonts w:eastAsia="宋体" w:cs="Times New Roman" w:hint="eastAsia"/>
          <w:sz w:val="24"/>
          <w:szCs w:val="24"/>
        </w:rPr>
        <w:t>年熵值法各权重体系时，将经济风险、政治风险、社会风险、债务风险、双边关系五个一级指标权重均设置为</w:t>
      </w:r>
      <w:r>
        <w:rPr>
          <w:rFonts w:eastAsia="宋体" w:cs="Times New Roman" w:hint="eastAsia"/>
          <w:sz w:val="24"/>
          <w:szCs w:val="24"/>
        </w:rPr>
        <w:t>0.2</w:t>
      </w:r>
      <w:r>
        <w:rPr>
          <w:rFonts w:eastAsia="宋体" w:cs="Times New Roman" w:hint="eastAsia"/>
          <w:sz w:val="24"/>
          <w:szCs w:val="24"/>
        </w:rPr>
        <w:t>，二级子指标根据熵值法计算各指标信息含量，其中，经济风险二级指标中，</w:t>
      </w:r>
      <w:r>
        <w:rPr>
          <w:rFonts w:eastAsia="宋体" w:cs="Times New Roman" w:hint="eastAsia"/>
          <w:sz w:val="24"/>
          <w:szCs w:val="24"/>
        </w:rPr>
        <w:t>GDP</w:t>
      </w:r>
      <w:r>
        <w:rPr>
          <w:rFonts w:eastAsia="宋体" w:cs="Times New Roman" w:hint="eastAsia"/>
          <w:sz w:val="24"/>
          <w:szCs w:val="24"/>
        </w:rPr>
        <w:t>增长率、贸易开放度和债务风险指标二级指外债</w:t>
      </w:r>
      <w:r>
        <w:rPr>
          <w:rFonts w:eastAsia="宋体" w:cs="Times New Roman" w:hint="eastAsia"/>
          <w:sz w:val="24"/>
          <w:szCs w:val="24"/>
        </w:rPr>
        <w:t>/GDP</w:t>
      </w:r>
      <w:r>
        <w:rPr>
          <w:rFonts w:eastAsia="宋体" w:cs="Times New Roman" w:hint="eastAsia"/>
          <w:sz w:val="24"/>
          <w:szCs w:val="24"/>
        </w:rPr>
        <w:t>、短期外债</w:t>
      </w:r>
      <w:r>
        <w:rPr>
          <w:rFonts w:eastAsia="宋体" w:cs="Times New Roman" w:hint="eastAsia"/>
          <w:sz w:val="24"/>
          <w:szCs w:val="24"/>
        </w:rPr>
        <w:t>/</w:t>
      </w:r>
      <w:r>
        <w:rPr>
          <w:rFonts w:eastAsia="宋体" w:cs="Times New Roman" w:hint="eastAsia"/>
          <w:sz w:val="24"/>
          <w:szCs w:val="24"/>
        </w:rPr>
        <w:t>总外债数据缺失，导致无法赋权，具体指标权重值见表</w:t>
      </w:r>
      <w:r>
        <w:rPr>
          <w:rFonts w:eastAsia="宋体" w:cs="Times New Roman" w:hint="eastAsia"/>
          <w:sz w:val="24"/>
          <w:szCs w:val="24"/>
        </w:rPr>
        <w:t>16</w:t>
      </w:r>
      <w:r>
        <w:rPr>
          <w:rFonts w:eastAsia="宋体" w:cs="Times New Roman" w:hint="eastAsia"/>
          <w:sz w:val="24"/>
          <w:szCs w:val="24"/>
        </w:rPr>
        <w:t>。</w:t>
      </w:r>
    </w:p>
    <w:p w14:paraId="06A98D20" w14:textId="77777777" w:rsidR="006B10D9" w:rsidRDefault="00BE6472">
      <w:pPr>
        <w:pStyle w:val="affd"/>
        <w:rPr>
          <w:sz w:val="28"/>
        </w:rPr>
      </w:pPr>
      <w:r>
        <w:rPr>
          <w:rFonts w:hint="eastAsia"/>
        </w:rPr>
        <w:t>表</w:t>
      </w:r>
      <w:r>
        <w:rPr>
          <w:rFonts w:hint="eastAsia"/>
        </w:rPr>
        <w:t>16  2020</w:t>
      </w:r>
      <w:r>
        <w:rPr>
          <w:rFonts w:hint="eastAsia"/>
        </w:rPr>
        <w:t>年对外投资国别风险评价体系指标权重</w:t>
      </w:r>
    </w:p>
    <w:tbl>
      <w:tblPr>
        <w:tblW w:w="8804" w:type="dxa"/>
        <w:jc w:val="center"/>
        <w:tblLook w:val="04A0" w:firstRow="1" w:lastRow="0" w:firstColumn="1" w:lastColumn="0" w:noHBand="0" w:noVBand="1"/>
      </w:tblPr>
      <w:tblGrid>
        <w:gridCol w:w="1137"/>
        <w:gridCol w:w="2388"/>
        <w:gridCol w:w="3846"/>
        <w:gridCol w:w="1433"/>
      </w:tblGrid>
      <w:tr w:rsidR="006B10D9" w14:paraId="4E391A39" w14:textId="77777777">
        <w:trPr>
          <w:trHeight w:val="370"/>
          <w:jc w:val="center"/>
        </w:trPr>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7B9FA" w14:textId="77777777" w:rsidR="006B10D9" w:rsidRDefault="00BE6472">
            <w:pPr>
              <w:widowControl/>
              <w:snapToGrid w:val="0"/>
              <w:spacing w:before="100" w:line="312" w:lineRule="auto"/>
              <w:ind w:firstLineChars="0" w:firstLine="0"/>
              <w:jc w:val="center"/>
              <w:textAlignment w:val="center"/>
              <w:rPr>
                <w:rFonts w:eastAsia="宋体" w:cs="微软雅黑"/>
                <w:b/>
                <w:bCs/>
                <w:sz w:val="21"/>
                <w:szCs w:val="24"/>
              </w:rPr>
            </w:pPr>
            <w:r>
              <w:rPr>
                <w:rFonts w:eastAsia="宋体" w:cs="微软雅黑" w:hint="eastAsia"/>
                <w:b/>
                <w:bCs/>
                <w:sz w:val="21"/>
                <w:szCs w:val="24"/>
              </w:rPr>
              <w:t>系统层</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66BE3"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4"/>
                <w:lang w:bidi="ar"/>
              </w:rPr>
            </w:pPr>
            <w:r>
              <w:rPr>
                <w:rFonts w:eastAsia="宋体" w:cs="微软雅黑" w:hint="eastAsia"/>
                <w:b/>
                <w:bCs/>
                <w:color w:val="000000"/>
                <w:sz w:val="21"/>
                <w:szCs w:val="24"/>
                <w:lang w:bidi="ar"/>
              </w:rPr>
              <w:t>指标层</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A28D"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4"/>
                <w:lang w:bidi="ar"/>
              </w:rPr>
            </w:pPr>
            <w:r>
              <w:rPr>
                <w:rFonts w:eastAsia="宋体" w:cs="微软雅黑" w:hint="eastAsia"/>
                <w:b/>
                <w:bCs/>
                <w:color w:val="000000"/>
                <w:sz w:val="21"/>
                <w:szCs w:val="24"/>
                <w:lang w:bidi="ar"/>
              </w:rPr>
              <w:t>指标含义</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F92E" w14:textId="77777777" w:rsidR="006B10D9" w:rsidRDefault="00BE6472">
            <w:pPr>
              <w:widowControl/>
              <w:snapToGrid w:val="0"/>
              <w:spacing w:before="100" w:line="312" w:lineRule="auto"/>
              <w:ind w:firstLineChars="0" w:firstLine="0"/>
              <w:jc w:val="center"/>
              <w:textAlignment w:val="center"/>
              <w:rPr>
                <w:rFonts w:eastAsia="宋体" w:cs="微软雅黑"/>
                <w:b/>
                <w:bCs/>
                <w:color w:val="000000"/>
                <w:sz w:val="21"/>
                <w:szCs w:val="24"/>
                <w:lang w:bidi="ar"/>
              </w:rPr>
            </w:pPr>
            <w:r>
              <w:rPr>
                <w:rFonts w:eastAsia="宋体" w:cs="微软雅黑" w:hint="eastAsia"/>
                <w:b/>
                <w:bCs/>
                <w:color w:val="000000"/>
                <w:sz w:val="21"/>
                <w:szCs w:val="24"/>
                <w:lang w:bidi="ar"/>
              </w:rPr>
              <w:t>熵值权重</w:t>
            </w:r>
          </w:p>
        </w:tc>
      </w:tr>
      <w:tr w:rsidR="006B10D9" w14:paraId="78444E0D" w14:textId="77777777">
        <w:trPr>
          <w:trHeight w:val="90"/>
          <w:jc w:val="center"/>
        </w:trPr>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AFE59A"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经济风险</w:t>
            </w:r>
            <w:r>
              <w:rPr>
                <w:rFonts w:eastAsia="宋体" w:cs="Times New Roman" w:hint="eastAsia"/>
                <w:sz w:val="21"/>
                <w:szCs w:val="21"/>
              </w:rPr>
              <w:t>A 0.2</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8508A"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1 </w:t>
            </w:r>
            <w:r>
              <w:rPr>
                <w:rFonts w:eastAsia="宋体" w:cs="微软雅黑" w:hint="eastAsia"/>
                <w:color w:val="000000"/>
                <w:sz w:val="21"/>
                <w:szCs w:val="21"/>
                <w:lang w:bidi="ar"/>
              </w:rPr>
              <w:t>GDP</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680E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经济总量</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A4F6" w14:textId="77777777" w:rsidR="006B10D9" w:rsidRDefault="00BE6472">
            <w:pPr>
              <w:widowControl/>
              <w:snapToGrid w:val="0"/>
              <w:spacing w:before="100" w:line="312" w:lineRule="auto"/>
              <w:ind w:firstLineChars="0" w:firstLine="0"/>
              <w:textAlignment w:val="center"/>
              <w:rPr>
                <w:rFonts w:eastAsia="宋体" w:cs="Times New Roman"/>
                <w:color w:val="000000"/>
                <w:sz w:val="21"/>
                <w:szCs w:val="20"/>
              </w:rPr>
            </w:pPr>
            <w:r>
              <w:rPr>
                <w:rFonts w:eastAsia="宋体" w:cs="Times New Roman"/>
                <w:color w:val="000000"/>
                <w:kern w:val="0"/>
                <w:sz w:val="21"/>
                <w:szCs w:val="20"/>
                <w:lang w:bidi="ar"/>
              </w:rPr>
              <w:t>30.60%</w:t>
            </w:r>
          </w:p>
        </w:tc>
      </w:tr>
      <w:tr w:rsidR="006B10D9" w14:paraId="1C4AD969"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33D02"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8725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 xml:space="preserve">2 </w:t>
            </w:r>
            <w:r>
              <w:rPr>
                <w:rFonts w:eastAsia="宋体" w:cs="微软雅黑" w:hint="eastAsia"/>
                <w:color w:val="000000"/>
                <w:sz w:val="21"/>
                <w:szCs w:val="21"/>
                <w:lang w:bidi="ar"/>
              </w:rPr>
              <w:t>人均</w:t>
            </w:r>
            <w:r>
              <w:rPr>
                <w:rFonts w:eastAsia="宋体" w:cs="微软雅黑" w:hint="eastAsia"/>
                <w:color w:val="000000"/>
                <w:sz w:val="21"/>
                <w:szCs w:val="21"/>
                <w:lang w:bidi="ar"/>
              </w:rPr>
              <w:t>GDP</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036B"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经济发展水平</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ADFDC" w14:textId="77777777" w:rsidR="006B10D9" w:rsidRDefault="00BE6472">
            <w:pPr>
              <w:widowControl/>
              <w:snapToGrid w:val="0"/>
              <w:spacing w:before="100" w:line="312" w:lineRule="auto"/>
              <w:ind w:firstLineChars="0" w:firstLine="0"/>
              <w:textAlignment w:val="center"/>
              <w:rPr>
                <w:rFonts w:eastAsia="宋体" w:cs="Times New Roman"/>
                <w:color w:val="000000"/>
                <w:sz w:val="21"/>
                <w:szCs w:val="20"/>
              </w:rPr>
            </w:pPr>
            <w:r>
              <w:rPr>
                <w:rFonts w:eastAsia="宋体" w:cs="Times New Roman"/>
                <w:color w:val="000000"/>
                <w:kern w:val="0"/>
                <w:sz w:val="21"/>
                <w:szCs w:val="20"/>
                <w:lang w:bidi="ar"/>
              </w:rPr>
              <w:t>15.78%</w:t>
            </w:r>
          </w:p>
        </w:tc>
      </w:tr>
      <w:tr w:rsidR="006B10D9" w14:paraId="12184679"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354E0"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C1D6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GDP</w:t>
            </w:r>
            <w:r>
              <w:rPr>
                <w:rFonts w:eastAsia="宋体" w:cs="微软雅黑" w:hint="eastAsia"/>
                <w:color w:val="000000"/>
                <w:sz w:val="21"/>
                <w:szCs w:val="21"/>
                <w:lang w:bidi="ar"/>
              </w:rPr>
              <w:t>增长率</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F9310"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经济增速</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A694" w14:textId="77777777" w:rsidR="006B10D9" w:rsidRDefault="006B10D9">
            <w:pPr>
              <w:widowControl/>
              <w:snapToGrid w:val="0"/>
              <w:spacing w:before="100" w:line="312" w:lineRule="auto"/>
              <w:ind w:firstLineChars="0" w:firstLine="0"/>
              <w:jc w:val="center"/>
              <w:textAlignment w:val="center"/>
              <w:rPr>
                <w:rFonts w:eastAsia="宋体" w:cs="微软雅黑"/>
                <w:color w:val="000000"/>
                <w:sz w:val="21"/>
                <w:szCs w:val="21"/>
                <w:lang w:bidi="ar"/>
              </w:rPr>
            </w:pPr>
          </w:p>
        </w:tc>
      </w:tr>
      <w:tr w:rsidR="006B10D9" w14:paraId="666A3E79"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54471B"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A4A8"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贸易开放度</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B6AB"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进出口总额</w:t>
            </w:r>
            <w:r>
              <w:rPr>
                <w:rFonts w:eastAsia="宋体" w:cs="方正仿宋_GBK" w:hint="eastAsia"/>
                <w:color w:val="000000"/>
                <w:sz w:val="21"/>
                <w:szCs w:val="21"/>
                <w:lang w:bidi="ar"/>
              </w:rPr>
              <w:t>/GDP</w:t>
            </w:r>
            <w:r>
              <w:rPr>
                <w:rFonts w:eastAsia="宋体" w:cs="方正仿宋_GBK" w:hint="eastAsia"/>
                <w:color w:val="000000"/>
                <w:sz w:val="21"/>
                <w:szCs w:val="21"/>
                <w:lang w:bidi="ar"/>
              </w:rPr>
              <w:t>，衡量贸易依赖度指数</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9EB3" w14:textId="77777777" w:rsidR="006B10D9" w:rsidRDefault="006B10D9">
            <w:pPr>
              <w:widowControl/>
              <w:snapToGrid w:val="0"/>
              <w:spacing w:before="100" w:line="312" w:lineRule="auto"/>
              <w:ind w:firstLineChars="0" w:firstLine="0"/>
              <w:jc w:val="center"/>
              <w:textAlignment w:val="center"/>
              <w:rPr>
                <w:rFonts w:eastAsia="宋体" w:cs="微软雅黑"/>
                <w:color w:val="000000"/>
                <w:sz w:val="21"/>
                <w:szCs w:val="21"/>
                <w:lang w:bidi="ar"/>
              </w:rPr>
            </w:pPr>
          </w:p>
        </w:tc>
      </w:tr>
      <w:tr w:rsidR="006B10D9" w14:paraId="636B6772"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EB9521"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4DF6B"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5</w:t>
            </w:r>
            <w:r>
              <w:rPr>
                <w:rFonts w:eastAsia="宋体" w:cs="微软雅黑" w:hint="eastAsia"/>
                <w:color w:val="000000"/>
                <w:sz w:val="21"/>
                <w:szCs w:val="21"/>
                <w:lang w:bidi="ar"/>
              </w:rPr>
              <w:t>失业率</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BC9D7"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衡量失业状况</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F8E7"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0.70%</w:t>
            </w:r>
          </w:p>
        </w:tc>
      </w:tr>
      <w:tr w:rsidR="006B10D9" w14:paraId="3675E804"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C5CBA"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E1D0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A</w:t>
            </w:r>
            <w:r>
              <w:rPr>
                <w:rFonts w:eastAsia="宋体" w:cs="微软雅黑" w:hint="eastAsia"/>
                <w:color w:val="000000"/>
                <w:sz w:val="21"/>
                <w:szCs w:val="21"/>
                <w:vertAlign w:val="subscript"/>
                <w:lang w:bidi="ar"/>
              </w:rPr>
              <w:t>6</w:t>
            </w:r>
            <w:r>
              <w:rPr>
                <w:rFonts w:eastAsia="宋体" w:cs="微软雅黑" w:hint="eastAsia"/>
                <w:color w:val="000000"/>
                <w:sz w:val="21"/>
                <w:szCs w:val="21"/>
                <w:lang w:bidi="ar"/>
              </w:rPr>
              <w:t>通货膨胀</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C0D4C"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整个经济体的价格变动率</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71D9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0.29%</w:t>
            </w:r>
          </w:p>
        </w:tc>
      </w:tr>
      <w:tr w:rsidR="006B10D9" w14:paraId="2CE39D16" w14:textId="77777777">
        <w:trPr>
          <w:trHeight w:val="370"/>
          <w:jc w:val="center"/>
        </w:trPr>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52BEF6"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社会风险</w:t>
            </w:r>
            <w:r>
              <w:rPr>
                <w:rFonts w:eastAsia="宋体" w:cs="Times New Roman" w:hint="eastAsia"/>
                <w:sz w:val="21"/>
                <w:szCs w:val="21"/>
              </w:rPr>
              <w:t>B 0.2</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4D794"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教育水平</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3E66"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教育、培训和研发机构的水平</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9D5F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3.25%</w:t>
            </w:r>
          </w:p>
        </w:tc>
      </w:tr>
      <w:tr w:rsidR="006B10D9" w14:paraId="2D4A8DDE"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0E1BCD"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D53E6"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其他投资风险</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882E3"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除政治风险、经济风险、金融风险等之外的其他投资风险</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FA4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2.64%</w:t>
            </w:r>
          </w:p>
        </w:tc>
      </w:tr>
      <w:tr w:rsidR="006B10D9" w14:paraId="03ABCA01"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3159F6"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03D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社会安全</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02D68"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每年每十万人中因谋杀死亡的人数</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AEFBB"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1.20%</w:t>
            </w:r>
          </w:p>
        </w:tc>
      </w:tr>
      <w:tr w:rsidR="006B10D9" w14:paraId="3D494D32"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713F82"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E527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B</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资本和人员流动限制</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8867"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对资本和人员流动的限制</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989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4.08%</w:t>
            </w:r>
          </w:p>
        </w:tc>
      </w:tr>
      <w:tr w:rsidR="006B10D9" w14:paraId="4B8F04E0" w14:textId="77777777">
        <w:trPr>
          <w:trHeight w:val="370"/>
          <w:jc w:val="center"/>
        </w:trPr>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235DAB"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lastRenderedPageBreak/>
              <w:t>政治风险</w:t>
            </w:r>
            <w:r>
              <w:rPr>
                <w:rFonts w:eastAsia="宋体" w:cs="Times New Roman" w:hint="eastAsia"/>
                <w:sz w:val="21"/>
                <w:szCs w:val="21"/>
              </w:rPr>
              <w:t>C 0.2</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D2F2E"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腐败控制</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7CB2F"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政治体系的腐败控制程度</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8AE4"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3.34%</w:t>
            </w:r>
          </w:p>
        </w:tc>
      </w:tr>
      <w:tr w:rsidR="006B10D9" w14:paraId="185A7683"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ADA1E"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E9B7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外部冲突</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497E"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国外的行为对在位政府带来的风险</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641E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3.79%</w:t>
            </w:r>
          </w:p>
        </w:tc>
      </w:tr>
      <w:tr w:rsidR="006B10D9" w14:paraId="65C18192"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81395C"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259F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3</w:t>
            </w:r>
            <w:r>
              <w:rPr>
                <w:rFonts w:eastAsia="宋体" w:cs="微软雅黑" w:hint="eastAsia"/>
                <w:color w:val="000000"/>
                <w:sz w:val="21"/>
                <w:szCs w:val="21"/>
                <w:lang w:bidi="ar"/>
              </w:rPr>
              <w:t>法治</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2F109"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履约质量和产权保护</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5D3F7"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3.78%</w:t>
            </w:r>
          </w:p>
        </w:tc>
      </w:tr>
      <w:tr w:rsidR="006B10D9" w14:paraId="0C2073EA"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94ABE2"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2E1E2"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4</w:t>
            </w:r>
            <w:r>
              <w:rPr>
                <w:rFonts w:eastAsia="宋体" w:cs="微软雅黑" w:hint="eastAsia"/>
                <w:color w:val="000000"/>
                <w:sz w:val="21"/>
                <w:szCs w:val="21"/>
                <w:lang w:bidi="ar"/>
              </w:rPr>
              <w:t>问责制度</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05A58"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政府对民众诉求的回应</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6A12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2.85%</w:t>
            </w:r>
          </w:p>
        </w:tc>
      </w:tr>
      <w:tr w:rsidR="006B10D9" w14:paraId="3E835879"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0B9453"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6167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5</w:t>
            </w:r>
            <w:r>
              <w:rPr>
                <w:rFonts w:eastAsia="宋体" w:cs="微软雅黑" w:hint="eastAsia"/>
                <w:color w:val="000000"/>
                <w:sz w:val="21"/>
                <w:szCs w:val="21"/>
                <w:lang w:bidi="ar"/>
              </w:rPr>
              <w:t>政府效力</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86C5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政府政策承诺的可信度</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CCF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3.51%</w:t>
            </w:r>
          </w:p>
        </w:tc>
      </w:tr>
      <w:tr w:rsidR="006B10D9" w14:paraId="51375053" w14:textId="77777777">
        <w:trPr>
          <w:trHeight w:val="370"/>
          <w:jc w:val="center"/>
        </w:trPr>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E5FDC3"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4F99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C</w:t>
            </w:r>
            <w:r>
              <w:rPr>
                <w:rFonts w:eastAsia="宋体" w:cs="微软雅黑" w:hint="eastAsia"/>
                <w:color w:val="000000"/>
                <w:sz w:val="21"/>
                <w:szCs w:val="21"/>
                <w:vertAlign w:val="subscript"/>
                <w:lang w:bidi="ar"/>
              </w:rPr>
              <w:t>6</w:t>
            </w:r>
            <w:r>
              <w:rPr>
                <w:rFonts w:eastAsia="宋体" w:cs="微软雅黑" w:hint="eastAsia"/>
                <w:color w:val="000000"/>
                <w:sz w:val="21"/>
                <w:szCs w:val="21"/>
                <w:lang w:bidi="ar"/>
              </w:rPr>
              <w:t>政治稳定</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79782"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政权稳定性</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C098D"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2.70%</w:t>
            </w:r>
          </w:p>
        </w:tc>
      </w:tr>
      <w:tr w:rsidR="006B10D9" w14:paraId="0CFF00CD" w14:textId="77777777">
        <w:trPr>
          <w:trHeight w:val="370"/>
          <w:jc w:val="center"/>
        </w:trPr>
        <w:tc>
          <w:tcPr>
            <w:tcW w:w="1137" w:type="dxa"/>
            <w:vMerge w:val="restart"/>
            <w:tcBorders>
              <w:top w:val="single" w:sz="4" w:space="0" w:color="000000"/>
              <w:left w:val="single" w:sz="4" w:space="0" w:color="000000"/>
              <w:right w:val="single" w:sz="4" w:space="0" w:color="000000"/>
            </w:tcBorders>
            <w:shd w:val="clear" w:color="auto" w:fill="auto"/>
            <w:vAlign w:val="center"/>
          </w:tcPr>
          <w:p w14:paraId="5211526C"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债务风险</w:t>
            </w:r>
            <w:r>
              <w:rPr>
                <w:rFonts w:eastAsia="宋体" w:cs="Times New Roman" w:hint="eastAsia"/>
                <w:sz w:val="21"/>
                <w:szCs w:val="21"/>
              </w:rPr>
              <w:t>D 0.2</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E401"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1</w:t>
            </w:r>
            <w:r>
              <w:rPr>
                <w:rFonts w:eastAsia="宋体" w:cs="方正仿宋_GBK" w:hint="eastAsia"/>
                <w:color w:val="000000"/>
                <w:sz w:val="21"/>
                <w:szCs w:val="21"/>
                <w:lang w:bidi="ar"/>
              </w:rPr>
              <w:t>公共债务</w:t>
            </w:r>
            <w:r>
              <w:rPr>
                <w:rFonts w:eastAsia="宋体" w:cs="方正仿宋_GBK" w:hint="eastAsia"/>
                <w:color w:val="000000"/>
                <w:sz w:val="21"/>
                <w:szCs w:val="21"/>
                <w:lang w:bidi="ar"/>
              </w:rPr>
              <w:t>/GDP</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EF459"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各级政府总债务</w:t>
            </w:r>
            <w:r>
              <w:rPr>
                <w:rFonts w:eastAsia="宋体" w:cs="方正仿宋_GBK" w:hint="eastAsia"/>
                <w:color w:val="000000"/>
                <w:sz w:val="21"/>
                <w:szCs w:val="21"/>
                <w:lang w:bidi="ar"/>
              </w:rPr>
              <w:t>/GDP</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0C915"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4.07%</w:t>
            </w:r>
          </w:p>
        </w:tc>
      </w:tr>
      <w:tr w:rsidR="006B10D9" w14:paraId="52B869D5" w14:textId="77777777">
        <w:trPr>
          <w:trHeight w:val="370"/>
          <w:jc w:val="center"/>
        </w:trPr>
        <w:tc>
          <w:tcPr>
            <w:tcW w:w="1137" w:type="dxa"/>
            <w:vMerge/>
            <w:tcBorders>
              <w:left w:val="single" w:sz="4" w:space="0" w:color="000000"/>
              <w:right w:val="single" w:sz="4" w:space="0" w:color="000000"/>
            </w:tcBorders>
            <w:shd w:val="clear" w:color="auto" w:fill="auto"/>
            <w:vAlign w:val="center"/>
          </w:tcPr>
          <w:p w14:paraId="2DCE679B"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96273"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2</w:t>
            </w:r>
            <w:r>
              <w:rPr>
                <w:rFonts w:eastAsia="宋体" w:cs="方正仿宋_GBK" w:hint="eastAsia"/>
                <w:color w:val="000000"/>
                <w:sz w:val="21"/>
                <w:szCs w:val="21"/>
                <w:lang w:bidi="ar"/>
              </w:rPr>
              <w:t>外债</w:t>
            </w:r>
            <w:r>
              <w:rPr>
                <w:rFonts w:eastAsia="宋体" w:cs="方正仿宋_GBK" w:hint="eastAsia"/>
                <w:color w:val="000000"/>
                <w:sz w:val="21"/>
                <w:szCs w:val="21"/>
                <w:lang w:bidi="ar"/>
              </w:rPr>
              <w:t>/GDP</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B801"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年末外债余额</w:t>
            </w:r>
            <w:r>
              <w:rPr>
                <w:rFonts w:eastAsia="宋体" w:cs="方正仿宋_GBK" w:hint="eastAsia"/>
                <w:color w:val="000000"/>
                <w:sz w:val="21"/>
                <w:szCs w:val="21"/>
                <w:lang w:bidi="ar"/>
              </w:rPr>
              <w:t>/GDP</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A0397" w14:textId="77777777" w:rsidR="006B10D9" w:rsidRDefault="006B10D9">
            <w:pPr>
              <w:widowControl/>
              <w:snapToGrid w:val="0"/>
              <w:spacing w:before="100" w:line="312" w:lineRule="auto"/>
              <w:ind w:firstLineChars="0" w:firstLine="0"/>
              <w:jc w:val="center"/>
              <w:textAlignment w:val="center"/>
              <w:rPr>
                <w:rFonts w:eastAsia="宋体" w:cs="微软雅黑"/>
                <w:color w:val="000000"/>
                <w:sz w:val="21"/>
                <w:szCs w:val="21"/>
                <w:lang w:bidi="ar"/>
              </w:rPr>
            </w:pPr>
          </w:p>
        </w:tc>
      </w:tr>
      <w:tr w:rsidR="006B10D9" w14:paraId="41B28491" w14:textId="77777777">
        <w:trPr>
          <w:trHeight w:val="370"/>
          <w:jc w:val="center"/>
        </w:trPr>
        <w:tc>
          <w:tcPr>
            <w:tcW w:w="1137" w:type="dxa"/>
            <w:vMerge/>
            <w:tcBorders>
              <w:left w:val="single" w:sz="4" w:space="0" w:color="000000"/>
              <w:right w:val="single" w:sz="4" w:space="0" w:color="000000"/>
            </w:tcBorders>
            <w:shd w:val="clear" w:color="auto" w:fill="auto"/>
            <w:vAlign w:val="center"/>
          </w:tcPr>
          <w:p w14:paraId="07C0F024"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94DCD"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3</w:t>
            </w:r>
            <w:r>
              <w:rPr>
                <w:rFonts w:eastAsia="宋体" w:cs="方正仿宋_GBK" w:hint="eastAsia"/>
                <w:color w:val="000000"/>
                <w:sz w:val="21"/>
                <w:szCs w:val="21"/>
                <w:lang w:bidi="ar"/>
              </w:rPr>
              <w:t>短期外债</w:t>
            </w:r>
            <w:r>
              <w:rPr>
                <w:rFonts w:eastAsia="宋体" w:cs="方正仿宋_GBK" w:hint="eastAsia"/>
                <w:color w:val="000000"/>
                <w:sz w:val="21"/>
                <w:szCs w:val="21"/>
                <w:lang w:bidi="ar"/>
              </w:rPr>
              <w:t>/</w:t>
            </w:r>
            <w:r>
              <w:rPr>
                <w:rFonts w:eastAsia="宋体" w:cs="方正仿宋_GBK" w:hint="eastAsia"/>
                <w:color w:val="000000"/>
                <w:sz w:val="21"/>
                <w:szCs w:val="21"/>
                <w:lang w:bidi="ar"/>
              </w:rPr>
              <w:t>总外债</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783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短期外债指期限在一年及以下债务</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24EB6" w14:textId="77777777" w:rsidR="006B10D9" w:rsidRDefault="006B10D9">
            <w:pPr>
              <w:widowControl/>
              <w:snapToGrid w:val="0"/>
              <w:spacing w:before="100" w:line="312" w:lineRule="auto"/>
              <w:ind w:firstLineChars="0" w:firstLine="0"/>
              <w:jc w:val="center"/>
              <w:textAlignment w:val="center"/>
              <w:rPr>
                <w:rFonts w:eastAsia="宋体" w:cs="微软雅黑"/>
                <w:color w:val="000000"/>
                <w:sz w:val="21"/>
                <w:szCs w:val="21"/>
                <w:lang w:bidi="ar"/>
              </w:rPr>
            </w:pPr>
          </w:p>
        </w:tc>
      </w:tr>
      <w:tr w:rsidR="006B10D9" w14:paraId="45A0EB73" w14:textId="77777777">
        <w:trPr>
          <w:trHeight w:val="370"/>
          <w:jc w:val="center"/>
        </w:trPr>
        <w:tc>
          <w:tcPr>
            <w:tcW w:w="1137" w:type="dxa"/>
            <w:vMerge/>
            <w:tcBorders>
              <w:left w:val="single" w:sz="4" w:space="0" w:color="000000"/>
              <w:bottom w:val="single" w:sz="4" w:space="0" w:color="000000"/>
              <w:right w:val="single" w:sz="4" w:space="0" w:color="000000"/>
            </w:tcBorders>
            <w:shd w:val="clear" w:color="auto" w:fill="auto"/>
            <w:vAlign w:val="center"/>
          </w:tcPr>
          <w:p w14:paraId="78949074"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6B3EA"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方正仿宋_GBK" w:hint="eastAsia"/>
                <w:color w:val="000000"/>
                <w:sz w:val="21"/>
                <w:szCs w:val="21"/>
                <w:lang w:bidi="ar"/>
              </w:rPr>
              <w:t>D</w:t>
            </w:r>
            <w:r>
              <w:rPr>
                <w:rFonts w:eastAsia="宋体" w:cs="方正仿宋_GBK" w:hint="eastAsia"/>
                <w:color w:val="000000"/>
                <w:sz w:val="21"/>
                <w:szCs w:val="21"/>
                <w:vertAlign w:val="subscript"/>
                <w:lang w:bidi="ar"/>
              </w:rPr>
              <w:t>4</w:t>
            </w:r>
            <w:r>
              <w:rPr>
                <w:rFonts w:eastAsia="宋体" w:cs="方正仿宋_GBK" w:hint="eastAsia"/>
                <w:color w:val="000000"/>
                <w:sz w:val="21"/>
                <w:szCs w:val="21"/>
                <w:lang w:bidi="ar"/>
              </w:rPr>
              <w:t>财政余额</w:t>
            </w:r>
            <w:r>
              <w:rPr>
                <w:rFonts w:eastAsia="宋体" w:cs="方正仿宋_GBK" w:hint="eastAsia"/>
                <w:color w:val="000000"/>
                <w:sz w:val="21"/>
                <w:szCs w:val="21"/>
                <w:lang w:bidi="ar"/>
              </w:rPr>
              <w:t>/GDP</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108ED"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财政余额</w:t>
            </w:r>
            <w:r>
              <w:rPr>
                <w:rFonts w:eastAsia="宋体" w:cs="方正仿宋_GBK" w:hint="eastAsia"/>
                <w:color w:val="000000"/>
                <w:sz w:val="21"/>
                <w:szCs w:val="21"/>
                <w:lang w:bidi="ar"/>
              </w:rPr>
              <w:t>=</w:t>
            </w:r>
            <w:r>
              <w:rPr>
                <w:rFonts w:eastAsia="宋体" w:cs="方正仿宋_GBK" w:hint="eastAsia"/>
                <w:color w:val="000000"/>
                <w:sz w:val="21"/>
                <w:szCs w:val="21"/>
                <w:lang w:bidi="ar"/>
              </w:rPr>
              <w:t>财政收入</w:t>
            </w:r>
            <w:r>
              <w:rPr>
                <w:rFonts w:eastAsia="宋体" w:cs="方正仿宋_GBK" w:hint="eastAsia"/>
                <w:color w:val="000000"/>
                <w:sz w:val="21"/>
                <w:szCs w:val="21"/>
                <w:lang w:bidi="ar"/>
              </w:rPr>
              <w:t>-</w:t>
            </w:r>
            <w:r>
              <w:rPr>
                <w:rFonts w:eastAsia="宋体" w:cs="方正仿宋_GBK" w:hint="eastAsia"/>
                <w:color w:val="000000"/>
                <w:sz w:val="21"/>
                <w:szCs w:val="21"/>
                <w:lang w:bidi="ar"/>
              </w:rPr>
              <w:t>财政支出</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3BBF"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1.80%</w:t>
            </w:r>
          </w:p>
        </w:tc>
      </w:tr>
      <w:tr w:rsidR="006B10D9" w14:paraId="3876C7AD" w14:textId="77777777">
        <w:trPr>
          <w:trHeight w:val="370"/>
          <w:jc w:val="center"/>
        </w:trPr>
        <w:tc>
          <w:tcPr>
            <w:tcW w:w="1137" w:type="dxa"/>
            <w:vMerge w:val="restart"/>
            <w:tcBorders>
              <w:top w:val="single" w:sz="4" w:space="0" w:color="000000"/>
              <w:left w:val="single" w:sz="4" w:space="0" w:color="000000"/>
              <w:right w:val="single" w:sz="4" w:space="0" w:color="000000"/>
            </w:tcBorders>
            <w:shd w:val="clear" w:color="auto" w:fill="auto"/>
            <w:vAlign w:val="center"/>
          </w:tcPr>
          <w:p w14:paraId="4975652E" w14:textId="77777777" w:rsidR="006B10D9" w:rsidRDefault="00BE6472">
            <w:pPr>
              <w:widowControl/>
              <w:snapToGrid w:val="0"/>
              <w:spacing w:before="100" w:line="312" w:lineRule="auto"/>
              <w:ind w:firstLineChars="0" w:firstLine="0"/>
              <w:jc w:val="center"/>
              <w:textAlignment w:val="center"/>
              <w:rPr>
                <w:rFonts w:eastAsia="宋体" w:cs="Times New Roman"/>
                <w:sz w:val="21"/>
                <w:szCs w:val="21"/>
              </w:rPr>
            </w:pPr>
            <w:r>
              <w:rPr>
                <w:rFonts w:eastAsia="宋体" w:cs="Times New Roman" w:hint="eastAsia"/>
                <w:sz w:val="21"/>
                <w:szCs w:val="21"/>
              </w:rPr>
              <w:t>双边关系</w:t>
            </w:r>
            <w:r>
              <w:rPr>
                <w:rFonts w:eastAsia="宋体" w:cs="Times New Roman" w:hint="eastAsia"/>
                <w:sz w:val="21"/>
                <w:szCs w:val="21"/>
              </w:rPr>
              <w:t>E 0.2</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7DB6"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E</w:t>
            </w:r>
            <w:r>
              <w:rPr>
                <w:rFonts w:eastAsia="宋体" w:cs="微软雅黑" w:hint="eastAsia"/>
                <w:color w:val="000000"/>
                <w:sz w:val="21"/>
                <w:szCs w:val="21"/>
                <w:vertAlign w:val="subscript"/>
                <w:lang w:bidi="ar"/>
              </w:rPr>
              <w:t>1</w:t>
            </w:r>
            <w:r>
              <w:rPr>
                <w:rFonts w:eastAsia="宋体" w:cs="微软雅黑" w:hint="eastAsia"/>
                <w:color w:val="000000"/>
                <w:sz w:val="21"/>
                <w:szCs w:val="21"/>
                <w:lang w:bidi="ar"/>
              </w:rPr>
              <w:t>贸易依存度</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8D74"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是否签订双边贸易协定</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568EA"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9.48%</w:t>
            </w:r>
          </w:p>
        </w:tc>
      </w:tr>
      <w:tr w:rsidR="006B10D9" w14:paraId="16218BE4" w14:textId="77777777">
        <w:trPr>
          <w:trHeight w:val="370"/>
          <w:jc w:val="center"/>
        </w:trPr>
        <w:tc>
          <w:tcPr>
            <w:tcW w:w="1137" w:type="dxa"/>
            <w:vMerge/>
            <w:tcBorders>
              <w:left w:val="single" w:sz="4" w:space="0" w:color="000000"/>
              <w:bottom w:val="single" w:sz="4" w:space="0" w:color="000000"/>
              <w:right w:val="single" w:sz="4" w:space="0" w:color="000000"/>
            </w:tcBorders>
            <w:shd w:val="clear" w:color="auto" w:fill="auto"/>
            <w:vAlign w:val="center"/>
          </w:tcPr>
          <w:p w14:paraId="3FD71C8D" w14:textId="77777777" w:rsidR="006B10D9" w:rsidRDefault="006B10D9">
            <w:pPr>
              <w:widowControl/>
              <w:snapToGrid w:val="0"/>
              <w:spacing w:before="100" w:line="312" w:lineRule="auto"/>
              <w:ind w:firstLineChars="0" w:firstLine="0"/>
              <w:jc w:val="center"/>
              <w:rPr>
                <w:rFonts w:eastAsia="宋体" w:cs="微软雅黑"/>
                <w:color w:val="000000"/>
                <w:sz w:val="21"/>
                <w:szCs w:val="21"/>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F2BDC"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rPr>
            </w:pPr>
            <w:r>
              <w:rPr>
                <w:rFonts w:eastAsia="宋体" w:cs="微软雅黑" w:hint="eastAsia"/>
                <w:color w:val="000000"/>
                <w:sz w:val="21"/>
                <w:szCs w:val="21"/>
                <w:lang w:bidi="ar"/>
              </w:rPr>
              <w:t>E</w:t>
            </w:r>
            <w:r>
              <w:rPr>
                <w:rFonts w:eastAsia="宋体" w:cs="微软雅黑" w:hint="eastAsia"/>
                <w:color w:val="000000"/>
                <w:sz w:val="21"/>
                <w:szCs w:val="21"/>
                <w:vertAlign w:val="subscript"/>
                <w:lang w:bidi="ar"/>
              </w:rPr>
              <w:t>2</w:t>
            </w:r>
            <w:r>
              <w:rPr>
                <w:rFonts w:eastAsia="宋体" w:cs="微软雅黑" w:hint="eastAsia"/>
                <w:color w:val="000000"/>
                <w:sz w:val="21"/>
                <w:szCs w:val="21"/>
                <w:lang w:bidi="ar"/>
              </w:rPr>
              <w:t>双边贸易协定</w:t>
            </w:r>
          </w:p>
        </w:tc>
        <w:tc>
          <w:tcPr>
            <w:tcW w:w="3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25A35" w14:textId="77777777" w:rsidR="006B10D9" w:rsidRDefault="00BE6472">
            <w:pPr>
              <w:widowControl/>
              <w:snapToGrid w:val="0"/>
              <w:spacing w:before="100" w:line="312" w:lineRule="auto"/>
              <w:ind w:firstLineChars="0" w:firstLine="0"/>
              <w:jc w:val="center"/>
              <w:textAlignment w:val="center"/>
              <w:rPr>
                <w:rFonts w:eastAsia="宋体" w:cs="方正仿宋_GBK"/>
                <w:color w:val="000000"/>
                <w:sz w:val="21"/>
                <w:szCs w:val="21"/>
                <w:lang w:bidi="ar"/>
              </w:rPr>
            </w:pPr>
            <w:r>
              <w:rPr>
                <w:rFonts w:eastAsia="宋体" w:cs="方正仿宋_GBK" w:hint="eastAsia"/>
                <w:color w:val="000000"/>
                <w:sz w:val="21"/>
                <w:szCs w:val="21"/>
                <w:lang w:bidi="ar"/>
              </w:rPr>
              <w:t>分数越高，对中国贸易依存度越高</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B8170" w14:textId="77777777" w:rsidR="006B10D9" w:rsidRDefault="00BE6472">
            <w:pPr>
              <w:widowControl/>
              <w:snapToGrid w:val="0"/>
              <w:spacing w:before="100" w:line="312" w:lineRule="auto"/>
              <w:ind w:firstLineChars="0" w:firstLine="0"/>
              <w:jc w:val="center"/>
              <w:textAlignment w:val="center"/>
              <w:rPr>
                <w:rFonts w:eastAsia="宋体" w:cs="微软雅黑"/>
                <w:color w:val="000000"/>
                <w:sz w:val="21"/>
                <w:szCs w:val="21"/>
                <w:lang w:bidi="ar"/>
              </w:rPr>
            </w:pPr>
            <w:r>
              <w:rPr>
                <w:rFonts w:eastAsia="宋体" w:cs="微软雅黑" w:hint="eastAsia"/>
                <w:color w:val="000000"/>
                <w:sz w:val="21"/>
                <w:szCs w:val="21"/>
                <w:lang w:bidi="ar"/>
              </w:rPr>
              <w:t>6.14%</w:t>
            </w:r>
          </w:p>
        </w:tc>
      </w:tr>
    </w:tbl>
    <w:p w14:paraId="20007A61" w14:textId="77777777" w:rsidR="006B10D9" w:rsidRDefault="006B10D9">
      <w:pPr>
        <w:snapToGrid w:val="0"/>
        <w:spacing w:line="240" w:lineRule="auto"/>
        <w:ind w:firstLineChars="0" w:firstLine="0"/>
        <w:rPr>
          <w:rFonts w:eastAsia="宋体" w:cs="Times New Roman"/>
          <w:sz w:val="24"/>
          <w:szCs w:val="24"/>
        </w:rPr>
      </w:pPr>
    </w:p>
    <w:p w14:paraId="4D6398D4" w14:textId="77777777" w:rsidR="006B10D9" w:rsidRDefault="00BE6472">
      <w:pPr>
        <w:pStyle w:val="4"/>
      </w:pPr>
      <w:bookmarkStart w:id="69" w:name="_Toc19260"/>
      <w:r>
        <w:rPr>
          <w:rFonts w:hint="eastAsia"/>
        </w:rPr>
        <w:t>2</w:t>
      </w:r>
      <w:r>
        <w:rPr>
          <w:rFonts w:cs="华文楷体" w:hint="eastAsia"/>
        </w:rPr>
        <w:t>.</w:t>
      </w:r>
      <w:r>
        <w:rPr>
          <w:rFonts w:hint="eastAsia"/>
        </w:rPr>
        <w:t>国别风险综合排名</w:t>
      </w:r>
      <w:bookmarkEnd w:id="69"/>
    </w:p>
    <w:p w14:paraId="00EAE2B3" w14:textId="77777777" w:rsidR="006B10D9" w:rsidRDefault="00BE6472">
      <w:pPr>
        <w:spacing w:line="360" w:lineRule="auto"/>
        <w:ind w:firstLine="480"/>
        <w:rPr>
          <w:rFonts w:eastAsia="宋体" w:cs="Times New Roman"/>
          <w:sz w:val="28"/>
          <w:szCs w:val="21"/>
        </w:rPr>
      </w:pPr>
      <w:r>
        <w:rPr>
          <w:rFonts w:eastAsia="宋体" w:cs="Times New Roman" w:hint="eastAsia"/>
          <w:sz w:val="24"/>
          <w:szCs w:val="24"/>
        </w:rPr>
        <w:t>根据</w:t>
      </w:r>
      <w:r>
        <w:rPr>
          <w:rFonts w:eastAsia="宋体" w:cs="Times New Roman" w:hint="eastAsia"/>
          <w:sz w:val="24"/>
          <w:szCs w:val="24"/>
        </w:rPr>
        <w:t>stat</w:t>
      </w:r>
      <w:r>
        <w:rPr>
          <w:rFonts w:eastAsia="宋体" w:cs="Times New Roman" w:hint="eastAsia"/>
          <w:sz w:val="24"/>
          <w:szCs w:val="24"/>
          <w:u w:val="dotted"/>
        </w:rPr>
        <w:t>a</w:t>
      </w:r>
      <w:r>
        <w:rPr>
          <w:rFonts w:eastAsia="宋体" w:cs="Times New Roman" w:hint="eastAsia"/>
          <w:sz w:val="24"/>
          <w:szCs w:val="24"/>
        </w:rPr>
        <w:t>计算出的熵值权重进行求和，得到</w:t>
      </w:r>
      <w:r>
        <w:rPr>
          <w:rFonts w:eastAsia="宋体" w:cs="Times New Roman" w:hint="eastAsia"/>
          <w:sz w:val="24"/>
          <w:szCs w:val="24"/>
        </w:rPr>
        <w:t>2020</w:t>
      </w:r>
      <w:r>
        <w:rPr>
          <w:rFonts w:eastAsia="宋体" w:cs="Times New Roman" w:hint="eastAsia"/>
          <w:sz w:val="24"/>
          <w:szCs w:val="24"/>
        </w:rPr>
        <w:t>年国别综合得分情况，见表</w:t>
      </w:r>
      <w:r>
        <w:rPr>
          <w:rFonts w:eastAsia="宋体" w:cs="Times New Roman" w:hint="eastAsia"/>
          <w:sz w:val="24"/>
          <w:szCs w:val="24"/>
        </w:rPr>
        <w:t>17</w:t>
      </w:r>
      <w:r>
        <w:rPr>
          <w:rFonts w:eastAsia="宋体" w:cs="Times New Roman" w:hint="eastAsia"/>
          <w:sz w:val="24"/>
          <w:szCs w:val="24"/>
        </w:rPr>
        <w:t>。</w:t>
      </w:r>
    </w:p>
    <w:p w14:paraId="4E078CCC" w14:textId="77777777" w:rsidR="006B10D9" w:rsidRDefault="00BE6472">
      <w:pPr>
        <w:pStyle w:val="affd"/>
      </w:pPr>
      <w:r>
        <w:rPr>
          <w:rFonts w:hint="eastAsia"/>
        </w:rPr>
        <w:t>表</w:t>
      </w:r>
      <w:r>
        <w:rPr>
          <w:rFonts w:hint="eastAsia"/>
        </w:rPr>
        <w:t xml:space="preserve">17 </w:t>
      </w:r>
      <w:r>
        <w:rPr>
          <w:rFonts w:hint="eastAsia"/>
          <w:sz w:val="28"/>
        </w:rPr>
        <w:t xml:space="preserve"> </w:t>
      </w:r>
      <w:r>
        <w:rPr>
          <w:rFonts w:hint="eastAsia"/>
        </w:rPr>
        <w:t>2020</w:t>
      </w:r>
      <w:r>
        <w:rPr>
          <w:rFonts w:hint="eastAsia"/>
        </w:rPr>
        <w:t>年国别风险综合得分</w:t>
      </w:r>
    </w:p>
    <w:tbl>
      <w:tblPr>
        <w:tblStyle w:val="112"/>
        <w:tblpPr w:leftFromText="180" w:rightFromText="180" w:vertAnchor="text" w:horzAnchor="margin" w:tblpXSpec="center" w:tblpY="94"/>
        <w:tblW w:w="9910" w:type="dxa"/>
        <w:tblLayout w:type="fixed"/>
        <w:tblLook w:val="04A0" w:firstRow="1" w:lastRow="0" w:firstColumn="1" w:lastColumn="0" w:noHBand="0" w:noVBand="1"/>
      </w:tblPr>
      <w:tblGrid>
        <w:gridCol w:w="946"/>
        <w:gridCol w:w="567"/>
        <w:gridCol w:w="734"/>
        <w:gridCol w:w="1136"/>
        <w:gridCol w:w="721"/>
        <w:gridCol w:w="648"/>
        <w:gridCol w:w="1149"/>
        <w:gridCol w:w="602"/>
        <w:gridCol w:w="755"/>
        <w:gridCol w:w="1387"/>
        <w:gridCol w:w="567"/>
        <w:gridCol w:w="698"/>
      </w:tblGrid>
      <w:tr w:rsidR="006B10D9" w14:paraId="26041DCA" w14:textId="77777777" w:rsidTr="006B10D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946" w:type="dxa"/>
          </w:tcPr>
          <w:p w14:paraId="12B1488D"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8"/>
                <w:lang w:bidi="ar"/>
              </w:rPr>
            </w:pPr>
            <w:r>
              <w:rPr>
                <w:rFonts w:eastAsia="宋体" w:cs="微软雅黑" w:hint="eastAsia"/>
                <w:color w:val="000000"/>
                <w:kern w:val="0"/>
                <w:sz w:val="17"/>
                <w:szCs w:val="18"/>
                <w:lang w:bidi="ar"/>
              </w:rPr>
              <w:t>国家</w:t>
            </w:r>
          </w:p>
        </w:tc>
        <w:tc>
          <w:tcPr>
            <w:tcW w:w="567" w:type="dxa"/>
          </w:tcPr>
          <w:p w14:paraId="36391161"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排名</w:t>
            </w:r>
          </w:p>
        </w:tc>
        <w:tc>
          <w:tcPr>
            <w:tcW w:w="734" w:type="dxa"/>
          </w:tcPr>
          <w:p w14:paraId="465C8D01"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得分</w:t>
            </w:r>
          </w:p>
        </w:tc>
        <w:tc>
          <w:tcPr>
            <w:tcW w:w="1136" w:type="dxa"/>
          </w:tcPr>
          <w:p w14:paraId="679A463D"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国家</w:t>
            </w:r>
          </w:p>
        </w:tc>
        <w:tc>
          <w:tcPr>
            <w:tcW w:w="721" w:type="dxa"/>
          </w:tcPr>
          <w:p w14:paraId="24857B10"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排名</w:t>
            </w:r>
          </w:p>
        </w:tc>
        <w:tc>
          <w:tcPr>
            <w:tcW w:w="648" w:type="dxa"/>
          </w:tcPr>
          <w:p w14:paraId="2FCED3AE"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得分</w:t>
            </w:r>
          </w:p>
        </w:tc>
        <w:tc>
          <w:tcPr>
            <w:tcW w:w="1149" w:type="dxa"/>
          </w:tcPr>
          <w:p w14:paraId="2C9B7CE6"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国家</w:t>
            </w:r>
          </w:p>
        </w:tc>
        <w:tc>
          <w:tcPr>
            <w:tcW w:w="602" w:type="dxa"/>
          </w:tcPr>
          <w:p w14:paraId="6413505B"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排名</w:t>
            </w:r>
          </w:p>
        </w:tc>
        <w:tc>
          <w:tcPr>
            <w:tcW w:w="755" w:type="dxa"/>
          </w:tcPr>
          <w:p w14:paraId="53FE93DD"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得分</w:t>
            </w:r>
          </w:p>
        </w:tc>
        <w:tc>
          <w:tcPr>
            <w:tcW w:w="1387" w:type="dxa"/>
          </w:tcPr>
          <w:p w14:paraId="687B7932"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国家</w:t>
            </w:r>
          </w:p>
        </w:tc>
        <w:tc>
          <w:tcPr>
            <w:tcW w:w="567" w:type="dxa"/>
          </w:tcPr>
          <w:p w14:paraId="63E5734A"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排名</w:t>
            </w:r>
          </w:p>
        </w:tc>
        <w:tc>
          <w:tcPr>
            <w:tcW w:w="698" w:type="dxa"/>
          </w:tcPr>
          <w:p w14:paraId="7484CEF2" w14:textId="77777777" w:rsidR="006B10D9" w:rsidRDefault="00BE6472">
            <w:pPr>
              <w:widowControl/>
              <w:adjustRightInd w:val="0"/>
              <w:snapToGrid w:val="0"/>
              <w:spacing w:before="100" w:line="312" w:lineRule="auto"/>
              <w:ind w:firstLineChars="0" w:firstLine="0"/>
              <w:jc w:val="center"/>
              <w:textAlignment w:val="center"/>
              <w:cnfStyle w:val="100000000000" w:firstRow="1" w:lastRow="0" w:firstColumn="0" w:lastColumn="0" w:oddVBand="0" w:evenVBand="0" w:oddHBand="0" w:evenHBand="0" w:firstRowFirstColumn="0" w:firstRowLastColumn="0" w:lastRowFirstColumn="0" w:lastRowLastColumn="0"/>
              <w:rPr>
                <w:rFonts w:eastAsia="宋体" w:cs="微软雅黑"/>
                <w:color w:val="000000"/>
                <w:kern w:val="0"/>
                <w:sz w:val="17"/>
                <w:szCs w:val="18"/>
                <w:lang w:bidi="ar"/>
              </w:rPr>
            </w:pPr>
            <w:r>
              <w:rPr>
                <w:rFonts w:eastAsia="宋体" w:cs="微软雅黑" w:hint="eastAsia"/>
                <w:color w:val="000000"/>
                <w:kern w:val="0"/>
                <w:sz w:val="17"/>
                <w:szCs w:val="18"/>
                <w:lang w:bidi="ar"/>
              </w:rPr>
              <w:t>得分</w:t>
            </w:r>
          </w:p>
        </w:tc>
      </w:tr>
      <w:tr w:rsidR="006B10D9" w14:paraId="3F078D1B"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06F79C3D"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美国</w:t>
            </w:r>
          </w:p>
        </w:tc>
        <w:tc>
          <w:tcPr>
            <w:tcW w:w="567" w:type="dxa"/>
            <w:shd w:val="clear" w:color="auto" w:fill="F2F2F2" w:themeFill="background1" w:themeFillShade="F2"/>
          </w:tcPr>
          <w:p w14:paraId="6431791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w:t>
            </w:r>
          </w:p>
        </w:tc>
        <w:tc>
          <w:tcPr>
            <w:tcW w:w="734" w:type="dxa"/>
            <w:shd w:val="clear" w:color="auto" w:fill="F2F2F2" w:themeFill="background1" w:themeFillShade="F2"/>
          </w:tcPr>
          <w:p w14:paraId="58FE881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69.60 </w:t>
            </w:r>
          </w:p>
        </w:tc>
        <w:tc>
          <w:tcPr>
            <w:tcW w:w="1136" w:type="dxa"/>
            <w:shd w:val="clear" w:color="auto" w:fill="F2F2F2" w:themeFill="background1" w:themeFillShade="F2"/>
          </w:tcPr>
          <w:p w14:paraId="37B8EC4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葡萄牙</w:t>
            </w:r>
          </w:p>
        </w:tc>
        <w:tc>
          <w:tcPr>
            <w:tcW w:w="721" w:type="dxa"/>
            <w:shd w:val="clear" w:color="auto" w:fill="F2F2F2" w:themeFill="background1" w:themeFillShade="F2"/>
          </w:tcPr>
          <w:p w14:paraId="4C4CF93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27</w:t>
            </w:r>
          </w:p>
        </w:tc>
        <w:tc>
          <w:tcPr>
            <w:tcW w:w="648" w:type="dxa"/>
            <w:shd w:val="clear" w:color="auto" w:fill="F2F2F2" w:themeFill="background1" w:themeFillShade="F2"/>
          </w:tcPr>
          <w:p w14:paraId="4000BCB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35.89 </w:t>
            </w:r>
          </w:p>
        </w:tc>
        <w:tc>
          <w:tcPr>
            <w:tcW w:w="1149" w:type="dxa"/>
            <w:shd w:val="clear" w:color="auto" w:fill="F2F2F2" w:themeFill="background1" w:themeFillShade="F2"/>
          </w:tcPr>
          <w:p w14:paraId="7755AD1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巴林</w:t>
            </w:r>
          </w:p>
        </w:tc>
        <w:tc>
          <w:tcPr>
            <w:tcW w:w="602" w:type="dxa"/>
            <w:shd w:val="clear" w:color="auto" w:fill="F2F2F2" w:themeFill="background1" w:themeFillShade="F2"/>
          </w:tcPr>
          <w:p w14:paraId="2CDE7D6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53</w:t>
            </w:r>
          </w:p>
        </w:tc>
        <w:tc>
          <w:tcPr>
            <w:tcW w:w="755" w:type="dxa"/>
            <w:shd w:val="clear" w:color="auto" w:fill="F2F2F2" w:themeFill="background1" w:themeFillShade="F2"/>
          </w:tcPr>
          <w:p w14:paraId="6E7D089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28.62 </w:t>
            </w:r>
          </w:p>
        </w:tc>
        <w:tc>
          <w:tcPr>
            <w:tcW w:w="1387" w:type="dxa"/>
            <w:shd w:val="clear" w:color="auto" w:fill="F2F2F2" w:themeFill="background1" w:themeFillShade="F2"/>
          </w:tcPr>
          <w:p w14:paraId="4DC0847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玻利维亚</w:t>
            </w:r>
          </w:p>
        </w:tc>
        <w:tc>
          <w:tcPr>
            <w:tcW w:w="567" w:type="dxa"/>
            <w:shd w:val="clear" w:color="auto" w:fill="F2F2F2" w:themeFill="background1" w:themeFillShade="F2"/>
          </w:tcPr>
          <w:p w14:paraId="6DA5C46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79</w:t>
            </w:r>
          </w:p>
        </w:tc>
        <w:tc>
          <w:tcPr>
            <w:tcW w:w="698" w:type="dxa"/>
            <w:shd w:val="clear" w:color="auto" w:fill="F2F2F2" w:themeFill="background1" w:themeFillShade="F2"/>
          </w:tcPr>
          <w:p w14:paraId="0B6BBB9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22.94 </w:t>
            </w:r>
          </w:p>
        </w:tc>
      </w:tr>
      <w:tr w:rsidR="006B10D9" w14:paraId="320F80BD"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1FBD2013"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加拿大</w:t>
            </w:r>
          </w:p>
        </w:tc>
        <w:tc>
          <w:tcPr>
            <w:tcW w:w="567" w:type="dxa"/>
          </w:tcPr>
          <w:p w14:paraId="3584358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w:t>
            </w:r>
          </w:p>
        </w:tc>
        <w:tc>
          <w:tcPr>
            <w:tcW w:w="734" w:type="dxa"/>
          </w:tcPr>
          <w:p w14:paraId="2C06072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65.76 </w:t>
            </w:r>
          </w:p>
        </w:tc>
        <w:tc>
          <w:tcPr>
            <w:tcW w:w="1136" w:type="dxa"/>
          </w:tcPr>
          <w:p w14:paraId="7E4C78B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乌拉圭</w:t>
            </w:r>
          </w:p>
        </w:tc>
        <w:tc>
          <w:tcPr>
            <w:tcW w:w="721" w:type="dxa"/>
          </w:tcPr>
          <w:p w14:paraId="56BF1A3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28</w:t>
            </w:r>
          </w:p>
        </w:tc>
        <w:tc>
          <w:tcPr>
            <w:tcW w:w="648" w:type="dxa"/>
          </w:tcPr>
          <w:p w14:paraId="7C5E340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35.07 </w:t>
            </w:r>
          </w:p>
        </w:tc>
        <w:tc>
          <w:tcPr>
            <w:tcW w:w="1149" w:type="dxa"/>
          </w:tcPr>
          <w:p w14:paraId="44FFE92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罗马尼亚</w:t>
            </w:r>
          </w:p>
        </w:tc>
        <w:tc>
          <w:tcPr>
            <w:tcW w:w="602" w:type="dxa"/>
          </w:tcPr>
          <w:p w14:paraId="289F947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54</w:t>
            </w:r>
          </w:p>
        </w:tc>
        <w:tc>
          <w:tcPr>
            <w:tcW w:w="755" w:type="dxa"/>
          </w:tcPr>
          <w:p w14:paraId="0D10892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28.53 </w:t>
            </w:r>
          </w:p>
        </w:tc>
        <w:tc>
          <w:tcPr>
            <w:tcW w:w="1387" w:type="dxa"/>
          </w:tcPr>
          <w:p w14:paraId="4E698B4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吉尔吉斯斯坦</w:t>
            </w:r>
          </w:p>
        </w:tc>
        <w:tc>
          <w:tcPr>
            <w:tcW w:w="567" w:type="dxa"/>
          </w:tcPr>
          <w:p w14:paraId="4211304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80</w:t>
            </w:r>
          </w:p>
        </w:tc>
        <w:tc>
          <w:tcPr>
            <w:tcW w:w="698" w:type="dxa"/>
          </w:tcPr>
          <w:p w14:paraId="28752B6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22.83 </w:t>
            </w:r>
          </w:p>
        </w:tc>
      </w:tr>
      <w:tr w:rsidR="006B10D9" w14:paraId="0BB8B1A3"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17CA9679"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日本</w:t>
            </w:r>
          </w:p>
        </w:tc>
        <w:tc>
          <w:tcPr>
            <w:tcW w:w="567" w:type="dxa"/>
            <w:shd w:val="clear" w:color="auto" w:fill="F2F2F2" w:themeFill="background1" w:themeFillShade="F2"/>
          </w:tcPr>
          <w:p w14:paraId="51FB623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w:t>
            </w:r>
          </w:p>
        </w:tc>
        <w:tc>
          <w:tcPr>
            <w:tcW w:w="734" w:type="dxa"/>
            <w:shd w:val="clear" w:color="auto" w:fill="F2F2F2" w:themeFill="background1" w:themeFillShade="F2"/>
          </w:tcPr>
          <w:p w14:paraId="33F2E18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50.92 </w:t>
            </w:r>
          </w:p>
        </w:tc>
        <w:tc>
          <w:tcPr>
            <w:tcW w:w="1136" w:type="dxa"/>
            <w:shd w:val="clear" w:color="auto" w:fill="F2F2F2" w:themeFill="background1" w:themeFillShade="F2"/>
          </w:tcPr>
          <w:p w14:paraId="07C27E7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塞浦路斯</w:t>
            </w:r>
          </w:p>
        </w:tc>
        <w:tc>
          <w:tcPr>
            <w:tcW w:w="721" w:type="dxa"/>
            <w:shd w:val="clear" w:color="auto" w:fill="F2F2F2" w:themeFill="background1" w:themeFillShade="F2"/>
          </w:tcPr>
          <w:p w14:paraId="4B7B4CB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29</w:t>
            </w:r>
          </w:p>
        </w:tc>
        <w:tc>
          <w:tcPr>
            <w:tcW w:w="648" w:type="dxa"/>
            <w:shd w:val="clear" w:color="auto" w:fill="F2F2F2" w:themeFill="background1" w:themeFillShade="F2"/>
          </w:tcPr>
          <w:p w14:paraId="543AD10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34.84 </w:t>
            </w:r>
          </w:p>
        </w:tc>
        <w:tc>
          <w:tcPr>
            <w:tcW w:w="1149" w:type="dxa"/>
            <w:shd w:val="clear" w:color="auto" w:fill="F2F2F2" w:themeFill="background1" w:themeFillShade="F2"/>
          </w:tcPr>
          <w:p w14:paraId="6F71335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南非</w:t>
            </w:r>
          </w:p>
        </w:tc>
        <w:tc>
          <w:tcPr>
            <w:tcW w:w="602" w:type="dxa"/>
            <w:shd w:val="clear" w:color="auto" w:fill="F2F2F2" w:themeFill="background1" w:themeFillShade="F2"/>
          </w:tcPr>
          <w:p w14:paraId="64CB3C8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55</w:t>
            </w:r>
          </w:p>
        </w:tc>
        <w:tc>
          <w:tcPr>
            <w:tcW w:w="755" w:type="dxa"/>
            <w:shd w:val="clear" w:color="auto" w:fill="F2F2F2" w:themeFill="background1" w:themeFillShade="F2"/>
          </w:tcPr>
          <w:p w14:paraId="63DD588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28.18 </w:t>
            </w:r>
          </w:p>
        </w:tc>
        <w:tc>
          <w:tcPr>
            <w:tcW w:w="1387" w:type="dxa"/>
            <w:shd w:val="clear" w:color="auto" w:fill="F2F2F2" w:themeFill="background1" w:themeFillShade="F2"/>
          </w:tcPr>
          <w:p w14:paraId="3D997B2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尼日利亚</w:t>
            </w:r>
          </w:p>
        </w:tc>
        <w:tc>
          <w:tcPr>
            <w:tcW w:w="567" w:type="dxa"/>
            <w:shd w:val="clear" w:color="auto" w:fill="F2F2F2" w:themeFill="background1" w:themeFillShade="F2"/>
          </w:tcPr>
          <w:p w14:paraId="4416275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81</w:t>
            </w:r>
          </w:p>
        </w:tc>
        <w:tc>
          <w:tcPr>
            <w:tcW w:w="698" w:type="dxa"/>
            <w:shd w:val="clear" w:color="auto" w:fill="F2F2F2" w:themeFill="background1" w:themeFillShade="F2"/>
          </w:tcPr>
          <w:p w14:paraId="20EEFEF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22.68 </w:t>
            </w:r>
          </w:p>
        </w:tc>
      </w:tr>
      <w:tr w:rsidR="006B10D9" w14:paraId="2868DA9A"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47837482"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瑞士</w:t>
            </w:r>
          </w:p>
        </w:tc>
        <w:tc>
          <w:tcPr>
            <w:tcW w:w="567" w:type="dxa"/>
          </w:tcPr>
          <w:p w14:paraId="1919853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w:t>
            </w:r>
          </w:p>
        </w:tc>
        <w:tc>
          <w:tcPr>
            <w:tcW w:w="734" w:type="dxa"/>
          </w:tcPr>
          <w:p w14:paraId="0317FDE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49.53 </w:t>
            </w:r>
          </w:p>
        </w:tc>
        <w:tc>
          <w:tcPr>
            <w:tcW w:w="1136" w:type="dxa"/>
          </w:tcPr>
          <w:p w14:paraId="4A742A8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爱沙尼亚</w:t>
            </w:r>
          </w:p>
        </w:tc>
        <w:tc>
          <w:tcPr>
            <w:tcW w:w="721" w:type="dxa"/>
          </w:tcPr>
          <w:p w14:paraId="658FA1C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30</w:t>
            </w:r>
          </w:p>
        </w:tc>
        <w:tc>
          <w:tcPr>
            <w:tcW w:w="648" w:type="dxa"/>
          </w:tcPr>
          <w:p w14:paraId="523E5D5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33.98 </w:t>
            </w:r>
          </w:p>
        </w:tc>
        <w:tc>
          <w:tcPr>
            <w:tcW w:w="1149" w:type="dxa"/>
          </w:tcPr>
          <w:p w14:paraId="3D9054E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缅甸</w:t>
            </w:r>
          </w:p>
        </w:tc>
        <w:tc>
          <w:tcPr>
            <w:tcW w:w="602" w:type="dxa"/>
          </w:tcPr>
          <w:p w14:paraId="6515405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56</w:t>
            </w:r>
          </w:p>
        </w:tc>
        <w:tc>
          <w:tcPr>
            <w:tcW w:w="755" w:type="dxa"/>
          </w:tcPr>
          <w:p w14:paraId="7B52F69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27.81 </w:t>
            </w:r>
          </w:p>
        </w:tc>
        <w:tc>
          <w:tcPr>
            <w:tcW w:w="1387" w:type="dxa"/>
          </w:tcPr>
          <w:p w14:paraId="38CAF1A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多哥</w:t>
            </w:r>
          </w:p>
        </w:tc>
        <w:tc>
          <w:tcPr>
            <w:tcW w:w="567" w:type="dxa"/>
          </w:tcPr>
          <w:p w14:paraId="5CA52B4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82</w:t>
            </w:r>
          </w:p>
        </w:tc>
        <w:tc>
          <w:tcPr>
            <w:tcW w:w="698" w:type="dxa"/>
          </w:tcPr>
          <w:p w14:paraId="4779D83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22.60 </w:t>
            </w:r>
          </w:p>
        </w:tc>
      </w:tr>
      <w:tr w:rsidR="006B10D9" w14:paraId="794D8130"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5996FBE4"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卢森堡</w:t>
            </w:r>
          </w:p>
        </w:tc>
        <w:tc>
          <w:tcPr>
            <w:tcW w:w="567" w:type="dxa"/>
            <w:shd w:val="clear" w:color="auto" w:fill="F2F2F2" w:themeFill="background1" w:themeFillShade="F2"/>
          </w:tcPr>
          <w:p w14:paraId="104A51A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w:t>
            </w:r>
          </w:p>
        </w:tc>
        <w:tc>
          <w:tcPr>
            <w:tcW w:w="734" w:type="dxa"/>
            <w:shd w:val="clear" w:color="auto" w:fill="F2F2F2" w:themeFill="background1" w:themeFillShade="F2"/>
          </w:tcPr>
          <w:p w14:paraId="0E2AC51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48.92 </w:t>
            </w:r>
          </w:p>
        </w:tc>
        <w:tc>
          <w:tcPr>
            <w:tcW w:w="1136" w:type="dxa"/>
            <w:shd w:val="clear" w:color="auto" w:fill="F2F2F2" w:themeFill="background1" w:themeFillShade="F2"/>
          </w:tcPr>
          <w:p w14:paraId="19D6D16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斯洛文尼亚</w:t>
            </w:r>
          </w:p>
        </w:tc>
        <w:tc>
          <w:tcPr>
            <w:tcW w:w="721" w:type="dxa"/>
            <w:shd w:val="clear" w:color="auto" w:fill="F2F2F2" w:themeFill="background1" w:themeFillShade="F2"/>
          </w:tcPr>
          <w:p w14:paraId="612C270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31</w:t>
            </w:r>
          </w:p>
        </w:tc>
        <w:tc>
          <w:tcPr>
            <w:tcW w:w="648" w:type="dxa"/>
            <w:shd w:val="clear" w:color="auto" w:fill="F2F2F2" w:themeFill="background1" w:themeFillShade="F2"/>
          </w:tcPr>
          <w:p w14:paraId="75E2CDE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33.48 </w:t>
            </w:r>
          </w:p>
        </w:tc>
        <w:tc>
          <w:tcPr>
            <w:tcW w:w="1149" w:type="dxa"/>
            <w:shd w:val="clear" w:color="auto" w:fill="F2F2F2" w:themeFill="background1" w:themeFillShade="F2"/>
          </w:tcPr>
          <w:p w14:paraId="1901E8E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几内亚</w:t>
            </w:r>
          </w:p>
        </w:tc>
        <w:tc>
          <w:tcPr>
            <w:tcW w:w="602" w:type="dxa"/>
            <w:shd w:val="clear" w:color="auto" w:fill="F2F2F2" w:themeFill="background1" w:themeFillShade="F2"/>
          </w:tcPr>
          <w:p w14:paraId="795041E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57</w:t>
            </w:r>
          </w:p>
        </w:tc>
        <w:tc>
          <w:tcPr>
            <w:tcW w:w="755" w:type="dxa"/>
            <w:shd w:val="clear" w:color="auto" w:fill="F2F2F2" w:themeFill="background1" w:themeFillShade="F2"/>
          </w:tcPr>
          <w:p w14:paraId="16FC206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27.81 </w:t>
            </w:r>
          </w:p>
        </w:tc>
        <w:tc>
          <w:tcPr>
            <w:tcW w:w="1387" w:type="dxa"/>
            <w:shd w:val="clear" w:color="auto" w:fill="F2F2F2" w:themeFill="background1" w:themeFillShade="F2"/>
          </w:tcPr>
          <w:p w14:paraId="61746E0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埃塞俄比亚</w:t>
            </w:r>
          </w:p>
        </w:tc>
        <w:tc>
          <w:tcPr>
            <w:tcW w:w="567" w:type="dxa"/>
            <w:shd w:val="clear" w:color="auto" w:fill="F2F2F2" w:themeFill="background1" w:themeFillShade="F2"/>
          </w:tcPr>
          <w:p w14:paraId="4AADF57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83</w:t>
            </w:r>
          </w:p>
        </w:tc>
        <w:tc>
          <w:tcPr>
            <w:tcW w:w="698" w:type="dxa"/>
            <w:shd w:val="clear" w:color="auto" w:fill="F2F2F2" w:themeFill="background1" w:themeFillShade="F2"/>
          </w:tcPr>
          <w:p w14:paraId="0EAF61F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22.45 </w:t>
            </w:r>
          </w:p>
        </w:tc>
      </w:tr>
      <w:tr w:rsidR="006B10D9" w14:paraId="545225F8"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2D620D71"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澳大利亚</w:t>
            </w:r>
          </w:p>
        </w:tc>
        <w:tc>
          <w:tcPr>
            <w:tcW w:w="567" w:type="dxa"/>
          </w:tcPr>
          <w:p w14:paraId="25AA7D6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w:t>
            </w:r>
          </w:p>
        </w:tc>
        <w:tc>
          <w:tcPr>
            <w:tcW w:w="734" w:type="dxa"/>
          </w:tcPr>
          <w:p w14:paraId="1899614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46.92 </w:t>
            </w:r>
          </w:p>
        </w:tc>
        <w:tc>
          <w:tcPr>
            <w:tcW w:w="1136" w:type="dxa"/>
          </w:tcPr>
          <w:p w14:paraId="4F350B7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捷克</w:t>
            </w:r>
          </w:p>
        </w:tc>
        <w:tc>
          <w:tcPr>
            <w:tcW w:w="721" w:type="dxa"/>
          </w:tcPr>
          <w:p w14:paraId="410518E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32</w:t>
            </w:r>
          </w:p>
        </w:tc>
        <w:tc>
          <w:tcPr>
            <w:tcW w:w="648" w:type="dxa"/>
          </w:tcPr>
          <w:p w14:paraId="7B989BB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33.43 </w:t>
            </w:r>
          </w:p>
        </w:tc>
        <w:tc>
          <w:tcPr>
            <w:tcW w:w="1149" w:type="dxa"/>
          </w:tcPr>
          <w:p w14:paraId="2899F6B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乌克兰</w:t>
            </w:r>
          </w:p>
        </w:tc>
        <w:tc>
          <w:tcPr>
            <w:tcW w:w="602" w:type="dxa"/>
          </w:tcPr>
          <w:p w14:paraId="3599EE6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58</w:t>
            </w:r>
          </w:p>
        </w:tc>
        <w:tc>
          <w:tcPr>
            <w:tcW w:w="755" w:type="dxa"/>
          </w:tcPr>
          <w:p w14:paraId="6D5B697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27.29 </w:t>
            </w:r>
          </w:p>
        </w:tc>
        <w:tc>
          <w:tcPr>
            <w:tcW w:w="1387" w:type="dxa"/>
          </w:tcPr>
          <w:p w14:paraId="66E9CCB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马达加斯加</w:t>
            </w:r>
          </w:p>
        </w:tc>
        <w:tc>
          <w:tcPr>
            <w:tcW w:w="567" w:type="dxa"/>
          </w:tcPr>
          <w:p w14:paraId="325FD4F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84</w:t>
            </w:r>
          </w:p>
        </w:tc>
        <w:tc>
          <w:tcPr>
            <w:tcW w:w="698" w:type="dxa"/>
          </w:tcPr>
          <w:p w14:paraId="2179AF9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22.27 </w:t>
            </w:r>
          </w:p>
        </w:tc>
      </w:tr>
      <w:tr w:rsidR="006B10D9" w14:paraId="3C910908"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6E878D6F"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德国</w:t>
            </w:r>
          </w:p>
        </w:tc>
        <w:tc>
          <w:tcPr>
            <w:tcW w:w="567" w:type="dxa"/>
            <w:shd w:val="clear" w:color="auto" w:fill="F2F2F2" w:themeFill="background1" w:themeFillShade="F2"/>
          </w:tcPr>
          <w:p w14:paraId="6149BC3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w:t>
            </w:r>
          </w:p>
        </w:tc>
        <w:tc>
          <w:tcPr>
            <w:tcW w:w="734" w:type="dxa"/>
            <w:shd w:val="clear" w:color="auto" w:fill="F2F2F2" w:themeFill="background1" w:themeFillShade="F2"/>
          </w:tcPr>
          <w:p w14:paraId="64C611D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46.83 </w:t>
            </w:r>
          </w:p>
        </w:tc>
        <w:tc>
          <w:tcPr>
            <w:tcW w:w="1136" w:type="dxa"/>
            <w:shd w:val="clear" w:color="auto" w:fill="F2F2F2" w:themeFill="background1" w:themeFillShade="F2"/>
          </w:tcPr>
          <w:p w14:paraId="1DA78E7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马耳他</w:t>
            </w:r>
          </w:p>
        </w:tc>
        <w:tc>
          <w:tcPr>
            <w:tcW w:w="721" w:type="dxa"/>
            <w:shd w:val="clear" w:color="auto" w:fill="F2F2F2" w:themeFill="background1" w:themeFillShade="F2"/>
          </w:tcPr>
          <w:p w14:paraId="4010725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33</w:t>
            </w:r>
          </w:p>
        </w:tc>
        <w:tc>
          <w:tcPr>
            <w:tcW w:w="648" w:type="dxa"/>
            <w:shd w:val="clear" w:color="auto" w:fill="F2F2F2" w:themeFill="background1" w:themeFillShade="F2"/>
          </w:tcPr>
          <w:p w14:paraId="520080E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33.35 </w:t>
            </w:r>
          </w:p>
        </w:tc>
        <w:tc>
          <w:tcPr>
            <w:tcW w:w="1149" w:type="dxa"/>
            <w:shd w:val="clear" w:color="auto" w:fill="F2F2F2" w:themeFill="background1" w:themeFillShade="F2"/>
          </w:tcPr>
          <w:p w14:paraId="785CED7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伊朗</w:t>
            </w:r>
          </w:p>
        </w:tc>
        <w:tc>
          <w:tcPr>
            <w:tcW w:w="602" w:type="dxa"/>
            <w:shd w:val="clear" w:color="auto" w:fill="F2F2F2" w:themeFill="background1" w:themeFillShade="F2"/>
          </w:tcPr>
          <w:p w14:paraId="200EAAC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59</w:t>
            </w:r>
          </w:p>
        </w:tc>
        <w:tc>
          <w:tcPr>
            <w:tcW w:w="755" w:type="dxa"/>
            <w:shd w:val="clear" w:color="auto" w:fill="F2F2F2" w:themeFill="background1" w:themeFillShade="F2"/>
          </w:tcPr>
          <w:p w14:paraId="6DBA3EC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27.13 </w:t>
            </w:r>
          </w:p>
        </w:tc>
        <w:tc>
          <w:tcPr>
            <w:tcW w:w="1387" w:type="dxa"/>
            <w:shd w:val="clear" w:color="auto" w:fill="F2F2F2" w:themeFill="background1" w:themeFillShade="F2"/>
          </w:tcPr>
          <w:p w14:paraId="1D0731C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肯尼亚</w:t>
            </w:r>
          </w:p>
        </w:tc>
        <w:tc>
          <w:tcPr>
            <w:tcW w:w="567" w:type="dxa"/>
            <w:shd w:val="clear" w:color="auto" w:fill="F2F2F2" w:themeFill="background1" w:themeFillShade="F2"/>
          </w:tcPr>
          <w:p w14:paraId="380CB4D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85</w:t>
            </w:r>
          </w:p>
        </w:tc>
        <w:tc>
          <w:tcPr>
            <w:tcW w:w="698" w:type="dxa"/>
            <w:shd w:val="clear" w:color="auto" w:fill="F2F2F2" w:themeFill="background1" w:themeFillShade="F2"/>
          </w:tcPr>
          <w:p w14:paraId="5A81B1D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21.65 </w:t>
            </w:r>
          </w:p>
        </w:tc>
      </w:tr>
      <w:tr w:rsidR="006B10D9" w14:paraId="126FB8DA"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23145605"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新加坡</w:t>
            </w:r>
          </w:p>
        </w:tc>
        <w:tc>
          <w:tcPr>
            <w:tcW w:w="567" w:type="dxa"/>
          </w:tcPr>
          <w:p w14:paraId="5E34B6A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w:t>
            </w:r>
          </w:p>
        </w:tc>
        <w:tc>
          <w:tcPr>
            <w:tcW w:w="734" w:type="dxa"/>
          </w:tcPr>
          <w:p w14:paraId="2751529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45.80 </w:t>
            </w:r>
          </w:p>
        </w:tc>
        <w:tc>
          <w:tcPr>
            <w:tcW w:w="1136" w:type="dxa"/>
          </w:tcPr>
          <w:p w14:paraId="75DAE7E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马来西亚</w:t>
            </w:r>
          </w:p>
        </w:tc>
        <w:tc>
          <w:tcPr>
            <w:tcW w:w="721" w:type="dxa"/>
          </w:tcPr>
          <w:p w14:paraId="69FED8A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34</w:t>
            </w:r>
          </w:p>
        </w:tc>
        <w:tc>
          <w:tcPr>
            <w:tcW w:w="648" w:type="dxa"/>
          </w:tcPr>
          <w:p w14:paraId="70CACC7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33.33 </w:t>
            </w:r>
          </w:p>
        </w:tc>
        <w:tc>
          <w:tcPr>
            <w:tcW w:w="1149" w:type="dxa"/>
          </w:tcPr>
          <w:p w14:paraId="2F13FCB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加纳</w:t>
            </w:r>
          </w:p>
        </w:tc>
        <w:tc>
          <w:tcPr>
            <w:tcW w:w="602" w:type="dxa"/>
          </w:tcPr>
          <w:p w14:paraId="2CD253D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60</w:t>
            </w:r>
          </w:p>
        </w:tc>
        <w:tc>
          <w:tcPr>
            <w:tcW w:w="755" w:type="dxa"/>
          </w:tcPr>
          <w:p w14:paraId="1BE73FC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27.06 </w:t>
            </w:r>
          </w:p>
        </w:tc>
        <w:tc>
          <w:tcPr>
            <w:tcW w:w="1387" w:type="dxa"/>
          </w:tcPr>
          <w:p w14:paraId="118601D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约旦</w:t>
            </w:r>
          </w:p>
        </w:tc>
        <w:tc>
          <w:tcPr>
            <w:tcW w:w="567" w:type="dxa"/>
          </w:tcPr>
          <w:p w14:paraId="5D0090E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86</w:t>
            </w:r>
          </w:p>
        </w:tc>
        <w:tc>
          <w:tcPr>
            <w:tcW w:w="698" w:type="dxa"/>
          </w:tcPr>
          <w:p w14:paraId="79C4EAC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21.46 </w:t>
            </w:r>
          </w:p>
        </w:tc>
      </w:tr>
      <w:tr w:rsidR="006B10D9" w14:paraId="0879D047"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63132DAE"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挪威</w:t>
            </w:r>
          </w:p>
        </w:tc>
        <w:tc>
          <w:tcPr>
            <w:tcW w:w="567" w:type="dxa"/>
            <w:shd w:val="clear" w:color="auto" w:fill="F2F2F2" w:themeFill="background1" w:themeFillShade="F2"/>
          </w:tcPr>
          <w:p w14:paraId="71CC45A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w:t>
            </w:r>
          </w:p>
        </w:tc>
        <w:tc>
          <w:tcPr>
            <w:tcW w:w="734" w:type="dxa"/>
            <w:shd w:val="clear" w:color="auto" w:fill="F2F2F2" w:themeFill="background1" w:themeFillShade="F2"/>
          </w:tcPr>
          <w:p w14:paraId="4499D30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45.22 </w:t>
            </w:r>
          </w:p>
        </w:tc>
        <w:tc>
          <w:tcPr>
            <w:tcW w:w="1136" w:type="dxa"/>
            <w:shd w:val="clear" w:color="auto" w:fill="F2F2F2" w:themeFill="background1" w:themeFillShade="F2"/>
          </w:tcPr>
          <w:p w14:paraId="5C4214B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阿曼</w:t>
            </w:r>
          </w:p>
        </w:tc>
        <w:tc>
          <w:tcPr>
            <w:tcW w:w="721" w:type="dxa"/>
            <w:shd w:val="clear" w:color="auto" w:fill="F2F2F2" w:themeFill="background1" w:themeFillShade="F2"/>
          </w:tcPr>
          <w:p w14:paraId="6E2110B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35</w:t>
            </w:r>
          </w:p>
        </w:tc>
        <w:tc>
          <w:tcPr>
            <w:tcW w:w="648" w:type="dxa"/>
            <w:shd w:val="clear" w:color="auto" w:fill="F2F2F2" w:themeFill="background1" w:themeFillShade="F2"/>
          </w:tcPr>
          <w:p w14:paraId="058AEF5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32.62 </w:t>
            </w:r>
          </w:p>
        </w:tc>
        <w:tc>
          <w:tcPr>
            <w:tcW w:w="1149" w:type="dxa"/>
            <w:shd w:val="clear" w:color="auto" w:fill="F2F2F2" w:themeFill="background1" w:themeFillShade="F2"/>
          </w:tcPr>
          <w:p w14:paraId="3E0D5CC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哈萨克斯坦</w:t>
            </w:r>
          </w:p>
        </w:tc>
        <w:tc>
          <w:tcPr>
            <w:tcW w:w="602" w:type="dxa"/>
            <w:shd w:val="clear" w:color="auto" w:fill="F2F2F2" w:themeFill="background1" w:themeFillShade="F2"/>
          </w:tcPr>
          <w:p w14:paraId="21AD65F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61</w:t>
            </w:r>
          </w:p>
        </w:tc>
        <w:tc>
          <w:tcPr>
            <w:tcW w:w="755" w:type="dxa"/>
            <w:shd w:val="clear" w:color="auto" w:fill="F2F2F2" w:themeFill="background1" w:themeFillShade="F2"/>
          </w:tcPr>
          <w:p w14:paraId="142E3BA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27.02 </w:t>
            </w:r>
          </w:p>
        </w:tc>
        <w:tc>
          <w:tcPr>
            <w:tcW w:w="1387" w:type="dxa"/>
            <w:shd w:val="clear" w:color="auto" w:fill="F2F2F2" w:themeFill="background1" w:themeFillShade="F2"/>
          </w:tcPr>
          <w:p w14:paraId="4CB35DF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赞比亚</w:t>
            </w:r>
          </w:p>
        </w:tc>
        <w:tc>
          <w:tcPr>
            <w:tcW w:w="567" w:type="dxa"/>
            <w:shd w:val="clear" w:color="auto" w:fill="F2F2F2" w:themeFill="background1" w:themeFillShade="F2"/>
          </w:tcPr>
          <w:p w14:paraId="1828C6F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87</w:t>
            </w:r>
          </w:p>
        </w:tc>
        <w:tc>
          <w:tcPr>
            <w:tcW w:w="698" w:type="dxa"/>
            <w:shd w:val="clear" w:color="auto" w:fill="F2F2F2" w:themeFill="background1" w:themeFillShade="F2"/>
          </w:tcPr>
          <w:p w14:paraId="6F64C8D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21.37 </w:t>
            </w:r>
          </w:p>
        </w:tc>
      </w:tr>
      <w:tr w:rsidR="006B10D9" w14:paraId="2F5BEA67"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4437E41F"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英国</w:t>
            </w:r>
          </w:p>
        </w:tc>
        <w:tc>
          <w:tcPr>
            <w:tcW w:w="567" w:type="dxa"/>
          </w:tcPr>
          <w:p w14:paraId="2F37592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10</w:t>
            </w:r>
          </w:p>
        </w:tc>
        <w:tc>
          <w:tcPr>
            <w:tcW w:w="734" w:type="dxa"/>
          </w:tcPr>
          <w:p w14:paraId="7964B3A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44.63 </w:t>
            </w:r>
          </w:p>
        </w:tc>
        <w:tc>
          <w:tcPr>
            <w:tcW w:w="1136" w:type="dxa"/>
          </w:tcPr>
          <w:p w14:paraId="274C7F6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印度尼西亚</w:t>
            </w:r>
          </w:p>
        </w:tc>
        <w:tc>
          <w:tcPr>
            <w:tcW w:w="721" w:type="dxa"/>
          </w:tcPr>
          <w:p w14:paraId="3CC18BA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36</w:t>
            </w:r>
          </w:p>
        </w:tc>
        <w:tc>
          <w:tcPr>
            <w:tcW w:w="648" w:type="dxa"/>
          </w:tcPr>
          <w:p w14:paraId="6818818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32.04 </w:t>
            </w:r>
          </w:p>
        </w:tc>
        <w:tc>
          <w:tcPr>
            <w:tcW w:w="1149" w:type="dxa"/>
          </w:tcPr>
          <w:p w14:paraId="0F2EFB4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孟加拉国</w:t>
            </w:r>
          </w:p>
        </w:tc>
        <w:tc>
          <w:tcPr>
            <w:tcW w:w="602" w:type="dxa"/>
          </w:tcPr>
          <w:p w14:paraId="186AB2B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62</w:t>
            </w:r>
          </w:p>
        </w:tc>
        <w:tc>
          <w:tcPr>
            <w:tcW w:w="755" w:type="dxa"/>
          </w:tcPr>
          <w:p w14:paraId="50566A0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26.90 </w:t>
            </w:r>
          </w:p>
        </w:tc>
        <w:tc>
          <w:tcPr>
            <w:tcW w:w="1387" w:type="dxa"/>
          </w:tcPr>
          <w:p w14:paraId="1E2F333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马里</w:t>
            </w:r>
          </w:p>
        </w:tc>
        <w:tc>
          <w:tcPr>
            <w:tcW w:w="567" w:type="dxa"/>
          </w:tcPr>
          <w:p w14:paraId="13CC8B3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88</w:t>
            </w:r>
          </w:p>
        </w:tc>
        <w:tc>
          <w:tcPr>
            <w:tcW w:w="698" w:type="dxa"/>
          </w:tcPr>
          <w:p w14:paraId="290491D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21.33 </w:t>
            </w:r>
          </w:p>
        </w:tc>
      </w:tr>
      <w:tr w:rsidR="006B10D9" w14:paraId="5CA4715C"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743C5093"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新西兰</w:t>
            </w:r>
          </w:p>
        </w:tc>
        <w:tc>
          <w:tcPr>
            <w:tcW w:w="567" w:type="dxa"/>
            <w:shd w:val="clear" w:color="auto" w:fill="F2F2F2" w:themeFill="background1" w:themeFillShade="F2"/>
          </w:tcPr>
          <w:p w14:paraId="48EC0B7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11</w:t>
            </w:r>
          </w:p>
        </w:tc>
        <w:tc>
          <w:tcPr>
            <w:tcW w:w="734" w:type="dxa"/>
            <w:shd w:val="clear" w:color="auto" w:fill="F2F2F2" w:themeFill="background1" w:themeFillShade="F2"/>
          </w:tcPr>
          <w:p w14:paraId="2280BC0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44.39 </w:t>
            </w:r>
          </w:p>
        </w:tc>
        <w:tc>
          <w:tcPr>
            <w:tcW w:w="1136" w:type="dxa"/>
            <w:shd w:val="clear" w:color="auto" w:fill="F2F2F2" w:themeFill="background1" w:themeFillShade="F2"/>
          </w:tcPr>
          <w:p w14:paraId="3FB9622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波兰</w:t>
            </w:r>
          </w:p>
        </w:tc>
        <w:tc>
          <w:tcPr>
            <w:tcW w:w="721" w:type="dxa"/>
            <w:shd w:val="clear" w:color="auto" w:fill="F2F2F2" w:themeFill="background1" w:themeFillShade="F2"/>
          </w:tcPr>
          <w:p w14:paraId="45F772A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37</w:t>
            </w:r>
          </w:p>
        </w:tc>
        <w:tc>
          <w:tcPr>
            <w:tcW w:w="648" w:type="dxa"/>
            <w:shd w:val="clear" w:color="auto" w:fill="F2F2F2" w:themeFill="background1" w:themeFillShade="F2"/>
          </w:tcPr>
          <w:p w14:paraId="40F6F7A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32.01 </w:t>
            </w:r>
          </w:p>
        </w:tc>
        <w:tc>
          <w:tcPr>
            <w:tcW w:w="1149" w:type="dxa"/>
            <w:shd w:val="clear" w:color="auto" w:fill="F2F2F2" w:themeFill="background1" w:themeFillShade="F2"/>
          </w:tcPr>
          <w:p w14:paraId="5D88240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厄瓜多尔</w:t>
            </w:r>
          </w:p>
        </w:tc>
        <w:tc>
          <w:tcPr>
            <w:tcW w:w="602" w:type="dxa"/>
            <w:shd w:val="clear" w:color="auto" w:fill="F2F2F2" w:themeFill="background1" w:themeFillShade="F2"/>
          </w:tcPr>
          <w:p w14:paraId="4ADAF04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63</w:t>
            </w:r>
          </w:p>
        </w:tc>
        <w:tc>
          <w:tcPr>
            <w:tcW w:w="755" w:type="dxa"/>
            <w:shd w:val="clear" w:color="auto" w:fill="F2F2F2" w:themeFill="background1" w:themeFillShade="F2"/>
          </w:tcPr>
          <w:p w14:paraId="4C4044B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26.85 </w:t>
            </w:r>
          </w:p>
        </w:tc>
        <w:tc>
          <w:tcPr>
            <w:tcW w:w="1387" w:type="dxa"/>
            <w:shd w:val="clear" w:color="auto" w:fill="F2F2F2" w:themeFill="background1" w:themeFillShade="F2"/>
          </w:tcPr>
          <w:p w14:paraId="5899A69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安哥拉</w:t>
            </w:r>
          </w:p>
        </w:tc>
        <w:tc>
          <w:tcPr>
            <w:tcW w:w="567" w:type="dxa"/>
            <w:shd w:val="clear" w:color="auto" w:fill="F2F2F2" w:themeFill="background1" w:themeFillShade="F2"/>
          </w:tcPr>
          <w:p w14:paraId="1998642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89</w:t>
            </w:r>
          </w:p>
        </w:tc>
        <w:tc>
          <w:tcPr>
            <w:tcW w:w="698" w:type="dxa"/>
            <w:shd w:val="clear" w:color="auto" w:fill="F2F2F2" w:themeFill="background1" w:themeFillShade="F2"/>
          </w:tcPr>
          <w:p w14:paraId="064693E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21.08 </w:t>
            </w:r>
          </w:p>
        </w:tc>
      </w:tr>
      <w:tr w:rsidR="006B10D9" w14:paraId="77EC9F0D"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2B9DC6F7"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丹麦</w:t>
            </w:r>
          </w:p>
        </w:tc>
        <w:tc>
          <w:tcPr>
            <w:tcW w:w="567" w:type="dxa"/>
          </w:tcPr>
          <w:p w14:paraId="5EE6C4D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12</w:t>
            </w:r>
          </w:p>
        </w:tc>
        <w:tc>
          <w:tcPr>
            <w:tcW w:w="734" w:type="dxa"/>
          </w:tcPr>
          <w:p w14:paraId="5619BD5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44.07 </w:t>
            </w:r>
          </w:p>
        </w:tc>
        <w:tc>
          <w:tcPr>
            <w:tcW w:w="1136" w:type="dxa"/>
          </w:tcPr>
          <w:p w14:paraId="3481F25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印度</w:t>
            </w:r>
          </w:p>
        </w:tc>
        <w:tc>
          <w:tcPr>
            <w:tcW w:w="721" w:type="dxa"/>
          </w:tcPr>
          <w:p w14:paraId="783B133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38</w:t>
            </w:r>
          </w:p>
        </w:tc>
        <w:tc>
          <w:tcPr>
            <w:tcW w:w="648" w:type="dxa"/>
          </w:tcPr>
          <w:p w14:paraId="0D5C87B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31.88 </w:t>
            </w:r>
          </w:p>
        </w:tc>
        <w:tc>
          <w:tcPr>
            <w:tcW w:w="1149" w:type="dxa"/>
          </w:tcPr>
          <w:p w14:paraId="31CE1DA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土耳其</w:t>
            </w:r>
          </w:p>
        </w:tc>
        <w:tc>
          <w:tcPr>
            <w:tcW w:w="602" w:type="dxa"/>
          </w:tcPr>
          <w:p w14:paraId="4B54DB7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64</w:t>
            </w:r>
          </w:p>
        </w:tc>
        <w:tc>
          <w:tcPr>
            <w:tcW w:w="755" w:type="dxa"/>
          </w:tcPr>
          <w:p w14:paraId="11748D3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26.81 </w:t>
            </w:r>
          </w:p>
        </w:tc>
        <w:tc>
          <w:tcPr>
            <w:tcW w:w="1387" w:type="dxa"/>
          </w:tcPr>
          <w:p w14:paraId="3F5981A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阿尔及利亚</w:t>
            </w:r>
          </w:p>
        </w:tc>
        <w:tc>
          <w:tcPr>
            <w:tcW w:w="567" w:type="dxa"/>
          </w:tcPr>
          <w:p w14:paraId="67CF5F8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90</w:t>
            </w:r>
          </w:p>
        </w:tc>
        <w:tc>
          <w:tcPr>
            <w:tcW w:w="698" w:type="dxa"/>
          </w:tcPr>
          <w:p w14:paraId="1991581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21.07 </w:t>
            </w:r>
          </w:p>
        </w:tc>
      </w:tr>
      <w:tr w:rsidR="006B10D9" w14:paraId="47094C3F"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4B9EA0DF"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lastRenderedPageBreak/>
              <w:t>法国</w:t>
            </w:r>
          </w:p>
        </w:tc>
        <w:tc>
          <w:tcPr>
            <w:tcW w:w="567" w:type="dxa"/>
            <w:shd w:val="clear" w:color="auto" w:fill="F2F2F2" w:themeFill="background1" w:themeFillShade="F2"/>
          </w:tcPr>
          <w:p w14:paraId="1F8E5B4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13</w:t>
            </w:r>
          </w:p>
        </w:tc>
        <w:tc>
          <w:tcPr>
            <w:tcW w:w="734" w:type="dxa"/>
            <w:shd w:val="clear" w:color="auto" w:fill="F2F2F2" w:themeFill="background1" w:themeFillShade="F2"/>
          </w:tcPr>
          <w:p w14:paraId="334FE16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43.76 </w:t>
            </w:r>
          </w:p>
        </w:tc>
        <w:tc>
          <w:tcPr>
            <w:tcW w:w="1136" w:type="dxa"/>
            <w:shd w:val="clear" w:color="auto" w:fill="F2F2F2" w:themeFill="background1" w:themeFillShade="F2"/>
          </w:tcPr>
          <w:p w14:paraId="1A87BC0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沙特阿拉伯</w:t>
            </w:r>
          </w:p>
        </w:tc>
        <w:tc>
          <w:tcPr>
            <w:tcW w:w="721" w:type="dxa"/>
            <w:shd w:val="clear" w:color="auto" w:fill="F2F2F2" w:themeFill="background1" w:themeFillShade="F2"/>
          </w:tcPr>
          <w:p w14:paraId="644569E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39</w:t>
            </w:r>
          </w:p>
        </w:tc>
        <w:tc>
          <w:tcPr>
            <w:tcW w:w="648" w:type="dxa"/>
            <w:shd w:val="clear" w:color="auto" w:fill="F2F2F2" w:themeFill="background1" w:themeFillShade="F2"/>
          </w:tcPr>
          <w:p w14:paraId="55FCAB7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31.84 </w:t>
            </w:r>
          </w:p>
        </w:tc>
        <w:tc>
          <w:tcPr>
            <w:tcW w:w="1149" w:type="dxa"/>
            <w:shd w:val="clear" w:color="auto" w:fill="F2F2F2" w:themeFill="background1" w:themeFillShade="F2"/>
          </w:tcPr>
          <w:p w14:paraId="5949F6C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柬埔寨</w:t>
            </w:r>
          </w:p>
        </w:tc>
        <w:tc>
          <w:tcPr>
            <w:tcW w:w="602" w:type="dxa"/>
            <w:shd w:val="clear" w:color="auto" w:fill="F2F2F2" w:themeFill="background1" w:themeFillShade="F2"/>
          </w:tcPr>
          <w:p w14:paraId="058DEDC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65</w:t>
            </w:r>
          </w:p>
        </w:tc>
        <w:tc>
          <w:tcPr>
            <w:tcW w:w="755" w:type="dxa"/>
            <w:shd w:val="clear" w:color="auto" w:fill="F2F2F2" w:themeFill="background1" w:themeFillShade="F2"/>
          </w:tcPr>
          <w:p w14:paraId="30E7432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26.42 </w:t>
            </w:r>
          </w:p>
        </w:tc>
        <w:tc>
          <w:tcPr>
            <w:tcW w:w="1387" w:type="dxa"/>
            <w:shd w:val="clear" w:color="auto" w:fill="F2F2F2" w:themeFill="background1" w:themeFillShade="F2"/>
          </w:tcPr>
          <w:p w14:paraId="33073B6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乌兹别克斯坦</w:t>
            </w:r>
          </w:p>
        </w:tc>
        <w:tc>
          <w:tcPr>
            <w:tcW w:w="567" w:type="dxa"/>
            <w:shd w:val="clear" w:color="auto" w:fill="F2F2F2" w:themeFill="background1" w:themeFillShade="F2"/>
          </w:tcPr>
          <w:p w14:paraId="377EC64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91</w:t>
            </w:r>
          </w:p>
        </w:tc>
        <w:tc>
          <w:tcPr>
            <w:tcW w:w="698" w:type="dxa"/>
            <w:shd w:val="clear" w:color="auto" w:fill="F2F2F2" w:themeFill="background1" w:themeFillShade="F2"/>
          </w:tcPr>
          <w:p w14:paraId="1589157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20.94 </w:t>
            </w:r>
          </w:p>
        </w:tc>
      </w:tr>
      <w:tr w:rsidR="006B10D9" w14:paraId="059E700E"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4ABEFACE"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荷兰</w:t>
            </w:r>
          </w:p>
        </w:tc>
        <w:tc>
          <w:tcPr>
            <w:tcW w:w="567" w:type="dxa"/>
          </w:tcPr>
          <w:p w14:paraId="1BA89C9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14</w:t>
            </w:r>
          </w:p>
        </w:tc>
        <w:tc>
          <w:tcPr>
            <w:tcW w:w="734" w:type="dxa"/>
          </w:tcPr>
          <w:p w14:paraId="2E8BE19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43.70 </w:t>
            </w:r>
          </w:p>
        </w:tc>
        <w:tc>
          <w:tcPr>
            <w:tcW w:w="1136" w:type="dxa"/>
          </w:tcPr>
          <w:p w14:paraId="475B039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希腊</w:t>
            </w:r>
          </w:p>
        </w:tc>
        <w:tc>
          <w:tcPr>
            <w:tcW w:w="721" w:type="dxa"/>
          </w:tcPr>
          <w:p w14:paraId="09A4F97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40</w:t>
            </w:r>
          </w:p>
        </w:tc>
        <w:tc>
          <w:tcPr>
            <w:tcW w:w="648" w:type="dxa"/>
          </w:tcPr>
          <w:p w14:paraId="1902322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31.34 </w:t>
            </w:r>
          </w:p>
        </w:tc>
        <w:tc>
          <w:tcPr>
            <w:tcW w:w="1149" w:type="dxa"/>
          </w:tcPr>
          <w:p w14:paraId="0449D9C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阿根廷</w:t>
            </w:r>
          </w:p>
        </w:tc>
        <w:tc>
          <w:tcPr>
            <w:tcW w:w="602" w:type="dxa"/>
          </w:tcPr>
          <w:p w14:paraId="2035880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66</w:t>
            </w:r>
          </w:p>
        </w:tc>
        <w:tc>
          <w:tcPr>
            <w:tcW w:w="755" w:type="dxa"/>
          </w:tcPr>
          <w:p w14:paraId="40B1613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26.41 </w:t>
            </w:r>
          </w:p>
        </w:tc>
        <w:tc>
          <w:tcPr>
            <w:tcW w:w="1387" w:type="dxa"/>
          </w:tcPr>
          <w:p w14:paraId="6FEB7CE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哥伦比亚</w:t>
            </w:r>
          </w:p>
        </w:tc>
        <w:tc>
          <w:tcPr>
            <w:tcW w:w="567" w:type="dxa"/>
          </w:tcPr>
          <w:p w14:paraId="3823A8C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92</w:t>
            </w:r>
          </w:p>
        </w:tc>
        <w:tc>
          <w:tcPr>
            <w:tcW w:w="698" w:type="dxa"/>
          </w:tcPr>
          <w:p w14:paraId="4B0E7B5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20.72 </w:t>
            </w:r>
          </w:p>
        </w:tc>
      </w:tr>
      <w:tr w:rsidR="006B10D9" w14:paraId="7C41ADA6"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2A3D8C73"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瑞典</w:t>
            </w:r>
          </w:p>
        </w:tc>
        <w:tc>
          <w:tcPr>
            <w:tcW w:w="567" w:type="dxa"/>
            <w:shd w:val="clear" w:color="auto" w:fill="F2F2F2" w:themeFill="background1" w:themeFillShade="F2"/>
          </w:tcPr>
          <w:p w14:paraId="1641D69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15</w:t>
            </w:r>
          </w:p>
        </w:tc>
        <w:tc>
          <w:tcPr>
            <w:tcW w:w="734" w:type="dxa"/>
            <w:shd w:val="clear" w:color="auto" w:fill="F2F2F2" w:themeFill="background1" w:themeFillShade="F2"/>
          </w:tcPr>
          <w:p w14:paraId="76D15AC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42.65 </w:t>
            </w:r>
          </w:p>
        </w:tc>
        <w:tc>
          <w:tcPr>
            <w:tcW w:w="1136" w:type="dxa"/>
            <w:shd w:val="clear" w:color="auto" w:fill="F2F2F2" w:themeFill="background1" w:themeFillShade="F2"/>
          </w:tcPr>
          <w:p w14:paraId="5893956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菲律宾</w:t>
            </w:r>
          </w:p>
        </w:tc>
        <w:tc>
          <w:tcPr>
            <w:tcW w:w="721" w:type="dxa"/>
            <w:shd w:val="clear" w:color="auto" w:fill="F2F2F2" w:themeFill="background1" w:themeFillShade="F2"/>
          </w:tcPr>
          <w:p w14:paraId="30D74A7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41</w:t>
            </w:r>
          </w:p>
        </w:tc>
        <w:tc>
          <w:tcPr>
            <w:tcW w:w="648" w:type="dxa"/>
            <w:shd w:val="clear" w:color="auto" w:fill="F2F2F2" w:themeFill="background1" w:themeFillShade="F2"/>
          </w:tcPr>
          <w:p w14:paraId="4E516E7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31.17 </w:t>
            </w:r>
          </w:p>
        </w:tc>
        <w:tc>
          <w:tcPr>
            <w:tcW w:w="1149" w:type="dxa"/>
            <w:shd w:val="clear" w:color="auto" w:fill="F2F2F2" w:themeFill="background1" w:themeFillShade="F2"/>
          </w:tcPr>
          <w:p w14:paraId="2508530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坦桑尼亚</w:t>
            </w:r>
          </w:p>
        </w:tc>
        <w:tc>
          <w:tcPr>
            <w:tcW w:w="602" w:type="dxa"/>
            <w:shd w:val="clear" w:color="auto" w:fill="F2F2F2" w:themeFill="background1" w:themeFillShade="F2"/>
          </w:tcPr>
          <w:p w14:paraId="4B6708E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67</w:t>
            </w:r>
          </w:p>
        </w:tc>
        <w:tc>
          <w:tcPr>
            <w:tcW w:w="755" w:type="dxa"/>
            <w:shd w:val="clear" w:color="auto" w:fill="F2F2F2" w:themeFill="background1" w:themeFillShade="F2"/>
          </w:tcPr>
          <w:p w14:paraId="4ACDE82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25.91 </w:t>
            </w:r>
          </w:p>
        </w:tc>
        <w:tc>
          <w:tcPr>
            <w:tcW w:w="1387" w:type="dxa"/>
            <w:shd w:val="clear" w:color="auto" w:fill="F2F2F2" w:themeFill="background1" w:themeFillShade="F2"/>
          </w:tcPr>
          <w:p w14:paraId="584EFBC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白俄罗斯</w:t>
            </w:r>
          </w:p>
        </w:tc>
        <w:tc>
          <w:tcPr>
            <w:tcW w:w="567" w:type="dxa"/>
            <w:shd w:val="clear" w:color="auto" w:fill="F2F2F2" w:themeFill="background1" w:themeFillShade="F2"/>
          </w:tcPr>
          <w:p w14:paraId="691DC73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93</w:t>
            </w:r>
          </w:p>
        </w:tc>
        <w:tc>
          <w:tcPr>
            <w:tcW w:w="698" w:type="dxa"/>
            <w:shd w:val="clear" w:color="auto" w:fill="F2F2F2" w:themeFill="background1" w:themeFillShade="F2"/>
          </w:tcPr>
          <w:p w14:paraId="366FDB6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20.01 </w:t>
            </w:r>
          </w:p>
        </w:tc>
      </w:tr>
      <w:tr w:rsidR="006B10D9" w14:paraId="531497FD"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7EAFBD53"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芬兰</w:t>
            </w:r>
          </w:p>
        </w:tc>
        <w:tc>
          <w:tcPr>
            <w:tcW w:w="567" w:type="dxa"/>
          </w:tcPr>
          <w:p w14:paraId="36FF1B7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16</w:t>
            </w:r>
          </w:p>
        </w:tc>
        <w:tc>
          <w:tcPr>
            <w:tcW w:w="734" w:type="dxa"/>
          </w:tcPr>
          <w:p w14:paraId="73CD062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41.97 </w:t>
            </w:r>
          </w:p>
        </w:tc>
        <w:tc>
          <w:tcPr>
            <w:tcW w:w="1136" w:type="dxa"/>
          </w:tcPr>
          <w:p w14:paraId="1B73192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蒙古国</w:t>
            </w:r>
          </w:p>
        </w:tc>
        <w:tc>
          <w:tcPr>
            <w:tcW w:w="721" w:type="dxa"/>
          </w:tcPr>
          <w:p w14:paraId="2998021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42</w:t>
            </w:r>
          </w:p>
        </w:tc>
        <w:tc>
          <w:tcPr>
            <w:tcW w:w="648" w:type="dxa"/>
          </w:tcPr>
          <w:p w14:paraId="47953D4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31.15 </w:t>
            </w:r>
          </w:p>
        </w:tc>
        <w:tc>
          <w:tcPr>
            <w:tcW w:w="1149" w:type="dxa"/>
          </w:tcPr>
          <w:p w14:paraId="435C3EC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拉脱维亚</w:t>
            </w:r>
          </w:p>
        </w:tc>
        <w:tc>
          <w:tcPr>
            <w:tcW w:w="602" w:type="dxa"/>
          </w:tcPr>
          <w:p w14:paraId="44E159C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68</w:t>
            </w:r>
          </w:p>
        </w:tc>
        <w:tc>
          <w:tcPr>
            <w:tcW w:w="755" w:type="dxa"/>
          </w:tcPr>
          <w:p w14:paraId="143DAF9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25.36 </w:t>
            </w:r>
          </w:p>
        </w:tc>
        <w:tc>
          <w:tcPr>
            <w:tcW w:w="1387" w:type="dxa"/>
          </w:tcPr>
          <w:p w14:paraId="1D86D3B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苏丹</w:t>
            </w:r>
          </w:p>
        </w:tc>
        <w:tc>
          <w:tcPr>
            <w:tcW w:w="567" w:type="dxa"/>
          </w:tcPr>
          <w:p w14:paraId="5875818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94</w:t>
            </w:r>
          </w:p>
        </w:tc>
        <w:tc>
          <w:tcPr>
            <w:tcW w:w="698" w:type="dxa"/>
          </w:tcPr>
          <w:p w14:paraId="2EF6F4A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19.58 </w:t>
            </w:r>
          </w:p>
        </w:tc>
      </w:tr>
      <w:tr w:rsidR="006B10D9" w14:paraId="42108FD8"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58179F46"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韩国</w:t>
            </w:r>
          </w:p>
        </w:tc>
        <w:tc>
          <w:tcPr>
            <w:tcW w:w="567" w:type="dxa"/>
            <w:shd w:val="clear" w:color="auto" w:fill="F2F2F2" w:themeFill="background1" w:themeFillShade="F2"/>
          </w:tcPr>
          <w:p w14:paraId="1D461C8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17</w:t>
            </w:r>
          </w:p>
        </w:tc>
        <w:tc>
          <w:tcPr>
            <w:tcW w:w="734" w:type="dxa"/>
            <w:shd w:val="clear" w:color="auto" w:fill="F2F2F2" w:themeFill="background1" w:themeFillShade="F2"/>
          </w:tcPr>
          <w:p w14:paraId="25C0D6D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41.86 </w:t>
            </w:r>
          </w:p>
        </w:tc>
        <w:tc>
          <w:tcPr>
            <w:tcW w:w="1136" w:type="dxa"/>
            <w:shd w:val="clear" w:color="auto" w:fill="F2F2F2" w:themeFill="background1" w:themeFillShade="F2"/>
          </w:tcPr>
          <w:p w14:paraId="71FF86C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匈牙利</w:t>
            </w:r>
          </w:p>
        </w:tc>
        <w:tc>
          <w:tcPr>
            <w:tcW w:w="721" w:type="dxa"/>
            <w:shd w:val="clear" w:color="auto" w:fill="F2F2F2" w:themeFill="background1" w:themeFillShade="F2"/>
          </w:tcPr>
          <w:p w14:paraId="72E20D0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43</w:t>
            </w:r>
          </w:p>
        </w:tc>
        <w:tc>
          <w:tcPr>
            <w:tcW w:w="648" w:type="dxa"/>
            <w:shd w:val="clear" w:color="auto" w:fill="F2F2F2" w:themeFill="background1" w:themeFillShade="F2"/>
          </w:tcPr>
          <w:p w14:paraId="651AC13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30.93 </w:t>
            </w:r>
          </w:p>
        </w:tc>
        <w:tc>
          <w:tcPr>
            <w:tcW w:w="1149" w:type="dxa"/>
            <w:shd w:val="clear" w:color="auto" w:fill="F2F2F2" w:themeFill="background1" w:themeFillShade="F2"/>
          </w:tcPr>
          <w:p w14:paraId="4E7489E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埃及</w:t>
            </w:r>
          </w:p>
        </w:tc>
        <w:tc>
          <w:tcPr>
            <w:tcW w:w="602" w:type="dxa"/>
            <w:shd w:val="clear" w:color="auto" w:fill="F2F2F2" w:themeFill="background1" w:themeFillShade="F2"/>
          </w:tcPr>
          <w:p w14:paraId="67DAE14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69</w:t>
            </w:r>
          </w:p>
        </w:tc>
        <w:tc>
          <w:tcPr>
            <w:tcW w:w="755" w:type="dxa"/>
            <w:shd w:val="clear" w:color="auto" w:fill="F2F2F2" w:themeFill="background1" w:themeFillShade="F2"/>
          </w:tcPr>
          <w:p w14:paraId="5300EE0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25.34 </w:t>
            </w:r>
          </w:p>
        </w:tc>
        <w:tc>
          <w:tcPr>
            <w:tcW w:w="1387" w:type="dxa"/>
            <w:shd w:val="clear" w:color="auto" w:fill="F2F2F2" w:themeFill="background1" w:themeFillShade="F2"/>
          </w:tcPr>
          <w:p w14:paraId="65B96EB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博茨瓦纳</w:t>
            </w:r>
          </w:p>
        </w:tc>
        <w:tc>
          <w:tcPr>
            <w:tcW w:w="567" w:type="dxa"/>
            <w:shd w:val="clear" w:color="auto" w:fill="F2F2F2" w:themeFill="background1" w:themeFillShade="F2"/>
          </w:tcPr>
          <w:p w14:paraId="15D873D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95</w:t>
            </w:r>
          </w:p>
        </w:tc>
        <w:tc>
          <w:tcPr>
            <w:tcW w:w="698" w:type="dxa"/>
            <w:shd w:val="clear" w:color="auto" w:fill="F2F2F2" w:themeFill="background1" w:themeFillShade="F2"/>
          </w:tcPr>
          <w:p w14:paraId="2BDFC18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18.76 </w:t>
            </w:r>
          </w:p>
        </w:tc>
      </w:tr>
      <w:tr w:rsidR="006B10D9" w14:paraId="0628BAAD"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106B1A9A"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以色列</w:t>
            </w:r>
          </w:p>
        </w:tc>
        <w:tc>
          <w:tcPr>
            <w:tcW w:w="567" w:type="dxa"/>
          </w:tcPr>
          <w:p w14:paraId="77E8443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18</w:t>
            </w:r>
          </w:p>
        </w:tc>
        <w:tc>
          <w:tcPr>
            <w:tcW w:w="734" w:type="dxa"/>
          </w:tcPr>
          <w:p w14:paraId="248DA34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41.17 </w:t>
            </w:r>
          </w:p>
        </w:tc>
        <w:tc>
          <w:tcPr>
            <w:tcW w:w="1136" w:type="dxa"/>
          </w:tcPr>
          <w:p w14:paraId="68BDEF1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保加利亚</w:t>
            </w:r>
          </w:p>
        </w:tc>
        <w:tc>
          <w:tcPr>
            <w:tcW w:w="721" w:type="dxa"/>
          </w:tcPr>
          <w:p w14:paraId="598997A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44</w:t>
            </w:r>
          </w:p>
        </w:tc>
        <w:tc>
          <w:tcPr>
            <w:tcW w:w="648" w:type="dxa"/>
          </w:tcPr>
          <w:p w14:paraId="0E8B9CC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30.02 </w:t>
            </w:r>
          </w:p>
        </w:tc>
        <w:tc>
          <w:tcPr>
            <w:tcW w:w="1149" w:type="dxa"/>
          </w:tcPr>
          <w:p w14:paraId="1D0AB0E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突尼斯</w:t>
            </w:r>
          </w:p>
        </w:tc>
        <w:tc>
          <w:tcPr>
            <w:tcW w:w="602" w:type="dxa"/>
          </w:tcPr>
          <w:p w14:paraId="3E3228C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70</w:t>
            </w:r>
          </w:p>
        </w:tc>
        <w:tc>
          <w:tcPr>
            <w:tcW w:w="755" w:type="dxa"/>
          </w:tcPr>
          <w:p w14:paraId="2553020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25.25 </w:t>
            </w:r>
          </w:p>
        </w:tc>
        <w:tc>
          <w:tcPr>
            <w:tcW w:w="1387" w:type="dxa"/>
          </w:tcPr>
          <w:p w14:paraId="7C80C48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乌干达</w:t>
            </w:r>
          </w:p>
        </w:tc>
        <w:tc>
          <w:tcPr>
            <w:tcW w:w="567" w:type="dxa"/>
          </w:tcPr>
          <w:p w14:paraId="7300DCB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96</w:t>
            </w:r>
          </w:p>
        </w:tc>
        <w:tc>
          <w:tcPr>
            <w:tcW w:w="698" w:type="dxa"/>
          </w:tcPr>
          <w:p w14:paraId="0320389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18.76 </w:t>
            </w:r>
          </w:p>
        </w:tc>
      </w:tr>
      <w:tr w:rsidR="006B10D9" w14:paraId="4C7258E3"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638E37F2"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冰岛</w:t>
            </w:r>
          </w:p>
        </w:tc>
        <w:tc>
          <w:tcPr>
            <w:tcW w:w="567" w:type="dxa"/>
            <w:shd w:val="clear" w:color="auto" w:fill="F2F2F2" w:themeFill="background1" w:themeFillShade="F2"/>
          </w:tcPr>
          <w:p w14:paraId="6205191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19</w:t>
            </w:r>
          </w:p>
        </w:tc>
        <w:tc>
          <w:tcPr>
            <w:tcW w:w="734" w:type="dxa"/>
            <w:shd w:val="clear" w:color="auto" w:fill="F2F2F2" w:themeFill="background1" w:themeFillShade="F2"/>
          </w:tcPr>
          <w:p w14:paraId="78A1792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41.04 </w:t>
            </w:r>
          </w:p>
        </w:tc>
        <w:tc>
          <w:tcPr>
            <w:tcW w:w="1136" w:type="dxa"/>
            <w:shd w:val="clear" w:color="auto" w:fill="F2F2F2" w:themeFill="background1" w:themeFillShade="F2"/>
          </w:tcPr>
          <w:p w14:paraId="65B0A9A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秘鲁</w:t>
            </w:r>
          </w:p>
        </w:tc>
        <w:tc>
          <w:tcPr>
            <w:tcW w:w="721" w:type="dxa"/>
            <w:shd w:val="clear" w:color="auto" w:fill="F2F2F2" w:themeFill="background1" w:themeFillShade="F2"/>
          </w:tcPr>
          <w:p w14:paraId="456A1EC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45</w:t>
            </w:r>
          </w:p>
        </w:tc>
        <w:tc>
          <w:tcPr>
            <w:tcW w:w="648" w:type="dxa"/>
            <w:shd w:val="clear" w:color="auto" w:fill="F2F2F2" w:themeFill="background1" w:themeFillShade="F2"/>
          </w:tcPr>
          <w:p w14:paraId="132C66D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30.02 </w:t>
            </w:r>
          </w:p>
        </w:tc>
        <w:tc>
          <w:tcPr>
            <w:tcW w:w="1149" w:type="dxa"/>
            <w:shd w:val="clear" w:color="auto" w:fill="F2F2F2" w:themeFill="background1" w:themeFillShade="F2"/>
          </w:tcPr>
          <w:p w14:paraId="2972A4D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巴拿马</w:t>
            </w:r>
          </w:p>
        </w:tc>
        <w:tc>
          <w:tcPr>
            <w:tcW w:w="602" w:type="dxa"/>
            <w:shd w:val="clear" w:color="auto" w:fill="F2F2F2" w:themeFill="background1" w:themeFillShade="F2"/>
          </w:tcPr>
          <w:p w14:paraId="2E2BB32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71</w:t>
            </w:r>
          </w:p>
        </w:tc>
        <w:tc>
          <w:tcPr>
            <w:tcW w:w="755" w:type="dxa"/>
            <w:shd w:val="clear" w:color="auto" w:fill="F2F2F2" w:themeFill="background1" w:themeFillShade="F2"/>
          </w:tcPr>
          <w:p w14:paraId="5D8515E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25.05 </w:t>
            </w:r>
          </w:p>
        </w:tc>
        <w:tc>
          <w:tcPr>
            <w:tcW w:w="1387" w:type="dxa"/>
            <w:shd w:val="clear" w:color="auto" w:fill="F2F2F2" w:themeFill="background1" w:themeFillShade="F2"/>
          </w:tcPr>
          <w:p w14:paraId="55A6B30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塞内加尔</w:t>
            </w:r>
          </w:p>
        </w:tc>
        <w:tc>
          <w:tcPr>
            <w:tcW w:w="567" w:type="dxa"/>
            <w:shd w:val="clear" w:color="auto" w:fill="F2F2F2" w:themeFill="background1" w:themeFillShade="F2"/>
          </w:tcPr>
          <w:p w14:paraId="772F31D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97</w:t>
            </w:r>
          </w:p>
        </w:tc>
        <w:tc>
          <w:tcPr>
            <w:tcW w:w="698" w:type="dxa"/>
            <w:shd w:val="clear" w:color="auto" w:fill="F2F2F2" w:themeFill="background1" w:themeFillShade="F2"/>
          </w:tcPr>
          <w:p w14:paraId="6898E41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18.65 </w:t>
            </w:r>
          </w:p>
        </w:tc>
      </w:tr>
      <w:tr w:rsidR="006B10D9" w14:paraId="1ECD2524"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59C8C7D7"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卡塔尔</w:t>
            </w:r>
          </w:p>
        </w:tc>
        <w:tc>
          <w:tcPr>
            <w:tcW w:w="567" w:type="dxa"/>
          </w:tcPr>
          <w:p w14:paraId="06A778F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20</w:t>
            </w:r>
          </w:p>
        </w:tc>
        <w:tc>
          <w:tcPr>
            <w:tcW w:w="734" w:type="dxa"/>
          </w:tcPr>
          <w:p w14:paraId="61D8913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39.87 </w:t>
            </w:r>
          </w:p>
        </w:tc>
        <w:tc>
          <w:tcPr>
            <w:tcW w:w="1136" w:type="dxa"/>
          </w:tcPr>
          <w:p w14:paraId="4C47E3F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科威特</w:t>
            </w:r>
          </w:p>
        </w:tc>
        <w:tc>
          <w:tcPr>
            <w:tcW w:w="721" w:type="dxa"/>
          </w:tcPr>
          <w:p w14:paraId="7D02482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46</w:t>
            </w:r>
          </w:p>
        </w:tc>
        <w:tc>
          <w:tcPr>
            <w:tcW w:w="648" w:type="dxa"/>
          </w:tcPr>
          <w:p w14:paraId="5B97324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29.86 </w:t>
            </w:r>
          </w:p>
        </w:tc>
        <w:tc>
          <w:tcPr>
            <w:tcW w:w="1149" w:type="dxa"/>
          </w:tcPr>
          <w:p w14:paraId="5270782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摩洛哥</w:t>
            </w:r>
          </w:p>
        </w:tc>
        <w:tc>
          <w:tcPr>
            <w:tcW w:w="602" w:type="dxa"/>
          </w:tcPr>
          <w:p w14:paraId="3FBD558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72</w:t>
            </w:r>
          </w:p>
        </w:tc>
        <w:tc>
          <w:tcPr>
            <w:tcW w:w="755" w:type="dxa"/>
          </w:tcPr>
          <w:p w14:paraId="5D86866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24.99 </w:t>
            </w:r>
          </w:p>
        </w:tc>
        <w:tc>
          <w:tcPr>
            <w:tcW w:w="1387" w:type="dxa"/>
          </w:tcPr>
          <w:p w14:paraId="0CDE713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墨西哥</w:t>
            </w:r>
          </w:p>
        </w:tc>
        <w:tc>
          <w:tcPr>
            <w:tcW w:w="567" w:type="dxa"/>
          </w:tcPr>
          <w:p w14:paraId="4CA9F80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98</w:t>
            </w:r>
          </w:p>
        </w:tc>
        <w:tc>
          <w:tcPr>
            <w:tcW w:w="698" w:type="dxa"/>
          </w:tcPr>
          <w:p w14:paraId="2F9C6B4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17.17 </w:t>
            </w:r>
          </w:p>
        </w:tc>
      </w:tr>
      <w:tr w:rsidR="006B10D9" w14:paraId="2A58E24D"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3F16AA73"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奥地利</w:t>
            </w:r>
          </w:p>
        </w:tc>
        <w:tc>
          <w:tcPr>
            <w:tcW w:w="567" w:type="dxa"/>
            <w:shd w:val="clear" w:color="auto" w:fill="F2F2F2" w:themeFill="background1" w:themeFillShade="F2"/>
          </w:tcPr>
          <w:p w14:paraId="6395C57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21</w:t>
            </w:r>
          </w:p>
        </w:tc>
        <w:tc>
          <w:tcPr>
            <w:tcW w:w="734" w:type="dxa"/>
            <w:shd w:val="clear" w:color="auto" w:fill="F2F2F2" w:themeFill="background1" w:themeFillShade="F2"/>
          </w:tcPr>
          <w:p w14:paraId="03C5F95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39.83 </w:t>
            </w:r>
          </w:p>
        </w:tc>
        <w:tc>
          <w:tcPr>
            <w:tcW w:w="1136" w:type="dxa"/>
            <w:shd w:val="clear" w:color="auto" w:fill="F2F2F2" w:themeFill="background1" w:themeFillShade="F2"/>
          </w:tcPr>
          <w:p w14:paraId="5CFC646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俄罗斯</w:t>
            </w:r>
          </w:p>
        </w:tc>
        <w:tc>
          <w:tcPr>
            <w:tcW w:w="721" w:type="dxa"/>
            <w:shd w:val="clear" w:color="auto" w:fill="F2F2F2" w:themeFill="background1" w:themeFillShade="F2"/>
          </w:tcPr>
          <w:p w14:paraId="59A4109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47</w:t>
            </w:r>
          </w:p>
        </w:tc>
        <w:tc>
          <w:tcPr>
            <w:tcW w:w="648" w:type="dxa"/>
            <w:shd w:val="clear" w:color="auto" w:fill="F2F2F2" w:themeFill="background1" w:themeFillShade="F2"/>
          </w:tcPr>
          <w:p w14:paraId="061E516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29.68 </w:t>
            </w:r>
          </w:p>
        </w:tc>
        <w:tc>
          <w:tcPr>
            <w:tcW w:w="1149" w:type="dxa"/>
            <w:shd w:val="clear" w:color="auto" w:fill="F2F2F2" w:themeFill="background1" w:themeFillShade="F2"/>
          </w:tcPr>
          <w:p w14:paraId="54255AE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巴基斯坦</w:t>
            </w:r>
          </w:p>
        </w:tc>
        <w:tc>
          <w:tcPr>
            <w:tcW w:w="602" w:type="dxa"/>
            <w:shd w:val="clear" w:color="auto" w:fill="F2F2F2" w:themeFill="background1" w:themeFillShade="F2"/>
          </w:tcPr>
          <w:p w14:paraId="381DD14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73</w:t>
            </w:r>
          </w:p>
        </w:tc>
        <w:tc>
          <w:tcPr>
            <w:tcW w:w="755" w:type="dxa"/>
            <w:shd w:val="clear" w:color="auto" w:fill="F2F2F2" w:themeFill="background1" w:themeFillShade="F2"/>
          </w:tcPr>
          <w:p w14:paraId="6AF327F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24.81 </w:t>
            </w:r>
          </w:p>
        </w:tc>
        <w:tc>
          <w:tcPr>
            <w:tcW w:w="1387" w:type="dxa"/>
            <w:shd w:val="clear" w:color="auto" w:fill="F2F2F2" w:themeFill="background1" w:themeFillShade="F2"/>
          </w:tcPr>
          <w:p w14:paraId="0D5173B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纳米比亚</w:t>
            </w:r>
          </w:p>
        </w:tc>
        <w:tc>
          <w:tcPr>
            <w:tcW w:w="567" w:type="dxa"/>
            <w:shd w:val="clear" w:color="auto" w:fill="F2F2F2" w:themeFill="background1" w:themeFillShade="F2"/>
          </w:tcPr>
          <w:p w14:paraId="08D121D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99</w:t>
            </w:r>
          </w:p>
        </w:tc>
        <w:tc>
          <w:tcPr>
            <w:tcW w:w="698" w:type="dxa"/>
            <w:shd w:val="clear" w:color="auto" w:fill="F2F2F2" w:themeFill="background1" w:themeFillShade="F2"/>
          </w:tcPr>
          <w:p w14:paraId="5A0C710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16.94 </w:t>
            </w:r>
          </w:p>
        </w:tc>
      </w:tr>
      <w:tr w:rsidR="006B10D9" w14:paraId="3AAF271B"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2EEE65C3"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爱尔兰</w:t>
            </w:r>
          </w:p>
        </w:tc>
        <w:tc>
          <w:tcPr>
            <w:tcW w:w="567" w:type="dxa"/>
          </w:tcPr>
          <w:p w14:paraId="0AC2AFC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22</w:t>
            </w:r>
          </w:p>
        </w:tc>
        <w:tc>
          <w:tcPr>
            <w:tcW w:w="734" w:type="dxa"/>
          </w:tcPr>
          <w:p w14:paraId="69DD1E4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39.64 </w:t>
            </w:r>
          </w:p>
        </w:tc>
        <w:tc>
          <w:tcPr>
            <w:tcW w:w="1136" w:type="dxa"/>
          </w:tcPr>
          <w:p w14:paraId="62DF9F9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克罗地亚</w:t>
            </w:r>
          </w:p>
        </w:tc>
        <w:tc>
          <w:tcPr>
            <w:tcW w:w="721" w:type="dxa"/>
          </w:tcPr>
          <w:p w14:paraId="37F9A81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48</w:t>
            </w:r>
          </w:p>
        </w:tc>
        <w:tc>
          <w:tcPr>
            <w:tcW w:w="648" w:type="dxa"/>
          </w:tcPr>
          <w:p w14:paraId="7FB1499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29.61 </w:t>
            </w:r>
          </w:p>
        </w:tc>
        <w:tc>
          <w:tcPr>
            <w:tcW w:w="1149" w:type="dxa"/>
          </w:tcPr>
          <w:p w14:paraId="4F615FF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巴西</w:t>
            </w:r>
          </w:p>
        </w:tc>
        <w:tc>
          <w:tcPr>
            <w:tcW w:w="602" w:type="dxa"/>
          </w:tcPr>
          <w:p w14:paraId="65ABDB2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74</w:t>
            </w:r>
          </w:p>
        </w:tc>
        <w:tc>
          <w:tcPr>
            <w:tcW w:w="755" w:type="dxa"/>
          </w:tcPr>
          <w:p w14:paraId="0D033F2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24.00 </w:t>
            </w:r>
          </w:p>
        </w:tc>
        <w:tc>
          <w:tcPr>
            <w:tcW w:w="1387" w:type="dxa"/>
          </w:tcPr>
          <w:p w14:paraId="5099DEA2"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莫桑比克</w:t>
            </w:r>
          </w:p>
        </w:tc>
        <w:tc>
          <w:tcPr>
            <w:tcW w:w="567" w:type="dxa"/>
          </w:tcPr>
          <w:p w14:paraId="39FEBA2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100</w:t>
            </w:r>
          </w:p>
        </w:tc>
        <w:tc>
          <w:tcPr>
            <w:tcW w:w="698" w:type="dxa"/>
          </w:tcPr>
          <w:p w14:paraId="7C393B9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15.19 </w:t>
            </w:r>
          </w:p>
        </w:tc>
      </w:tr>
      <w:tr w:rsidR="006B10D9" w14:paraId="6AC29F05"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6C7C1358"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阿联酋</w:t>
            </w:r>
          </w:p>
        </w:tc>
        <w:tc>
          <w:tcPr>
            <w:tcW w:w="567" w:type="dxa"/>
            <w:shd w:val="clear" w:color="auto" w:fill="F2F2F2" w:themeFill="background1" w:themeFillShade="F2"/>
          </w:tcPr>
          <w:p w14:paraId="6EFEFD5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23</w:t>
            </w:r>
          </w:p>
        </w:tc>
        <w:tc>
          <w:tcPr>
            <w:tcW w:w="734" w:type="dxa"/>
            <w:shd w:val="clear" w:color="auto" w:fill="F2F2F2" w:themeFill="background1" w:themeFillShade="F2"/>
          </w:tcPr>
          <w:p w14:paraId="4749116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38.33 </w:t>
            </w:r>
          </w:p>
        </w:tc>
        <w:tc>
          <w:tcPr>
            <w:tcW w:w="1136" w:type="dxa"/>
            <w:shd w:val="clear" w:color="auto" w:fill="F2F2F2" w:themeFill="background1" w:themeFillShade="F2"/>
          </w:tcPr>
          <w:p w14:paraId="592E45F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泰国</w:t>
            </w:r>
          </w:p>
        </w:tc>
        <w:tc>
          <w:tcPr>
            <w:tcW w:w="721" w:type="dxa"/>
            <w:shd w:val="clear" w:color="auto" w:fill="F2F2F2" w:themeFill="background1" w:themeFillShade="F2"/>
          </w:tcPr>
          <w:p w14:paraId="5F3EAD2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49</w:t>
            </w:r>
          </w:p>
        </w:tc>
        <w:tc>
          <w:tcPr>
            <w:tcW w:w="648" w:type="dxa"/>
            <w:shd w:val="clear" w:color="auto" w:fill="F2F2F2" w:themeFill="background1" w:themeFillShade="F2"/>
          </w:tcPr>
          <w:p w14:paraId="0285B99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29.40 </w:t>
            </w:r>
          </w:p>
        </w:tc>
        <w:tc>
          <w:tcPr>
            <w:tcW w:w="1149" w:type="dxa"/>
            <w:shd w:val="clear" w:color="auto" w:fill="F2F2F2" w:themeFill="background1" w:themeFillShade="F2"/>
          </w:tcPr>
          <w:p w14:paraId="5F2E8CF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哥斯达黎加</w:t>
            </w:r>
          </w:p>
        </w:tc>
        <w:tc>
          <w:tcPr>
            <w:tcW w:w="602" w:type="dxa"/>
            <w:shd w:val="clear" w:color="auto" w:fill="F2F2F2" w:themeFill="background1" w:themeFillShade="F2"/>
          </w:tcPr>
          <w:p w14:paraId="17E2737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75</w:t>
            </w:r>
          </w:p>
        </w:tc>
        <w:tc>
          <w:tcPr>
            <w:tcW w:w="755" w:type="dxa"/>
            <w:shd w:val="clear" w:color="auto" w:fill="F2F2F2" w:themeFill="background1" w:themeFillShade="F2"/>
          </w:tcPr>
          <w:p w14:paraId="657377C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23.90 </w:t>
            </w:r>
          </w:p>
        </w:tc>
        <w:tc>
          <w:tcPr>
            <w:tcW w:w="1387" w:type="dxa"/>
            <w:shd w:val="clear" w:color="auto" w:fill="F2F2F2" w:themeFill="background1" w:themeFillShade="F2"/>
          </w:tcPr>
          <w:p w14:paraId="19C6592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喀麦隆</w:t>
            </w:r>
          </w:p>
        </w:tc>
        <w:tc>
          <w:tcPr>
            <w:tcW w:w="567" w:type="dxa"/>
            <w:shd w:val="clear" w:color="auto" w:fill="F2F2F2" w:themeFill="background1" w:themeFillShade="F2"/>
          </w:tcPr>
          <w:p w14:paraId="6956AA1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101</w:t>
            </w:r>
          </w:p>
        </w:tc>
        <w:tc>
          <w:tcPr>
            <w:tcW w:w="698" w:type="dxa"/>
            <w:shd w:val="clear" w:color="auto" w:fill="F2F2F2" w:themeFill="background1" w:themeFillShade="F2"/>
          </w:tcPr>
          <w:p w14:paraId="3CC849C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15.13 </w:t>
            </w:r>
          </w:p>
        </w:tc>
      </w:tr>
      <w:tr w:rsidR="006B10D9" w14:paraId="2EF32FB2"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475B7335"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意大利</w:t>
            </w:r>
          </w:p>
        </w:tc>
        <w:tc>
          <w:tcPr>
            <w:tcW w:w="567" w:type="dxa"/>
          </w:tcPr>
          <w:p w14:paraId="1A5FA3C7"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24</w:t>
            </w:r>
          </w:p>
        </w:tc>
        <w:tc>
          <w:tcPr>
            <w:tcW w:w="734" w:type="dxa"/>
          </w:tcPr>
          <w:p w14:paraId="621AD5D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37.07 </w:t>
            </w:r>
          </w:p>
        </w:tc>
        <w:tc>
          <w:tcPr>
            <w:tcW w:w="1136" w:type="dxa"/>
          </w:tcPr>
          <w:p w14:paraId="3A8B97E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亚美尼亚</w:t>
            </w:r>
          </w:p>
        </w:tc>
        <w:tc>
          <w:tcPr>
            <w:tcW w:w="721" w:type="dxa"/>
          </w:tcPr>
          <w:p w14:paraId="184FC5E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50</w:t>
            </w:r>
          </w:p>
        </w:tc>
        <w:tc>
          <w:tcPr>
            <w:tcW w:w="648" w:type="dxa"/>
          </w:tcPr>
          <w:p w14:paraId="4768C76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29.10 </w:t>
            </w:r>
          </w:p>
        </w:tc>
        <w:tc>
          <w:tcPr>
            <w:tcW w:w="1149" w:type="dxa"/>
          </w:tcPr>
          <w:p w14:paraId="19B5832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土库曼斯坦</w:t>
            </w:r>
          </w:p>
        </w:tc>
        <w:tc>
          <w:tcPr>
            <w:tcW w:w="602" w:type="dxa"/>
          </w:tcPr>
          <w:p w14:paraId="6374F10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76</w:t>
            </w:r>
          </w:p>
        </w:tc>
        <w:tc>
          <w:tcPr>
            <w:tcW w:w="755" w:type="dxa"/>
          </w:tcPr>
          <w:p w14:paraId="184FFB3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23.53 </w:t>
            </w:r>
          </w:p>
        </w:tc>
        <w:tc>
          <w:tcPr>
            <w:tcW w:w="1387" w:type="dxa"/>
          </w:tcPr>
          <w:p w14:paraId="4F65BDC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伊拉克</w:t>
            </w:r>
          </w:p>
        </w:tc>
        <w:tc>
          <w:tcPr>
            <w:tcW w:w="567" w:type="dxa"/>
          </w:tcPr>
          <w:p w14:paraId="0D2F6A9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102</w:t>
            </w:r>
          </w:p>
        </w:tc>
        <w:tc>
          <w:tcPr>
            <w:tcW w:w="698" w:type="dxa"/>
          </w:tcPr>
          <w:p w14:paraId="6F190C2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14.57 </w:t>
            </w:r>
          </w:p>
        </w:tc>
      </w:tr>
      <w:tr w:rsidR="006B10D9" w14:paraId="49181BCD"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shd w:val="clear" w:color="auto" w:fill="F2F2F2" w:themeFill="background1" w:themeFillShade="F2"/>
          </w:tcPr>
          <w:p w14:paraId="4279941C"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西班牙</w:t>
            </w:r>
          </w:p>
        </w:tc>
        <w:tc>
          <w:tcPr>
            <w:tcW w:w="567" w:type="dxa"/>
            <w:shd w:val="clear" w:color="auto" w:fill="F2F2F2" w:themeFill="background1" w:themeFillShade="F2"/>
          </w:tcPr>
          <w:p w14:paraId="4D33C4D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25</w:t>
            </w:r>
          </w:p>
        </w:tc>
        <w:tc>
          <w:tcPr>
            <w:tcW w:w="734" w:type="dxa"/>
            <w:shd w:val="clear" w:color="auto" w:fill="F2F2F2" w:themeFill="background1" w:themeFillShade="F2"/>
          </w:tcPr>
          <w:p w14:paraId="5613880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36.94 </w:t>
            </w:r>
          </w:p>
        </w:tc>
        <w:tc>
          <w:tcPr>
            <w:tcW w:w="1136" w:type="dxa"/>
            <w:shd w:val="clear" w:color="auto" w:fill="F2F2F2" w:themeFill="background1" w:themeFillShade="F2"/>
          </w:tcPr>
          <w:p w14:paraId="46567485"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老挝</w:t>
            </w:r>
          </w:p>
        </w:tc>
        <w:tc>
          <w:tcPr>
            <w:tcW w:w="721" w:type="dxa"/>
            <w:shd w:val="clear" w:color="auto" w:fill="F2F2F2" w:themeFill="background1" w:themeFillShade="F2"/>
          </w:tcPr>
          <w:p w14:paraId="7DC0F571"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51</w:t>
            </w:r>
          </w:p>
        </w:tc>
        <w:tc>
          <w:tcPr>
            <w:tcW w:w="648" w:type="dxa"/>
            <w:shd w:val="clear" w:color="auto" w:fill="F2F2F2" w:themeFill="background1" w:themeFillShade="F2"/>
          </w:tcPr>
          <w:p w14:paraId="6E94FC2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29.01 </w:t>
            </w:r>
          </w:p>
        </w:tc>
        <w:tc>
          <w:tcPr>
            <w:tcW w:w="1149" w:type="dxa"/>
            <w:shd w:val="clear" w:color="auto" w:fill="F2F2F2" w:themeFill="background1" w:themeFillShade="F2"/>
          </w:tcPr>
          <w:p w14:paraId="649ACADF"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斯里兰卡</w:t>
            </w:r>
          </w:p>
        </w:tc>
        <w:tc>
          <w:tcPr>
            <w:tcW w:w="602" w:type="dxa"/>
            <w:shd w:val="clear" w:color="auto" w:fill="F2F2F2" w:themeFill="background1" w:themeFillShade="F2"/>
          </w:tcPr>
          <w:p w14:paraId="2165B15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77</w:t>
            </w:r>
          </w:p>
        </w:tc>
        <w:tc>
          <w:tcPr>
            <w:tcW w:w="755" w:type="dxa"/>
            <w:shd w:val="clear" w:color="auto" w:fill="F2F2F2" w:themeFill="background1" w:themeFillShade="F2"/>
          </w:tcPr>
          <w:p w14:paraId="555138C3"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23.20 </w:t>
            </w:r>
          </w:p>
        </w:tc>
        <w:tc>
          <w:tcPr>
            <w:tcW w:w="1387" w:type="dxa"/>
            <w:shd w:val="clear" w:color="auto" w:fill="F2F2F2" w:themeFill="background1" w:themeFillShade="F2"/>
          </w:tcPr>
          <w:p w14:paraId="27FB68B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洪都拉斯</w:t>
            </w:r>
          </w:p>
        </w:tc>
        <w:tc>
          <w:tcPr>
            <w:tcW w:w="567" w:type="dxa"/>
            <w:shd w:val="clear" w:color="auto" w:fill="F2F2F2" w:themeFill="background1" w:themeFillShade="F2"/>
          </w:tcPr>
          <w:p w14:paraId="72EDAA3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103</w:t>
            </w:r>
          </w:p>
        </w:tc>
        <w:tc>
          <w:tcPr>
            <w:tcW w:w="698" w:type="dxa"/>
            <w:shd w:val="clear" w:color="auto" w:fill="F2F2F2" w:themeFill="background1" w:themeFillShade="F2"/>
          </w:tcPr>
          <w:p w14:paraId="22A90456"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14.57 </w:t>
            </w:r>
          </w:p>
        </w:tc>
      </w:tr>
      <w:tr w:rsidR="006B10D9" w14:paraId="62A6B2E6" w14:textId="77777777" w:rsidTr="006B10D9">
        <w:trPr>
          <w:trHeight w:val="424"/>
        </w:trPr>
        <w:tc>
          <w:tcPr>
            <w:cnfStyle w:val="001000000000" w:firstRow="0" w:lastRow="0" w:firstColumn="1" w:lastColumn="0" w:oddVBand="0" w:evenVBand="0" w:oddHBand="0" w:evenHBand="0" w:firstRowFirstColumn="0" w:firstRowLastColumn="0" w:lastRowFirstColumn="0" w:lastRowLastColumn="0"/>
            <w:tcW w:w="946" w:type="dxa"/>
          </w:tcPr>
          <w:p w14:paraId="3CEF6908" w14:textId="77777777" w:rsidR="006B10D9" w:rsidRDefault="00BE6472">
            <w:pPr>
              <w:widowControl/>
              <w:adjustRightInd w:val="0"/>
              <w:snapToGrid w:val="0"/>
              <w:spacing w:before="100" w:line="312" w:lineRule="auto"/>
              <w:ind w:firstLineChars="0" w:firstLine="0"/>
              <w:jc w:val="center"/>
              <w:textAlignment w:val="center"/>
              <w:rPr>
                <w:rFonts w:eastAsia="宋体" w:cs="微软雅黑"/>
                <w:color w:val="000000"/>
                <w:kern w:val="0"/>
                <w:sz w:val="17"/>
                <w:szCs w:val="16"/>
                <w:lang w:bidi="ar"/>
              </w:rPr>
            </w:pPr>
            <w:r>
              <w:rPr>
                <w:rFonts w:eastAsia="宋体" w:cs="微软雅黑" w:hint="eastAsia"/>
                <w:color w:val="000000"/>
                <w:kern w:val="0"/>
                <w:sz w:val="17"/>
                <w:szCs w:val="16"/>
                <w:lang w:bidi="ar"/>
              </w:rPr>
              <w:t>智利</w:t>
            </w:r>
          </w:p>
        </w:tc>
        <w:tc>
          <w:tcPr>
            <w:tcW w:w="567" w:type="dxa"/>
          </w:tcPr>
          <w:p w14:paraId="479D1E6A"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26</w:t>
            </w:r>
          </w:p>
        </w:tc>
        <w:tc>
          <w:tcPr>
            <w:tcW w:w="734" w:type="dxa"/>
          </w:tcPr>
          <w:p w14:paraId="71A49F6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35.93 </w:t>
            </w:r>
          </w:p>
        </w:tc>
        <w:tc>
          <w:tcPr>
            <w:tcW w:w="1136" w:type="dxa"/>
          </w:tcPr>
          <w:p w14:paraId="5384E70C"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越南</w:t>
            </w:r>
          </w:p>
        </w:tc>
        <w:tc>
          <w:tcPr>
            <w:tcW w:w="721" w:type="dxa"/>
          </w:tcPr>
          <w:p w14:paraId="2CA09818"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52</w:t>
            </w:r>
          </w:p>
        </w:tc>
        <w:tc>
          <w:tcPr>
            <w:tcW w:w="648" w:type="dxa"/>
          </w:tcPr>
          <w:p w14:paraId="27F7974E"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28.98 </w:t>
            </w:r>
          </w:p>
        </w:tc>
        <w:tc>
          <w:tcPr>
            <w:tcW w:w="1149" w:type="dxa"/>
          </w:tcPr>
          <w:p w14:paraId="607442DB"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塔吉克斯坦</w:t>
            </w:r>
          </w:p>
        </w:tc>
        <w:tc>
          <w:tcPr>
            <w:tcW w:w="602" w:type="dxa"/>
          </w:tcPr>
          <w:p w14:paraId="6735BC4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78</w:t>
            </w:r>
          </w:p>
        </w:tc>
        <w:tc>
          <w:tcPr>
            <w:tcW w:w="755" w:type="dxa"/>
          </w:tcPr>
          <w:p w14:paraId="1383C449"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23.16 </w:t>
            </w:r>
          </w:p>
        </w:tc>
        <w:tc>
          <w:tcPr>
            <w:tcW w:w="1387" w:type="dxa"/>
          </w:tcPr>
          <w:p w14:paraId="410DE09D"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尼日尔</w:t>
            </w:r>
          </w:p>
        </w:tc>
        <w:tc>
          <w:tcPr>
            <w:tcW w:w="567" w:type="dxa"/>
          </w:tcPr>
          <w:p w14:paraId="4C6EB470"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104</w:t>
            </w:r>
          </w:p>
        </w:tc>
        <w:tc>
          <w:tcPr>
            <w:tcW w:w="698" w:type="dxa"/>
          </w:tcPr>
          <w:p w14:paraId="4E0CF884" w14:textId="77777777" w:rsidR="006B10D9" w:rsidRDefault="00BE6472">
            <w:pPr>
              <w:widowControl/>
              <w:adjustRightInd w:val="0"/>
              <w:snapToGrid w:val="0"/>
              <w:spacing w:before="100" w:line="312" w:lineRule="auto"/>
              <w:ind w:firstLineChars="0" w:firstLine="0"/>
              <w:jc w:val="center"/>
              <w:textAlignment w:val="center"/>
              <w:cnfStyle w:val="000000000000" w:firstRow="0" w:lastRow="0" w:firstColumn="0" w:lastColumn="0" w:oddVBand="0" w:evenVBand="0" w:oddHBand="0" w:evenHBand="0" w:firstRowFirstColumn="0" w:firstRowLastColumn="0" w:lastRowFirstColumn="0" w:lastRowLastColumn="0"/>
              <w:rPr>
                <w:rFonts w:eastAsia="宋体" w:cs="微软雅黑"/>
                <w:color w:val="000000"/>
                <w:kern w:val="0"/>
                <w:sz w:val="17"/>
                <w:szCs w:val="16"/>
                <w:lang w:bidi="ar"/>
              </w:rPr>
            </w:pPr>
            <w:r>
              <w:rPr>
                <w:rFonts w:eastAsia="宋体" w:cs="微软雅黑" w:hint="eastAsia"/>
                <w:color w:val="000000"/>
                <w:kern w:val="0"/>
                <w:sz w:val="17"/>
                <w:szCs w:val="16"/>
                <w:lang w:bidi="ar"/>
              </w:rPr>
              <w:t xml:space="preserve">12.11 </w:t>
            </w:r>
          </w:p>
        </w:tc>
      </w:tr>
    </w:tbl>
    <w:p w14:paraId="3029FE51" w14:textId="77777777" w:rsidR="006B10D9" w:rsidRDefault="006B10D9">
      <w:pPr>
        <w:snapToGrid w:val="0"/>
        <w:spacing w:line="240" w:lineRule="auto"/>
        <w:ind w:firstLineChars="0" w:firstLine="0"/>
        <w:rPr>
          <w:rFonts w:eastAsia="宋体" w:cs="Times New Roman"/>
          <w:sz w:val="24"/>
          <w:szCs w:val="24"/>
        </w:rPr>
      </w:pPr>
      <w:bookmarkStart w:id="70" w:name="_Toc13279"/>
    </w:p>
    <w:p w14:paraId="560E3E52" w14:textId="77777777" w:rsidR="006B10D9" w:rsidRDefault="006B10D9">
      <w:pPr>
        <w:snapToGrid w:val="0"/>
        <w:spacing w:line="240" w:lineRule="auto"/>
        <w:ind w:firstLineChars="0" w:firstLine="0"/>
        <w:rPr>
          <w:rFonts w:eastAsia="宋体" w:cs="Times New Roman"/>
          <w:sz w:val="24"/>
          <w:szCs w:val="24"/>
        </w:rPr>
      </w:pPr>
    </w:p>
    <w:p w14:paraId="7B79A1E8" w14:textId="77777777" w:rsidR="006B10D9" w:rsidRDefault="00BE6472">
      <w:pPr>
        <w:pStyle w:val="4"/>
      </w:pPr>
      <w:r>
        <w:rPr>
          <w:rFonts w:hint="eastAsia"/>
        </w:rPr>
        <w:t>3</w:t>
      </w:r>
      <w:r>
        <w:rPr>
          <w:rFonts w:cs="华文楷体" w:hint="eastAsia"/>
        </w:rPr>
        <w:t>.</w:t>
      </w:r>
      <w:r>
        <w:rPr>
          <w:rFonts w:hint="eastAsia"/>
        </w:rPr>
        <w:t>国别风险分析</w:t>
      </w:r>
      <w:bookmarkEnd w:id="70"/>
    </w:p>
    <w:p w14:paraId="0445447C"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）总体风险排名分析</w:t>
      </w:r>
    </w:p>
    <w:p w14:paraId="7060FE9E" w14:textId="77777777" w:rsidR="006B10D9" w:rsidRDefault="00BE6472">
      <w:pPr>
        <w:spacing w:line="360" w:lineRule="auto"/>
        <w:ind w:firstLine="480"/>
        <w:rPr>
          <w:rFonts w:eastAsia="宋体" w:cs="Times New Roman"/>
          <w:sz w:val="24"/>
          <w:szCs w:val="24"/>
        </w:rPr>
      </w:pPr>
      <w:r>
        <w:rPr>
          <w:rFonts w:eastAsia="宋体" w:cs="Times New Roman"/>
          <w:sz w:val="24"/>
          <w:szCs w:val="24"/>
        </w:rPr>
        <w:t>20</w:t>
      </w:r>
      <w:r>
        <w:rPr>
          <w:rFonts w:eastAsia="宋体" w:cs="Times New Roman" w:hint="eastAsia"/>
          <w:sz w:val="24"/>
          <w:szCs w:val="24"/>
        </w:rPr>
        <w:t>20</w:t>
      </w:r>
      <w:r>
        <w:rPr>
          <w:rFonts w:eastAsia="宋体" w:cs="Times New Roman"/>
          <w:sz w:val="24"/>
          <w:szCs w:val="24"/>
        </w:rPr>
        <w:t>年以来，</w:t>
      </w:r>
      <w:r>
        <w:rPr>
          <w:rFonts w:eastAsia="宋体" w:cs="Times New Roman" w:hint="eastAsia"/>
          <w:sz w:val="24"/>
          <w:szCs w:val="24"/>
        </w:rPr>
        <w:t>突然暴发的新冠肺炎疫情、</w:t>
      </w:r>
      <w:r>
        <w:rPr>
          <w:rFonts w:eastAsia="宋体" w:cs="Times New Roman"/>
          <w:sz w:val="24"/>
          <w:szCs w:val="24"/>
        </w:rPr>
        <w:t>不断加剧的贸易和地缘政治紧张局势增加了</w:t>
      </w:r>
      <w:r>
        <w:rPr>
          <w:rFonts w:eastAsia="宋体" w:cs="Times New Roman" w:hint="eastAsia"/>
          <w:sz w:val="24"/>
          <w:szCs w:val="24"/>
        </w:rPr>
        <w:t>企业对外</w:t>
      </w:r>
      <w:r>
        <w:rPr>
          <w:rFonts w:eastAsia="宋体" w:cs="Times New Roman"/>
          <w:sz w:val="24"/>
          <w:szCs w:val="24"/>
        </w:rPr>
        <w:t>直接投资的</w:t>
      </w:r>
      <w:r>
        <w:rPr>
          <w:rFonts w:eastAsia="宋体" w:cs="Times New Roman" w:hint="eastAsia"/>
          <w:sz w:val="24"/>
          <w:szCs w:val="24"/>
        </w:rPr>
        <w:t>风险和</w:t>
      </w:r>
      <w:r>
        <w:rPr>
          <w:rFonts w:eastAsia="宋体" w:cs="Times New Roman"/>
          <w:sz w:val="24"/>
          <w:szCs w:val="24"/>
        </w:rPr>
        <w:t>不确定性</w:t>
      </w:r>
      <w:r>
        <w:rPr>
          <w:rFonts w:eastAsia="宋体" w:cs="Times New Roman" w:hint="eastAsia"/>
          <w:sz w:val="24"/>
          <w:szCs w:val="24"/>
        </w:rPr>
        <w:t>，如</w:t>
      </w:r>
      <w:r>
        <w:rPr>
          <w:rFonts w:eastAsia="宋体" w:cs="Times New Roman"/>
          <w:sz w:val="24"/>
          <w:szCs w:val="24"/>
        </w:rPr>
        <w:t>健康冲击、国内经济中断、外部需求骤降、大宗商品价格波动加大等。尽管</w:t>
      </w:r>
      <w:r>
        <w:rPr>
          <w:rFonts w:eastAsia="宋体" w:cs="Times New Roman" w:hint="eastAsia"/>
          <w:sz w:val="24"/>
          <w:szCs w:val="24"/>
        </w:rPr>
        <w:t>主要经济体多采取</w:t>
      </w:r>
      <w:r>
        <w:rPr>
          <w:rFonts w:eastAsia="宋体" w:cs="Times New Roman"/>
          <w:sz w:val="24"/>
          <w:szCs w:val="24"/>
        </w:rPr>
        <w:t>有针对性的财政</w:t>
      </w:r>
      <w:r>
        <w:rPr>
          <w:rFonts w:eastAsia="宋体" w:cs="Times New Roman" w:hint="eastAsia"/>
          <w:sz w:val="24"/>
          <w:szCs w:val="24"/>
        </w:rPr>
        <w:t>刺激</w:t>
      </w:r>
      <w:r>
        <w:rPr>
          <w:rFonts w:eastAsia="宋体" w:cs="Times New Roman"/>
          <w:sz w:val="24"/>
          <w:szCs w:val="24"/>
        </w:rPr>
        <w:t>政策对经济提供支持，并采取了宽松的货币政策缓解金融市场的紧张情绪，但是</w:t>
      </w:r>
      <w:r>
        <w:rPr>
          <w:rFonts w:eastAsia="宋体" w:cs="Times New Roman" w:hint="eastAsia"/>
          <w:sz w:val="24"/>
          <w:szCs w:val="24"/>
        </w:rPr>
        <w:t>经济</w:t>
      </w:r>
      <w:r>
        <w:rPr>
          <w:rFonts w:eastAsia="宋体" w:cs="Times New Roman"/>
          <w:sz w:val="24"/>
          <w:szCs w:val="24"/>
        </w:rPr>
        <w:t>风险依然占据主导地位。对发达经济体而言，</w:t>
      </w:r>
      <w:r>
        <w:rPr>
          <w:rFonts w:eastAsia="宋体" w:cs="Times New Roman"/>
          <w:sz w:val="24"/>
          <w:szCs w:val="24"/>
        </w:rPr>
        <w:t>IMF</w:t>
      </w:r>
      <w:r>
        <w:rPr>
          <w:rFonts w:eastAsia="宋体" w:cs="Times New Roman"/>
          <w:sz w:val="24"/>
          <w:szCs w:val="24"/>
        </w:rPr>
        <w:t>对发达经济体</w:t>
      </w:r>
      <w:r>
        <w:rPr>
          <w:rFonts w:eastAsia="宋体" w:cs="Times New Roman"/>
          <w:sz w:val="24"/>
          <w:szCs w:val="24"/>
        </w:rPr>
        <w:t>2020</w:t>
      </w:r>
      <w:r>
        <w:rPr>
          <w:rFonts w:eastAsia="宋体" w:cs="Times New Roman"/>
          <w:sz w:val="24"/>
          <w:szCs w:val="24"/>
        </w:rPr>
        <w:t>年的预期经济增长率为</w:t>
      </w:r>
      <w:r>
        <w:rPr>
          <w:rFonts w:eastAsia="宋体" w:cs="Times New Roman" w:hint="eastAsia"/>
          <w:sz w:val="24"/>
          <w:szCs w:val="24"/>
        </w:rPr>
        <w:t>-</w:t>
      </w:r>
      <w:r>
        <w:rPr>
          <w:rFonts w:eastAsia="宋体" w:cs="Times New Roman"/>
          <w:sz w:val="24"/>
          <w:szCs w:val="24"/>
        </w:rPr>
        <w:t>5.8</w:t>
      </w:r>
      <w:r>
        <w:rPr>
          <w:rFonts w:eastAsia="宋体" w:cs="Times New Roman"/>
          <w:sz w:val="24"/>
          <w:szCs w:val="24"/>
        </w:rPr>
        <w:t>％，相比</w:t>
      </w:r>
      <w:r>
        <w:rPr>
          <w:rFonts w:eastAsia="宋体" w:cs="Times New Roman"/>
          <w:sz w:val="24"/>
          <w:szCs w:val="24"/>
        </w:rPr>
        <w:t>2019</w:t>
      </w:r>
      <w:r>
        <w:rPr>
          <w:rFonts w:eastAsia="宋体" w:cs="Times New Roman"/>
          <w:sz w:val="24"/>
          <w:szCs w:val="24"/>
        </w:rPr>
        <w:t>年下降了</w:t>
      </w:r>
      <w:r>
        <w:rPr>
          <w:rFonts w:eastAsia="宋体" w:cs="Times New Roman"/>
          <w:sz w:val="24"/>
          <w:szCs w:val="24"/>
        </w:rPr>
        <w:t>7.5</w:t>
      </w:r>
      <w:r>
        <w:rPr>
          <w:rFonts w:eastAsia="宋体" w:cs="Times New Roman"/>
          <w:sz w:val="24"/>
          <w:szCs w:val="24"/>
        </w:rPr>
        <w:t>个百分点，信心不足可能会进一步影响经济前景，并增加投资的不确定性。</w:t>
      </w:r>
    </w:p>
    <w:p w14:paraId="5414EEBB" w14:textId="77777777" w:rsidR="006B10D9" w:rsidRDefault="00BE6472">
      <w:pPr>
        <w:spacing w:line="360" w:lineRule="auto"/>
        <w:ind w:firstLine="480"/>
        <w:rPr>
          <w:rFonts w:eastAsia="宋体" w:cs="Times New Roman"/>
          <w:sz w:val="24"/>
          <w:szCs w:val="24"/>
          <w:highlight w:val="yellow"/>
        </w:rPr>
      </w:pPr>
      <w:r>
        <w:rPr>
          <w:rFonts w:eastAsia="宋体" w:cs="Times New Roman" w:hint="eastAsia"/>
          <w:sz w:val="24"/>
          <w:szCs w:val="24"/>
        </w:rPr>
        <w:t>从测算结果来看，</w:t>
      </w:r>
      <w:r>
        <w:rPr>
          <w:rFonts w:eastAsia="宋体" w:cs="Times New Roman" w:hint="eastAsia"/>
          <w:sz w:val="24"/>
          <w:szCs w:val="24"/>
        </w:rPr>
        <w:t>2020</w:t>
      </w:r>
      <w:r>
        <w:rPr>
          <w:rFonts w:eastAsia="宋体" w:cs="Times New Roman" w:hint="eastAsia"/>
          <w:sz w:val="24"/>
          <w:szCs w:val="24"/>
        </w:rPr>
        <w:t>年所有国家综合平均得分为</w:t>
      </w:r>
      <w:r>
        <w:rPr>
          <w:rFonts w:eastAsia="宋体" w:cs="Times New Roman" w:hint="eastAsia"/>
          <w:sz w:val="24"/>
          <w:szCs w:val="24"/>
        </w:rPr>
        <w:t>30.52</w:t>
      </w:r>
      <w:r>
        <w:rPr>
          <w:rFonts w:eastAsia="宋体" w:cs="Times New Roman" w:hint="eastAsia"/>
          <w:sz w:val="24"/>
          <w:szCs w:val="24"/>
        </w:rPr>
        <w:t>，相比于</w:t>
      </w:r>
      <w:r>
        <w:rPr>
          <w:rFonts w:eastAsia="宋体" w:cs="Times New Roman" w:hint="eastAsia"/>
          <w:sz w:val="24"/>
          <w:szCs w:val="24"/>
        </w:rPr>
        <w:t>2019</w:t>
      </w:r>
      <w:r>
        <w:rPr>
          <w:rFonts w:eastAsia="宋体" w:cs="Times New Roman" w:hint="eastAsia"/>
          <w:sz w:val="24"/>
          <w:szCs w:val="24"/>
        </w:rPr>
        <w:t>年综合平均得分</w:t>
      </w:r>
      <w:r>
        <w:rPr>
          <w:rFonts w:eastAsia="宋体" w:cs="Times New Roman" w:hint="eastAsia"/>
          <w:sz w:val="24"/>
          <w:szCs w:val="24"/>
        </w:rPr>
        <w:t>31.39</w:t>
      </w:r>
      <w:r>
        <w:rPr>
          <w:rFonts w:eastAsia="宋体" w:cs="Times New Roman" w:hint="eastAsia"/>
          <w:sz w:val="24"/>
          <w:szCs w:val="24"/>
        </w:rPr>
        <w:t>有所下降。</w:t>
      </w:r>
      <w:r>
        <w:rPr>
          <w:rFonts w:eastAsia="宋体" w:cs="Times New Roman"/>
          <w:sz w:val="24"/>
          <w:szCs w:val="24"/>
        </w:rPr>
        <w:t>与</w:t>
      </w:r>
      <w:r>
        <w:rPr>
          <w:rFonts w:eastAsia="宋体" w:cs="Times New Roman"/>
          <w:sz w:val="24"/>
          <w:szCs w:val="24"/>
        </w:rPr>
        <w:t>20</w:t>
      </w:r>
      <w:r>
        <w:rPr>
          <w:rFonts w:eastAsia="宋体" w:cs="Times New Roman" w:hint="eastAsia"/>
          <w:sz w:val="24"/>
          <w:szCs w:val="24"/>
        </w:rPr>
        <w:t>19</w:t>
      </w:r>
      <w:r>
        <w:rPr>
          <w:rFonts w:eastAsia="宋体" w:cs="Times New Roman"/>
          <w:sz w:val="24"/>
          <w:szCs w:val="24"/>
        </w:rPr>
        <w:t>年相比，发达经济体中相对排名上升的国家有</w:t>
      </w:r>
      <w:r>
        <w:rPr>
          <w:rFonts w:eastAsia="宋体" w:cs="Times New Roman"/>
          <w:sz w:val="24"/>
          <w:szCs w:val="24"/>
        </w:rPr>
        <w:t>12</w:t>
      </w:r>
      <w:r>
        <w:rPr>
          <w:rFonts w:eastAsia="宋体" w:cs="Times New Roman"/>
          <w:sz w:val="24"/>
          <w:szCs w:val="24"/>
        </w:rPr>
        <w:t>个，相对排名下降的国家有</w:t>
      </w:r>
      <w:r>
        <w:rPr>
          <w:rFonts w:eastAsia="宋体" w:cs="Times New Roman"/>
          <w:sz w:val="24"/>
          <w:szCs w:val="24"/>
        </w:rPr>
        <w:t>13</w:t>
      </w:r>
      <w:r>
        <w:rPr>
          <w:rFonts w:eastAsia="宋体" w:cs="Times New Roman"/>
          <w:sz w:val="24"/>
          <w:szCs w:val="24"/>
        </w:rPr>
        <w:t>个，相对排名不变的国家有</w:t>
      </w:r>
      <w:r>
        <w:rPr>
          <w:rFonts w:eastAsia="宋体" w:cs="Times New Roman"/>
          <w:sz w:val="24"/>
          <w:szCs w:val="24"/>
        </w:rPr>
        <w:t>6</w:t>
      </w:r>
      <w:r>
        <w:rPr>
          <w:rFonts w:eastAsia="宋体" w:cs="Times New Roman"/>
          <w:sz w:val="24"/>
          <w:szCs w:val="24"/>
        </w:rPr>
        <w:t>个。在新兴经济体和发展中国家中，相对排名上升的国家有</w:t>
      </w:r>
      <w:r>
        <w:rPr>
          <w:rFonts w:eastAsia="宋体" w:cs="Times New Roman"/>
          <w:sz w:val="24"/>
          <w:szCs w:val="24"/>
        </w:rPr>
        <w:t>37</w:t>
      </w:r>
      <w:r>
        <w:rPr>
          <w:rFonts w:eastAsia="宋体" w:cs="Times New Roman"/>
          <w:sz w:val="24"/>
          <w:szCs w:val="24"/>
        </w:rPr>
        <w:t>个，相对排名下降的国家有</w:t>
      </w:r>
      <w:r>
        <w:rPr>
          <w:rFonts w:eastAsia="宋体" w:cs="Times New Roman"/>
          <w:sz w:val="24"/>
          <w:szCs w:val="24"/>
        </w:rPr>
        <w:t>42</w:t>
      </w:r>
      <w:r>
        <w:rPr>
          <w:rFonts w:eastAsia="宋体" w:cs="Times New Roman"/>
          <w:sz w:val="24"/>
          <w:szCs w:val="24"/>
        </w:rPr>
        <w:t>个，相对排名不变的国家有</w:t>
      </w:r>
      <w:r>
        <w:rPr>
          <w:rFonts w:eastAsia="宋体" w:cs="Times New Roman"/>
          <w:sz w:val="24"/>
          <w:szCs w:val="24"/>
        </w:rPr>
        <w:t>4</w:t>
      </w:r>
      <w:r>
        <w:rPr>
          <w:rFonts w:eastAsia="宋体" w:cs="Times New Roman"/>
          <w:sz w:val="24"/>
          <w:szCs w:val="24"/>
        </w:rPr>
        <w:t>个。而中国对新兴经济体和发展中国家直接投资的主要目的地中，</w:t>
      </w:r>
      <w:r>
        <w:rPr>
          <w:rFonts w:eastAsia="宋体" w:cs="Times New Roman" w:hint="eastAsia"/>
          <w:sz w:val="24"/>
          <w:szCs w:val="24"/>
        </w:rPr>
        <w:t>越南、柬埔寨</w:t>
      </w:r>
      <w:r>
        <w:rPr>
          <w:rFonts w:eastAsia="宋体" w:cs="Times New Roman"/>
          <w:sz w:val="24"/>
          <w:szCs w:val="24"/>
        </w:rPr>
        <w:t>等国的投资风险均有所上升，需要引起警惕。</w:t>
      </w:r>
      <w:r>
        <w:rPr>
          <w:rFonts w:eastAsia="宋体" w:cs="Times New Roman" w:hint="eastAsia"/>
          <w:sz w:val="24"/>
          <w:szCs w:val="24"/>
        </w:rPr>
        <w:t>此外，</w:t>
      </w:r>
      <w:r>
        <w:rPr>
          <w:rFonts w:eastAsia="宋体" w:cs="Times New Roman"/>
          <w:sz w:val="24"/>
          <w:szCs w:val="24"/>
        </w:rPr>
        <w:t>和</w:t>
      </w:r>
      <w:r>
        <w:rPr>
          <w:rFonts w:eastAsia="宋体" w:cs="Times New Roman"/>
          <w:sz w:val="24"/>
          <w:szCs w:val="24"/>
        </w:rPr>
        <w:t>20</w:t>
      </w:r>
      <w:r>
        <w:rPr>
          <w:rFonts w:eastAsia="宋体" w:cs="Times New Roman" w:hint="eastAsia"/>
          <w:sz w:val="24"/>
          <w:szCs w:val="24"/>
        </w:rPr>
        <w:t>19</w:t>
      </w:r>
      <w:r>
        <w:rPr>
          <w:rFonts w:eastAsia="宋体" w:cs="Times New Roman"/>
          <w:sz w:val="24"/>
          <w:szCs w:val="24"/>
        </w:rPr>
        <w:t>年相比，</w:t>
      </w:r>
      <w:r>
        <w:rPr>
          <w:rFonts w:eastAsia="宋体" w:cs="Times New Roman" w:hint="eastAsia"/>
          <w:sz w:val="24"/>
          <w:szCs w:val="24"/>
        </w:rPr>
        <w:lastRenderedPageBreak/>
        <w:t>2020</w:t>
      </w:r>
      <w:r>
        <w:rPr>
          <w:rFonts w:eastAsia="宋体" w:cs="Times New Roman" w:hint="eastAsia"/>
          <w:sz w:val="24"/>
          <w:szCs w:val="24"/>
        </w:rPr>
        <w:t>年国别排名上升较为明显的是加拿大、印度、印度尼西亚、俄罗斯，排名下降较多的是爱尔兰、白俄罗斯、柬埔寨、马耳他、越南，对外投资企业需谨慎注意风险，做好风险防范和应对准备。</w:t>
      </w:r>
    </w:p>
    <w:p w14:paraId="4217552C"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风险类别来看，政府违约风险和债务风险成为后疫情时代海外投资新的风险点。为了缓解疫情对经济增长的冲击，各国相继启动扩张性财政政策，进一步推高了财政赤字率和公债率，新兴市场国家的主权债务违约风险大幅增加，如阿根廷、黎巴嫩和厄瓜多尔等国已相继宣布违约或者推迟偿还时限。</w:t>
      </w:r>
    </w:p>
    <w:p w14:paraId="142B5FA4" w14:textId="77777777" w:rsidR="006B10D9" w:rsidRDefault="00BE6472">
      <w:pPr>
        <w:keepNext/>
        <w:keepLines/>
        <w:numPr>
          <w:ilvl w:val="255"/>
          <w:numId w:val="0"/>
        </w:numPr>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）各项风险排名变化分析</w:t>
      </w:r>
    </w:p>
    <w:p w14:paraId="5F00C435" w14:textId="77777777" w:rsidR="006B10D9" w:rsidRDefault="00BE6472">
      <w:pPr>
        <w:spacing w:line="360" w:lineRule="auto"/>
        <w:ind w:firstLine="480"/>
        <w:rPr>
          <w:rFonts w:eastAsia="宋体" w:cs="Times New Roman"/>
          <w:sz w:val="24"/>
          <w:szCs w:val="24"/>
        </w:rPr>
      </w:pPr>
      <w:r>
        <w:rPr>
          <w:rFonts w:eastAsia="宋体" w:cs="Times New Roman"/>
          <w:sz w:val="24"/>
          <w:szCs w:val="24"/>
        </w:rPr>
        <w:t>根据测算，</w:t>
      </w:r>
      <w:r>
        <w:rPr>
          <w:rFonts w:eastAsia="宋体" w:cs="Times New Roman"/>
          <w:sz w:val="24"/>
          <w:szCs w:val="24"/>
        </w:rPr>
        <w:t>2020</w:t>
      </w:r>
      <w:r>
        <w:rPr>
          <w:rFonts w:eastAsia="宋体" w:cs="Times New Roman"/>
          <w:sz w:val="24"/>
          <w:szCs w:val="24"/>
        </w:rPr>
        <w:t>年各项风险得分中，政治、经济、社会、双边关系得分排名与</w:t>
      </w:r>
      <w:r>
        <w:rPr>
          <w:rFonts w:eastAsia="宋体" w:cs="Times New Roman"/>
          <w:sz w:val="24"/>
          <w:szCs w:val="24"/>
        </w:rPr>
        <w:t>2019</w:t>
      </w:r>
      <w:r>
        <w:rPr>
          <w:rFonts w:eastAsia="宋体" w:cs="Times New Roman"/>
          <w:sz w:val="24"/>
          <w:szCs w:val="24"/>
        </w:rPr>
        <w:t>年相比变化较小。相比于疫情爆发前，各国债务风险显著上升，成为国别风险中新的增长点。根据</w:t>
      </w:r>
      <w:r>
        <w:rPr>
          <w:rFonts w:eastAsia="宋体" w:cs="Times New Roman" w:hint="eastAsia"/>
          <w:sz w:val="24"/>
          <w:szCs w:val="24"/>
        </w:rPr>
        <w:t>国际货币基金组织（</w:t>
      </w:r>
      <w:r>
        <w:rPr>
          <w:rFonts w:eastAsia="宋体" w:cs="Times New Roman" w:hint="eastAsia"/>
          <w:sz w:val="24"/>
          <w:szCs w:val="24"/>
        </w:rPr>
        <w:t>IMF</w:t>
      </w:r>
      <w:r>
        <w:rPr>
          <w:rFonts w:eastAsia="宋体" w:cs="Times New Roman" w:hint="eastAsia"/>
          <w:sz w:val="24"/>
          <w:szCs w:val="24"/>
        </w:rPr>
        <w:t>）测算，越是发达国家债务率越高，平均赤字率</w:t>
      </w:r>
      <w:r>
        <w:rPr>
          <w:rFonts w:eastAsia="宋体" w:cs="Times New Roman"/>
          <w:sz w:val="24"/>
          <w:szCs w:val="24"/>
        </w:rPr>
        <w:t>也</w:t>
      </w:r>
      <w:r>
        <w:rPr>
          <w:rFonts w:eastAsia="宋体" w:cs="Times New Roman" w:hint="eastAsia"/>
          <w:sz w:val="24"/>
          <w:szCs w:val="24"/>
        </w:rPr>
        <w:t>越高。</w:t>
      </w:r>
      <w:r>
        <w:rPr>
          <w:rFonts w:eastAsia="宋体" w:cs="Times New Roman" w:hint="eastAsia"/>
          <w:sz w:val="24"/>
          <w:szCs w:val="24"/>
        </w:rPr>
        <w:t>2020</w:t>
      </w:r>
      <w:r>
        <w:rPr>
          <w:rFonts w:eastAsia="宋体" w:cs="Times New Roman" w:hint="eastAsia"/>
          <w:sz w:val="24"/>
          <w:szCs w:val="24"/>
        </w:rPr>
        <w:t>年</w:t>
      </w:r>
      <w:r>
        <w:rPr>
          <w:rFonts w:eastAsia="宋体" w:cs="Times New Roman"/>
          <w:sz w:val="24"/>
          <w:szCs w:val="24"/>
        </w:rPr>
        <w:t>，</w:t>
      </w:r>
      <w:r>
        <w:rPr>
          <w:rFonts w:eastAsia="宋体" w:cs="Times New Roman" w:hint="eastAsia"/>
          <w:sz w:val="24"/>
          <w:szCs w:val="24"/>
        </w:rPr>
        <w:t>以美国为代表的发达国家</w:t>
      </w:r>
      <w:r>
        <w:rPr>
          <w:rFonts w:eastAsia="宋体" w:cs="Times New Roman"/>
          <w:sz w:val="24"/>
          <w:szCs w:val="24"/>
        </w:rPr>
        <w:t>大规模实施</w:t>
      </w:r>
      <w:r>
        <w:rPr>
          <w:rFonts w:eastAsia="宋体" w:cs="Times New Roman" w:hint="eastAsia"/>
          <w:sz w:val="24"/>
          <w:szCs w:val="24"/>
        </w:rPr>
        <w:t>财政刺激</w:t>
      </w:r>
      <w:r>
        <w:rPr>
          <w:rFonts w:eastAsia="宋体" w:cs="Times New Roman"/>
          <w:sz w:val="24"/>
          <w:szCs w:val="24"/>
        </w:rPr>
        <w:t>政策</w:t>
      </w:r>
      <w:r>
        <w:rPr>
          <w:rFonts w:eastAsia="宋体" w:cs="Times New Roman" w:hint="eastAsia"/>
          <w:sz w:val="24"/>
          <w:szCs w:val="24"/>
        </w:rPr>
        <w:t>，债务占</w:t>
      </w:r>
      <w:r>
        <w:rPr>
          <w:rFonts w:eastAsia="宋体" w:cs="Times New Roman" w:hint="eastAsia"/>
          <w:sz w:val="24"/>
          <w:szCs w:val="24"/>
        </w:rPr>
        <w:t>GDP</w:t>
      </w:r>
      <w:r>
        <w:rPr>
          <w:rFonts w:eastAsia="宋体" w:cs="Times New Roman" w:hint="eastAsia"/>
          <w:sz w:val="24"/>
          <w:szCs w:val="24"/>
        </w:rPr>
        <w:t>比</w:t>
      </w:r>
      <w:r>
        <w:rPr>
          <w:rFonts w:eastAsia="宋体" w:cs="Times New Roman"/>
          <w:sz w:val="24"/>
          <w:szCs w:val="24"/>
        </w:rPr>
        <w:t>重</w:t>
      </w:r>
      <w:r>
        <w:rPr>
          <w:rFonts w:eastAsia="宋体" w:cs="Times New Roman" w:hint="eastAsia"/>
          <w:sz w:val="24"/>
          <w:szCs w:val="24"/>
        </w:rPr>
        <w:t>从</w:t>
      </w:r>
      <w:r>
        <w:rPr>
          <w:rFonts w:eastAsia="宋体" w:cs="Times New Roman" w:hint="eastAsia"/>
          <w:sz w:val="24"/>
          <w:szCs w:val="24"/>
        </w:rPr>
        <w:t>2019</w:t>
      </w:r>
      <w:r>
        <w:rPr>
          <w:rFonts w:eastAsia="宋体" w:cs="Times New Roman" w:hint="eastAsia"/>
          <w:sz w:val="24"/>
          <w:szCs w:val="24"/>
        </w:rPr>
        <w:t>年的</w:t>
      </w:r>
      <w:r>
        <w:rPr>
          <w:rFonts w:eastAsia="宋体" w:cs="Times New Roman" w:hint="eastAsia"/>
          <w:sz w:val="24"/>
          <w:szCs w:val="24"/>
        </w:rPr>
        <w:t>104.3%</w:t>
      </w:r>
      <w:r>
        <w:rPr>
          <w:rFonts w:eastAsia="宋体" w:cs="Times New Roman" w:hint="eastAsia"/>
          <w:sz w:val="24"/>
          <w:szCs w:val="24"/>
        </w:rPr>
        <w:t>升至</w:t>
      </w:r>
      <w:r>
        <w:rPr>
          <w:rFonts w:eastAsia="宋体" w:cs="Times New Roman" w:hint="eastAsia"/>
          <w:sz w:val="24"/>
          <w:szCs w:val="24"/>
        </w:rPr>
        <w:t>124.2%</w:t>
      </w:r>
      <w:r>
        <w:rPr>
          <w:rFonts w:eastAsia="宋体" w:cs="Times New Roman" w:hint="eastAsia"/>
          <w:sz w:val="24"/>
          <w:szCs w:val="24"/>
        </w:rPr>
        <w:t>，一年</w:t>
      </w:r>
      <w:r>
        <w:rPr>
          <w:rFonts w:eastAsia="宋体" w:cs="Times New Roman"/>
          <w:sz w:val="24"/>
          <w:szCs w:val="24"/>
        </w:rPr>
        <w:t>增加近</w:t>
      </w:r>
      <w:r>
        <w:rPr>
          <w:rFonts w:eastAsia="宋体" w:cs="Times New Roman"/>
          <w:sz w:val="24"/>
          <w:szCs w:val="24"/>
        </w:rPr>
        <w:t>20</w:t>
      </w:r>
      <w:r>
        <w:rPr>
          <w:rFonts w:eastAsia="宋体" w:cs="Times New Roman"/>
          <w:sz w:val="24"/>
          <w:szCs w:val="24"/>
        </w:rPr>
        <w:t>个百分点</w:t>
      </w:r>
      <w:r>
        <w:rPr>
          <w:rFonts w:eastAsia="宋体" w:cs="Times New Roman" w:hint="eastAsia"/>
          <w:sz w:val="24"/>
          <w:szCs w:val="24"/>
        </w:rPr>
        <w:t>。</w:t>
      </w:r>
      <w:r>
        <w:rPr>
          <w:rFonts w:eastAsia="宋体" w:cs="Times New Roman"/>
          <w:sz w:val="24"/>
          <w:szCs w:val="24"/>
        </w:rPr>
        <w:t>因此，债务风险成为后疫情时代衡量国别投资风险的重要指标。</w:t>
      </w:r>
    </w:p>
    <w:p w14:paraId="3B7416D9" w14:textId="77777777" w:rsidR="006B10D9" w:rsidRDefault="00BE6472">
      <w:pPr>
        <w:pStyle w:val="affd"/>
      </w:pPr>
      <w:r>
        <w:rPr>
          <w:rFonts w:hint="eastAsia"/>
        </w:rPr>
        <w:t>表</w:t>
      </w:r>
      <w:r>
        <w:rPr>
          <w:rFonts w:hint="eastAsia"/>
        </w:rPr>
        <w:t>18  2020</w:t>
      </w:r>
      <w:r>
        <w:rPr>
          <w:rFonts w:hint="eastAsia"/>
        </w:rPr>
        <w:t>年国别风险分项得分排名</w:t>
      </w:r>
    </w:p>
    <w:tbl>
      <w:tblPr>
        <w:tblStyle w:val="3-21"/>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06"/>
        <w:gridCol w:w="1263"/>
        <w:gridCol w:w="1263"/>
        <w:gridCol w:w="1557"/>
        <w:gridCol w:w="1675"/>
      </w:tblGrid>
      <w:tr w:rsidR="006B10D9" w14:paraId="6D23A1F0" w14:textId="77777777" w:rsidTr="006B10D9">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100" w:firstRow="0" w:lastRow="0" w:firstColumn="1" w:lastColumn="0" w:oddVBand="0" w:evenVBand="0" w:oddHBand="0" w:evenHBand="0" w:firstRowFirstColumn="1" w:firstRowLastColumn="0" w:lastRowFirstColumn="0" w:lastRowLastColumn="0"/>
            <w:tcW w:w="1696" w:type="dxa"/>
            <w:tcBorders>
              <w:bottom w:val="nil"/>
            </w:tcBorders>
            <w:noWrap/>
            <w:vAlign w:val="center"/>
          </w:tcPr>
          <w:p w14:paraId="6F9D4464" w14:textId="77777777" w:rsidR="006B10D9" w:rsidRDefault="00BE6472">
            <w:pPr>
              <w:widowControl/>
              <w:snapToGrid w:val="0"/>
              <w:spacing w:before="100" w:line="312" w:lineRule="auto"/>
              <w:ind w:firstLineChars="0" w:firstLine="0"/>
              <w:jc w:val="center"/>
              <w:textAlignment w:val="bottom"/>
              <w:rPr>
                <w:rFonts w:eastAsia="宋体" w:cs="Arial"/>
                <w:color w:val="000000"/>
                <w:sz w:val="21"/>
                <w:szCs w:val="20"/>
              </w:rPr>
            </w:pPr>
            <w:r>
              <w:rPr>
                <w:rFonts w:eastAsia="宋体" w:cs="Arial" w:hint="eastAsia"/>
                <w:color w:val="000000"/>
                <w:kern w:val="0"/>
                <w:sz w:val="21"/>
                <w:szCs w:val="20"/>
                <w:lang w:bidi="ar"/>
              </w:rPr>
              <w:t>分项</w:t>
            </w:r>
            <w:r>
              <w:rPr>
                <w:rFonts w:eastAsia="宋体" w:cs="Arial"/>
                <w:color w:val="000000"/>
                <w:kern w:val="0"/>
                <w:sz w:val="21"/>
                <w:szCs w:val="20"/>
                <w:lang w:bidi="ar"/>
              </w:rPr>
              <w:t>排名</w:t>
            </w:r>
          </w:p>
        </w:tc>
        <w:tc>
          <w:tcPr>
            <w:tcW w:w="1206" w:type="dxa"/>
            <w:noWrap/>
            <w:vAlign w:val="center"/>
          </w:tcPr>
          <w:p w14:paraId="7F55AE0E"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hint="eastAsia"/>
                <w:color w:val="000000"/>
                <w:kern w:val="0"/>
                <w:sz w:val="21"/>
                <w:szCs w:val="20"/>
                <w:lang w:bidi="ar"/>
              </w:rPr>
              <w:t>政治得分排名</w:t>
            </w:r>
          </w:p>
        </w:tc>
        <w:tc>
          <w:tcPr>
            <w:tcW w:w="1263" w:type="dxa"/>
            <w:noWrap/>
            <w:vAlign w:val="center"/>
          </w:tcPr>
          <w:p w14:paraId="15034780"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hint="eastAsia"/>
                <w:color w:val="000000"/>
                <w:kern w:val="0"/>
                <w:sz w:val="21"/>
                <w:szCs w:val="20"/>
                <w:lang w:bidi="ar"/>
              </w:rPr>
              <w:t>经济得分排名</w:t>
            </w:r>
          </w:p>
        </w:tc>
        <w:tc>
          <w:tcPr>
            <w:tcW w:w="1263" w:type="dxa"/>
            <w:noWrap/>
            <w:vAlign w:val="center"/>
          </w:tcPr>
          <w:p w14:paraId="39DAA915"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hint="eastAsia"/>
                <w:color w:val="000000"/>
                <w:kern w:val="0"/>
                <w:sz w:val="21"/>
                <w:szCs w:val="20"/>
                <w:lang w:bidi="ar"/>
              </w:rPr>
              <w:t>社会得分排名</w:t>
            </w:r>
          </w:p>
        </w:tc>
        <w:tc>
          <w:tcPr>
            <w:tcW w:w="1557" w:type="dxa"/>
            <w:noWrap/>
            <w:vAlign w:val="center"/>
          </w:tcPr>
          <w:p w14:paraId="14954B38" w14:textId="77777777" w:rsidR="006B10D9" w:rsidRDefault="00BE6472">
            <w:pPr>
              <w:widowControl/>
              <w:snapToGrid w:val="0"/>
              <w:spacing w:before="100" w:line="312" w:lineRule="auto"/>
              <w:ind w:firstLineChars="0" w:firstLine="0"/>
              <w:jc w:val="center"/>
              <w:textAlignment w:val="bottom"/>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hint="eastAsia"/>
                <w:color w:val="000000"/>
                <w:kern w:val="0"/>
                <w:sz w:val="21"/>
                <w:szCs w:val="20"/>
                <w:lang w:bidi="ar"/>
              </w:rPr>
              <w:t>债务得分排名</w:t>
            </w:r>
          </w:p>
        </w:tc>
        <w:tc>
          <w:tcPr>
            <w:tcW w:w="1675" w:type="dxa"/>
            <w:noWrap/>
            <w:vAlign w:val="center"/>
          </w:tcPr>
          <w:p w14:paraId="3E736CD9" w14:textId="77777777" w:rsidR="006B10D9" w:rsidRDefault="00BE6472">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Arial"/>
                <w:color w:val="000000"/>
                <w:kern w:val="0"/>
                <w:sz w:val="21"/>
                <w:szCs w:val="20"/>
                <w:lang w:bidi="ar"/>
              </w:rPr>
            </w:pPr>
            <w:r>
              <w:rPr>
                <w:rFonts w:eastAsia="宋体" w:cs="Arial" w:hint="eastAsia"/>
                <w:color w:val="000000"/>
                <w:kern w:val="0"/>
                <w:sz w:val="21"/>
                <w:szCs w:val="20"/>
                <w:lang w:bidi="ar"/>
              </w:rPr>
              <w:t>双边关系得分排名</w:t>
            </w:r>
          </w:p>
        </w:tc>
      </w:tr>
      <w:tr w:rsidR="006B10D9" w14:paraId="65EDB9F6"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0B085D9D"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1</w:t>
            </w:r>
          </w:p>
        </w:tc>
        <w:tc>
          <w:tcPr>
            <w:tcW w:w="1206" w:type="dxa"/>
            <w:shd w:val="clear" w:color="auto" w:fill="FBE4D5"/>
            <w:noWrap/>
            <w:vAlign w:val="center"/>
          </w:tcPr>
          <w:p w14:paraId="5AFC196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瑞士</w:t>
            </w:r>
          </w:p>
        </w:tc>
        <w:tc>
          <w:tcPr>
            <w:tcW w:w="1263" w:type="dxa"/>
            <w:shd w:val="clear" w:color="auto" w:fill="FBE4D5"/>
            <w:noWrap/>
            <w:vAlign w:val="center"/>
          </w:tcPr>
          <w:p w14:paraId="1466E480"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美国</w:t>
            </w:r>
          </w:p>
        </w:tc>
        <w:tc>
          <w:tcPr>
            <w:tcW w:w="1263" w:type="dxa"/>
            <w:shd w:val="clear" w:color="auto" w:fill="FBE4D5"/>
            <w:noWrap/>
            <w:vAlign w:val="center"/>
          </w:tcPr>
          <w:p w14:paraId="4A58CDC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新加坡</w:t>
            </w:r>
          </w:p>
        </w:tc>
        <w:tc>
          <w:tcPr>
            <w:tcW w:w="1557" w:type="dxa"/>
            <w:shd w:val="clear" w:color="auto" w:fill="FBE4D5"/>
            <w:noWrap/>
            <w:vAlign w:val="center"/>
          </w:tcPr>
          <w:p w14:paraId="4BDC205E"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意大利</w:t>
            </w:r>
          </w:p>
        </w:tc>
        <w:tc>
          <w:tcPr>
            <w:tcW w:w="1675" w:type="dxa"/>
            <w:shd w:val="clear" w:color="auto" w:fill="FBE4D5"/>
            <w:noWrap/>
            <w:vAlign w:val="center"/>
          </w:tcPr>
          <w:p w14:paraId="56D2896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蒙古国</w:t>
            </w:r>
          </w:p>
        </w:tc>
      </w:tr>
      <w:tr w:rsidR="006B10D9" w14:paraId="07471C89"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6C03FD23"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2</w:t>
            </w:r>
          </w:p>
        </w:tc>
        <w:tc>
          <w:tcPr>
            <w:tcW w:w="1206" w:type="dxa"/>
            <w:noWrap/>
            <w:vAlign w:val="center"/>
          </w:tcPr>
          <w:p w14:paraId="701321B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芬兰</w:t>
            </w:r>
          </w:p>
        </w:tc>
        <w:tc>
          <w:tcPr>
            <w:tcW w:w="1263" w:type="dxa"/>
            <w:noWrap/>
            <w:vAlign w:val="center"/>
          </w:tcPr>
          <w:p w14:paraId="29009EC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加拿大</w:t>
            </w:r>
          </w:p>
        </w:tc>
        <w:tc>
          <w:tcPr>
            <w:tcW w:w="1263" w:type="dxa"/>
            <w:noWrap/>
            <w:vAlign w:val="center"/>
          </w:tcPr>
          <w:p w14:paraId="17D80E8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爱尔兰</w:t>
            </w:r>
          </w:p>
        </w:tc>
        <w:tc>
          <w:tcPr>
            <w:tcW w:w="1557" w:type="dxa"/>
            <w:noWrap/>
            <w:vAlign w:val="center"/>
          </w:tcPr>
          <w:p w14:paraId="56B27A3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美国</w:t>
            </w:r>
          </w:p>
        </w:tc>
        <w:tc>
          <w:tcPr>
            <w:tcW w:w="1675" w:type="dxa"/>
            <w:noWrap/>
            <w:vAlign w:val="center"/>
          </w:tcPr>
          <w:p w14:paraId="180808D2"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几内亚</w:t>
            </w:r>
          </w:p>
        </w:tc>
      </w:tr>
      <w:tr w:rsidR="006B10D9" w14:paraId="679DEA73"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4E1E68BE"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3</w:t>
            </w:r>
          </w:p>
        </w:tc>
        <w:tc>
          <w:tcPr>
            <w:tcW w:w="1206" w:type="dxa"/>
            <w:shd w:val="clear" w:color="auto" w:fill="FBE4D5"/>
            <w:noWrap/>
            <w:vAlign w:val="center"/>
          </w:tcPr>
          <w:p w14:paraId="7FA52AF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丹麦</w:t>
            </w:r>
          </w:p>
        </w:tc>
        <w:tc>
          <w:tcPr>
            <w:tcW w:w="1263" w:type="dxa"/>
            <w:shd w:val="clear" w:color="auto" w:fill="FBE4D5"/>
            <w:noWrap/>
            <w:vAlign w:val="center"/>
          </w:tcPr>
          <w:p w14:paraId="7E6E662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卢森堡</w:t>
            </w:r>
          </w:p>
        </w:tc>
        <w:tc>
          <w:tcPr>
            <w:tcW w:w="1263" w:type="dxa"/>
            <w:shd w:val="clear" w:color="auto" w:fill="FBE4D5"/>
            <w:noWrap/>
            <w:vAlign w:val="center"/>
          </w:tcPr>
          <w:p w14:paraId="6C51BBF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荷兰</w:t>
            </w:r>
          </w:p>
        </w:tc>
        <w:tc>
          <w:tcPr>
            <w:tcW w:w="1557" w:type="dxa"/>
            <w:shd w:val="clear" w:color="auto" w:fill="FBE4D5"/>
            <w:noWrap/>
            <w:vAlign w:val="center"/>
          </w:tcPr>
          <w:p w14:paraId="16A4A57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葡萄牙</w:t>
            </w:r>
          </w:p>
        </w:tc>
        <w:tc>
          <w:tcPr>
            <w:tcW w:w="1675" w:type="dxa"/>
            <w:shd w:val="clear" w:color="auto" w:fill="FBE4D5"/>
            <w:noWrap/>
            <w:vAlign w:val="center"/>
          </w:tcPr>
          <w:p w14:paraId="456C524B"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缅甸</w:t>
            </w:r>
          </w:p>
        </w:tc>
      </w:tr>
      <w:tr w:rsidR="006B10D9" w14:paraId="4D4D2DCD" w14:textId="77777777" w:rsidTr="006B10D9">
        <w:trPr>
          <w:trHeight w:val="199"/>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30382A80"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4</w:t>
            </w:r>
          </w:p>
        </w:tc>
        <w:tc>
          <w:tcPr>
            <w:tcW w:w="1206" w:type="dxa"/>
            <w:noWrap/>
            <w:vAlign w:val="center"/>
          </w:tcPr>
          <w:p w14:paraId="75C3397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卢森堡</w:t>
            </w:r>
          </w:p>
        </w:tc>
        <w:tc>
          <w:tcPr>
            <w:tcW w:w="1263" w:type="dxa"/>
            <w:noWrap/>
            <w:vAlign w:val="center"/>
          </w:tcPr>
          <w:p w14:paraId="5D80FA60"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瑞士</w:t>
            </w:r>
          </w:p>
        </w:tc>
        <w:tc>
          <w:tcPr>
            <w:tcW w:w="1263" w:type="dxa"/>
            <w:noWrap/>
            <w:vAlign w:val="center"/>
          </w:tcPr>
          <w:p w14:paraId="381214D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新西兰</w:t>
            </w:r>
          </w:p>
        </w:tc>
        <w:tc>
          <w:tcPr>
            <w:tcW w:w="1557" w:type="dxa"/>
            <w:noWrap/>
            <w:vAlign w:val="center"/>
          </w:tcPr>
          <w:p w14:paraId="28B7098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新加坡</w:t>
            </w:r>
          </w:p>
        </w:tc>
        <w:tc>
          <w:tcPr>
            <w:tcW w:w="1675" w:type="dxa"/>
            <w:noWrap/>
            <w:vAlign w:val="center"/>
          </w:tcPr>
          <w:p w14:paraId="10F6209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塔吉克斯坦</w:t>
            </w:r>
          </w:p>
        </w:tc>
      </w:tr>
      <w:tr w:rsidR="006B10D9" w14:paraId="1C1D8B67"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24E2EF5C"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5</w:t>
            </w:r>
          </w:p>
        </w:tc>
        <w:tc>
          <w:tcPr>
            <w:tcW w:w="1206" w:type="dxa"/>
            <w:shd w:val="clear" w:color="auto" w:fill="FBE4D5"/>
            <w:noWrap/>
            <w:vAlign w:val="center"/>
          </w:tcPr>
          <w:p w14:paraId="310566C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瑞典</w:t>
            </w:r>
          </w:p>
        </w:tc>
        <w:tc>
          <w:tcPr>
            <w:tcW w:w="1263" w:type="dxa"/>
            <w:shd w:val="clear" w:color="auto" w:fill="FBE4D5"/>
            <w:noWrap/>
            <w:vAlign w:val="center"/>
          </w:tcPr>
          <w:p w14:paraId="3743B4C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日本</w:t>
            </w:r>
          </w:p>
        </w:tc>
        <w:tc>
          <w:tcPr>
            <w:tcW w:w="1263" w:type="dxa"/>
            <w:shd w:val="clear" w:color="auto" w:fill="FBE4D5"/>
            <w:noWrap/>
            <w:vAlign w:val="center"/>
          </w:tcPr>
          <w:p w14:paraId="3B7B3F1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日本</w:t>
            </w:r>
          </w:p>
        </w:tc>
        <w:tc>
          <w:tcPr>
            <w:tcW w:w="1557" w:type="dxa"/>
            <w:shd w:val="clear" w:color="auto" w:fill="FBE4D5"/>
            <w:noWrap/>
            <w:vAlign w:val="center"/>
          </w:tcPr>
          <w:p w14:paraId="023108F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巴林</w:t>
            </w:r>
          </w:p>
        </w:tc>
        <w:tc>
          <w:tcPr>
            <w:tcW w:w="1675" w:type="dxa"/>
            <w:shd w:val="clear" w:color="auto" w:fill="FBE4D5"/>
            <w:noWrap/>
            <w:vAlign w:val="center"/>
          </w:tcPr>
          <w:p w14:paraId="2E30AB0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土库曼斯坦</w:t>
            </w:r>
          </w:p>
        </w:tc>
      </w:tr>
      <w:tr w:rsidR="006B10D9" w14:paraId="11429D0E"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3479BBD2"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6</w:t>
            </w:r>
          </w:p>
        </w:tc>
        <w:tc>
          <w:tcPr>
            <w:tcW w:w="1206" w:type="dxa"/>
            <w:noWrap/>
            <w:vAlign w:val="center"/>
          </w:tcPr>
          <w:p w14:paraId="3D27331E"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新西兰</w:t>
            </w:r>
          </w:p>
        </w:tc>
        <w:tc>
          <w:tcPr>
            <w:tcW w:w="1263" w:type="dxa"/>
            <w:noWrap/>
            <w:vAlign w:val="center"/>
          </w:tcPr>
          <w:p w14:paraId="23E0D8D9"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德国</w:t>
            </w:r>
          </w:p>
        </w:tc>
        <w:tc>
          <w:tcPr>
            <w:tcW w:w="1263" w:type="dxa"/>
            <w:noWrap/>
            <w:vAlign w:val="center"/>
          </w:tcPr>
          <w:p w14:paraId="03EBB33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加拿大</w:t>
            </w:r>
          </w:p>
        </w:tc>
        <w:tc>
          <w:tcPr>
            <w:tcW w:w="1557" w:type="dxa"/>
            <w:noWrap/>
            <w:vAlign w:val="center"/>
          </w:tcPr>
          <w:p w14:paraId="0447B35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西班牙</w:t>
            </w:r>
          </w:p>
        </w:tc>
        <w:tc>
          <w:tcPr>
            <w:tcW w:w="1675" w:type="dxa"/>
            <w:noWrap/>
            <w:vAlign w:val="center"/>
          </w:tcPr>
          <w:p w14:paraId="4DB76FA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吉尔吉斯斯坦</w:t>
            </w:r>
          </w:p>
        </w:tc>
      </w:tr>
      <w:tr w:rsidR="006B10D9" w14:paraId="0633927D"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438FD796"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7</w:t>
            </w:r>
          </w:p>
        </w:tc>
        <w:tc>
          <w:tcPr>
            <w:tcW w:w="1206" w:type="dxa"/>
            <w:shd w:val="clear" w:color="auto" w:fill="FBE4D5"/>
            <w:noWrap/>
            <w:vAlign w:val="center"/>
          </w:tcPr>
          <w:p w14:paraId="004E637F"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挪威</w:t>
            </w:r>
          </w:p>
        </w:tc>
        <w:tc>
          <w:tcPr>
            <w:tcW w:w="1263" w:type="dxa"/>
            <w:shd w:val="clear" w:color="auto" w:fill="FBE4D5"/>
            <w:noWrap/>
            <w:vAlign w:val="center"/>
          </w:tcPr>
          <w:p w14:paraId="5A4BB5F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爱尔兰</w:t>
            </w:r>
          </w:p>
        </w:tc>
        <w:tc>
          <w:tcPr>
            <w:tcW w:w="1263" w:type="dxa"/>
            <w:shd w:val="clear" w:color="auto" w:fill="FBE4D5"/>
            <w:noWrap/>
            <w:vAlign w:val="center"/>
          </w:tcPr>
          <w:p w14:paraId="25915CE4"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英国</w:t>
            </w:r>
          </w:p>
        </w:tc>
        <w:tc>
          <w:tcPr>
            <w:tcW w:w="1557" w:type="dxa"/>
            <w:shd w:val="clear" w:color="auto" w:fill="FBE4D5"/>
            <w:noWrap/>
            <w:vAlign w:val="center"/>
          </w:tcPr>
          <w:p w14:paraId="54A55E9C"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加拿大</w:t>
            </w:r>
          </w:p>
        </w:tc>
        <w:tc>
          <w:tcPr>
            <w:tcW w:w="1675" w:type="dxa"/>
            <w:shd w:val="clear" w:color="auto" w:fill="FBE4D5"/>
            <w:noWrap/>
            <w:vAlign w:val="center"/>
          </w:tcPr>
          <w:p w14:paraId="672B60F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越南</w:t>
            </w:r>
          </w:p>
        </w:tc>
      </w:tr>
      <w:tr w:rsidR="006B10D9" w14:paraId="05B34FC1"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03878614"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8</w:t>
            </w:r>
          </w:p>
        </w:tc>
        <w:tc>
          <w:tcPr>
            <w:tcW w:w="1206" w:type="dxa"/>
            <w:noWrap/>
            <w:vAlign w:val="center"/>
          </w:tcPr>
          <w:p w14:paraId="012F576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荷兰</w:t>
            </w:r>
          </w:p>
        </w:tc>
        <w:tc>
          <w:tcPr>
            <w:tcW w:w="1263" w:type="dxa"/>
            <w:noWrap/>
            <w:vAlign w:val="center"/>
          </w:tcPr>
          <w:p w14:paraId="1037DAD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挪威</w:t>
            </w:r>
          </w:p>
        </w:tc>
        <w:tc>
          <w:tcPr>
            <w:tcW w:w="1263" w:type="dxa"/>
            <w:noWrap/>
            <w:vAlign w:val="center"/>
          </w:tcPr>
          <w:p w14:paraId="49D413B9"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法国</w:t>
            </w:r>
          </w:p>
        </w:tc>
        <w:tc>
          <w:tcPr>
            <w:tcW w:w="1557" w:type="dxa"/>
            <w:noWrap/>
            <w:vAlign w:val="center"/>
          </w:tcPr>
          <w:p w14:paraId="68057177"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法国</w:t>
            </w:r>
          </w:p>
        </w:tc>
        <w:tc>
          <w:tcPr>
            <w:tcW w:w="1675" w:type="dxa"/>
            <w:noWrap/>
            <w:vAlign w:val="center"/>
          </w:tcPr>
          <w:p w14:paraId="33DECEE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老挝</w:t>
            </w:r>
          </w:p>
        </w:tc>
      </w:tr>
      <w:tr w:rsidR="006B10D9" w14:paraId="75BE2B7A"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4B075390"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9</w:t>
            </w:r>
          </w:p>
        </w:tc>
        <w:tc>
          <w:tcPr>
            <w:tcW w:w="1206" w:type="dxa"/>
            <w:shd w:val="clear" w:color="auto" w:fill="FBE4D5"/>
            <w:noWrap/>
            <w:vAlign w:val="center"/>
          </w:tcPr>
          <w:p w14:paraId="731D9AD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新加坡</w:t>
            </w:r>
          </w:p>
        </w:tc>
        <w:tc>
          <w:tcPr>
            <w:tcW w:w="1263" w:type="dxa"/>
            <w:shd w:val="clear" w:color="auto" w:fill="FBE4D5"/>
            <w:noWrap/>
            <w:vAlign w:val="center"/>
          </w:tcPr>
          <w:p w14:paraId="51CA410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英国</w:t>
            </w:r>
          </w:p>
        </w:tc>
        <w:tc>
          <w:tcPr>
            <w:tcW w:w="1263" w:type="dxa"/>
            <w:shd w:val="clear" w:color="auto" w:fill="FBE4D5"/>
            <w:noWrap/>
            <w:vAlign w:val="center"/>
          </w:tcPr>
          <w:p w14:paraId="572CE356"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挪威</w:t>
            </w:r>
          </w:p>
        </w:tc>
        <w:tc>
          <w:tcPr>
            <w:tcW w:w="1557" w:type="dxa"/>
            <w:shd w:val="clear" w:color="auto" w:fill="FBE4D5"/>
            <w:noWrap/>
            <w:vAlign w:val="center"/>
          </w:tcPr>
          <w:p w14:paraId="701A2C83"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塞浦路斯</w:t>
            </w:r>
          </w:p>
        </w:tc>
        <w:tc>
          <w:tcPr>
            <w:tcW w:w="1675" w:type="dxa"/>
            <w:shd w:val="clear" w:color="auto" w:fill="FBE4D5"/>
            <w:noWrap/>
            <w:vAlign w:val="center"/>
          </w:tcPr>
          <w:p w14:paraId="372A885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菲律宾</w:t>
            </w:r>
          </w:p>
        </w:tc>
      </w:tr>
      <w:tr w:rsidR="006B10D9" w14:paraId="18D53BD7" w14:textId="77777777" w:rsidTr="006B10D9">
        <w:trPr>
          <w:trHeight w:val="258"/>
          <w:jc w:val="center"/>
        </w:trPr>
        <w:tc>
          <w:tcPr>
            <w:cnfStyle w:val="001000000000" w:firstRow="0" w:lastRow="0" w:firstColumn="1" w:lastColumn="0" w:oddVBand="0" w:evenVBand="0" w:oddHBand="0" w:evenHBand="0" w:firstRowFirstColumn="0" w:firstRowLastColumn="0" w:lastRowFirstColumn="0" w:lastRowLastColumn="0"/>
            <w:tcW w:w="1696" w:type="dxa"/>
            <w:noWrap/>
            <w:vAlign w:val="center"/>
          </w:tcPr>
          <w:p w14:paraId="1B96E367" w14:textId="77777777" w:rsidR="006B10D9" w:rsidRDefault="00BE6472">
            <w:pPr>
              <w:widowControl/>
              <w:snapToGrid w:val="0"/>
              <w:spacing w:before="100" w:line="312" w:lineRule="auto"/>
              <w:ind w:firstLineChars="0" w:firstLine="0"/>
              <w:jc w:val="center"/>
              <w:textAlignment w:val="bottom"/>
              <w:rPr>
                <w:rFonts w:eastAsia="宋体" w:cs="Arial"/>
                <w:bCs/>
                <w:color w:val="000000"/>
                <w:sz w:val="21"/>
                <w:szCs w:val="20"/>
              </w:rPr>
            </w:pPr>
            <w:r>
              <w:rPr>
                <w:rFonts w:eastAsia="宋体" w:cs="Arial"/>
                <w:bCs/>
                <w:color w:val="000000"/>
                <w:kern w:val="0"/>
                <w:sz w:val="21"/>
                <w:szCs w:val="20"/>
                <w:lang w:bidi="ar"/>
              </w:rPr>
              <w:t>10</w:t>
            </w:r>
          </w:p>
        </w:tc>
        <w:tc>
          <w:tcPr>
            <w:tcW w:w="1206" w:type="dxa"/>
            <w:noWrap/>
            <w:vAlign w:val="center"/>
          </w:tcPr>
          <w:p w14:paraId="069EB878"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澳大利亚</w:t>
            </w:r>
          </w:p>
        </w:tc>
        <w:tc>
          <w:tcPr>
            <w:tcW w:w="1263" w:type="dxa"/>
            <w:noWrap/>
            <w:vAlign w:val="center"/>
          </w:tcPr>
          <w:p w14:paraId="1217831A"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澳大利亚</w:t>
            </w:r>
          </w:p>
        </w:tc>
        <w:tc>
          <w:tcPr>
            <w:tcW w:w="1263" w:type="dxa"/>
            <w:noWrap/>
            <w:vAlign w:val="center"/>
          </w:tcPr>
          <w:p w14:paraId="2B0D3611"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意大利</w:t>
            </w:r>
          </w:p>
        </w:tc>
        <w:tc>
          <w:tcPr>
            <w:tcW w:w="1557" w:type="dxa"/>
            <w:noWrap/>
            <w:vAlign w:val="center"/>
          </w:tcPr>
          <w:p w14:paraId="34DFF7CD"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英国</w:t>
            </w:r>
          </w:p>
        </w:tc>
        <w:tc>
          <w:tcPr>
            <w:tcW w:w="1675" w:type="dxa"/>
            <w:noWrap/>
            <w:vAlign w:val="center"/>
          </w:tcPr>
          <w:p w14:paraId="0F325435" w14:textId="77777777" w:rsidR="006B10D9" w:rsidRDefault="00BE6472">
            <w:pPr>
              <w:widowControl/>
              <w:snapToGrid w:val="0"/>
              <w:spacing w:before="100" w:line="312" w:lineRule="auto"/>
              <w:ind w:firstLineChars="0" w:firstLine="0"/>
              <w:jc w:val="left"/>
              <w:textAlignment w:val="bottom"/>
              <w:cnfStyle w:val="000000000000" w:firstRow="0" w:lastRow="0" w:firstColumn="0" w:lastColumn="0" w:oddVBand="0" w:evenVBand="0" w:oddHBand="0" w:evenHBand="0" w:firstRowFirstColumn="0" w:firstRowLastColumn="0" w:lastRowFirstColumn="0" w:lastRowLastColumn="0"/>
              <w:rPr>
                <w:rFonts w:eastAsia="宋体" w:cs="Arial"/>
                <w:bCs/>
                <w:color w:val="000000"/>
                <w:kern w:val="0"/>
                <w:sz w:val="21"/>
                <w:szCs w:val="20"/>
                <w:lang w:bidi="ar"/>
              </w:rPr>
            </w:pPr>
            <w:r>
              <w:rPr>
                <w:rFonts w:eastAsia="宋体" w:cs="Arial" w:hint="eastAsia"/>
                <w:bCs/>
                <w:color w:val="000000"/>
                <w:kern w:val="0"/>
                <w:sz w:val="21"/>
                <w:szCs w:val="20"/>
                <w:lang w:bidi="ar"/>
              </w:rPr>
              <w:t>马来西亚</w:t>
            </w:r>
          </w:p>
        </w:tc>
      </w:tr>
    </w:tbl>
    <w:p w14:paraId="47655EA1" w14:textId="77777777" w:rsidR="006B10D9" w:rsidRDefault="006B10D9">
      <w:pPr>
        <w:spacing w:line="360" w:lineRule="auto"/>
        <w:ind w:firstLine="480"/>
        <w:rPr>
          <w:rFonts w:eastAsia="宋体" w:cs="Times New Roman"/>
          <w:sz w:val="24"/>
          <w:szCs w:val="24"/>
        </w:rPr>
      </w:pPr>
    </w:p>
    <w:p w14:paraId="16EC10D2" w14:textId="77777777" w:rsidR="006B10D9" w:rsidRDefault="00BE6472">
      <w:pPr>
        <w:spacing w:line="360" w:lineRule="auto"/>
        <w:ind w:firstLine="482"/>
        <w:rPr>
          <w:rFonts w:eastAsia="宋体" w:cs="Times New Roman"/>
          <w:sz w:val="24"/>
          <w:szCs w:val="24"/>
        </w:rPr>
      </w:pPr>
      <w:r>
        <w:rPr>
          <w:rFonts w:eastAsia="宋体" w:cs="Times New Roman" w:hint="eastAsia"/>
          <w:b/>
          <w:sz w:val="24"/>
          <w:szCs w:val="24"/>
        </w:rPr>
        <w:t>政治风险。</w:t>
      </w:r>
      <w:r>
        <w:rPr>
          <w:rFonts w:eastAsia="宋体" w:cs="Times New Roman" w:hint="eastAsia"/>
          <w:sz w:val="24"/>
          <w:szCs w:val="24"/>
        </w:rPr>
        <w:t>与</w:t>
      </w:r>
      <w:r>
        <w:rPr>
          <w:rFonts w:eastAsia="宋体" w:cs="Times New Roman" w:hint="eastAsia"/>
          <w:sz w:val="24"/>
          <w:szCs w:val="24"/>
        </w:rPr>
        <w:t>2019</w:t>
      </w:r>
      <w:r>
        <w:rPr>
          <w:rFonts w:eastAsia="宋体" w:cs="Times New Roman" w:hint="eastAsia"/>
          <w:sz w:val="24"/>
          <w:szCs w:val="24"/>
        </w:rPr>
        <w:t>年相比，美国的政治得分排名退出前十，可能是受到</w:t>
      </w:r>
      <w:r>
        <w:rPr>
          <w:rFonts w:eastAsia="宋体" w:cs="Times New Roman" w:hint="eastAsia"/>
          <w:sz w:val="24"/>
          <w:szCs w:val="24"/>
        </w:rPr>
        <w:t>2020</w:t>
      </w:r>
      <w:r>
        <w:rPr>
          <w:rFonts w:eastAsia="宋体" w:cs="Times New Roman" w:hint="eastAsia"/>
          <w:sz w:val="24"/>
          <w:szCs w:val="24"/>
        </w:rPr>
        <w:t>年美国大选、弗洛伊德事件引发的暴动等因素影响。此外，根据</w:t>
      </w:r>
      <w:r>
        <w:rPr>
          <w:rFonts w:eastAsia="宋体" w:cs="Times New Roman"/>
          <w:sz w:val="24"/>
          <w:szCs w:val="24"/>
        </w:rPr>
        <w:t>《</w:t>
      </w:r>
      <w:r>
        <w:rPr>
          <w:rFonts w:eastAsia="宋体" w:cs="Times New Roman"/>
          <w:sz w:val="24"/>
          <w:szCs w:val="24"/>
        </w:rPr>
        <w:t>2021</w:t>
      </w:r>
      <w:r>
        <w:rPr>
          <w:rFonts w:eastAsia="宋体" w:cs="Times New Roman"/>
          <w:sz w:val="24"/>
          <w:szCs w:val="24"/>
        </w:rPr>
        <w:t>年世界投资报</w:t>
      </w:r>
      <w:r>
        <w:rPr>
          <w:rFonts w:eastAsia="宋体" w:cs="Times New Roman"/>
          <w:sz w:val="24"/>
          <w:szCs w:val="24"/>
        </w:rPr>
        <w:lastRenderedPageBreak/>
        <w:t>告》显示，</w:t>
      </w:r>
      <w:r>
        <w:rPr>
          <w:rFonts w:eastAsia="宋体" w:cs="Times New Roman"/>
          <w:sz w:val="24"/>
          <w:szCs w:val="24"/>
        </w:rPr>
        <w:t>2020</w:t>
      </w:r>
      <w:r>
        <w:rPr>
          <w:rFonts w:eastAsia="宋体" w:cs="Times New Roman"/>
          <w:sz w:val="24"/>
          <w:szCs w:val="24"/>
        </w:rPr>
        <w:t>年各国共出台</w:t>
      </w:r>
      <w:r>
        <w:rPr>
          <w:rFonts w:eastAsia="宋体" w:cs="Times New Roman"/>
          <w:sz w:val="24"/>
          <w:szCs w:val="24"/>
        </w:rPr>
        <w:t>152</w:t>
      </w:r>
      <w:r>
        <w:rPr>
          <w:rFonts w:eastAsia="宋体" w:cs="Times New Roman"/>
          <w:sz w:val="24"/>
          <w:szCs w:val="24"/>
        </w:rPr>
        <w:t>项外商投资新政，其中限制外商投资的</w:t>
      </w:r>
      <w:r>
        <w:rPr>
          <w:rFonts w:eastAsia="宋体" w:cs="Times New Roman" w:hint="eastAsia"/>
          <w:sz w:val="24"/>
          <w:szCs w:val="24"/>
        </w:rPr>
        <w:t>政策</w:t>
      </w:r>
      <w:r>
        <w:rPr>
          <w:rFonts w:eastAsia="宋体" w:cs="Times New Roman"/>
          <w:sz w:val="24"/>
          <w:szCs w:val="24"/>
        </w:rPr>
        <w:t>达</w:t>
      </w:r>
      <w:r>
        <w:rPr>
          <w:rFonts w:eastAsia="宋体" w:cs="Times New Roman"/>
          <w:sz w:val="24"/>
          <w:szCs w:val="24"/>
        </w:rPr>
        <w:t>50</w:t>
      </w:r>
      <w:r>
        <w:rPr>
          <w:rFonts w:eastAsia="宋体" w:cs="Times New Roman"/>
          <w:sz w:val="24"/>
          <w:szCs w:val="24"/>
        </w:rPr>
        <w:t>项，约占鼓励类及限制类制度总数的</w:t>
      </w:r>
      <w:r>
        <w:rPr>
          <w:rFonts w:eastAsia="宋体" w:cs="Times New Roman"/>
          <w:sz w:val="24"/>
          <w:szCs w:val="24"/>
        </w:rPr>
        <w:t>41%</w:t>
      </w:r>
      <w:r>
        <w:rPr>
          <w:rFonts w:eastAsia="宋体" w:cs="Times New Roman"/>
          <w:sz w:val="24"/>
          <w:szCs w:val="24"/>
        </w:rPr>
        <w:t>，这一比例已创近</w:t>
      </w:r>
      <w:r>
        <w:rPr>
          <w:rFonts w:eastAsia="宋体" w:cs="Times New Roman" w:hint="eastAsia"/>
          <w:sz w:val="24"/>
          <w:szCs w:val="24"/>
        </w:rPr>
        <w:t>20</w:t>
      </w:r>
      <w:r>
        <w:rPr>
          <w:rFonts w:eastAsia="宋体" w:cs="Times New Roman"/>
          <w:sz w:val="24"/>
          <w:szCs w:val="24"/>
        </w:rPr>
        <w:t>年的历史新高，相比</w:t>
      </w:r>
      <w:r>
        <w:rPr>
          <w:rFonts w:eastAsia="宋体" w:cs="Times New Roman"/>
          <w:sz w:val="24"/>
          <w:szCs w:val="24"/>
        </w:rPr>
        <w:t>2004</w:t>
      </w:r>
      <w:r>
        <w:rPr>
          <w:rFonts w:eastAsia="宋体" w:cs="Times New Roman"/>
          <w:sz w:val="24"/>
          <w:szCs w:val="24"/>
        </w:rPr>
        <w:t>年约高出</w:t>
      </w:r>
      <w:r>
        <w:rPr>
          <w:rFonts w:eastAsia="宋体" w:cs="Times New Roman"/>
          <w:sz w:val="24"/>
          <w:szCs w:val="24"/>
        </w:rPr>
        <w:t>30</w:t>
      </w:r>
      <w:r>
        <w:rPr>
          <w:rFonts w:eastAsia="宋体" w:cs="Times New Roman"/>
          <w:sz w:val="24"/>
          <w:szCs w:val="24"/>
        </w:rPr>
        <w:t>个百分点。特别是发达国家出台的</w:t>
      </w:r>
      <w:r>
        <w:rPr>
          <w:rFonts w:eastAsia="宋体" w:cs="Times New Roman"/>
          <w:sz w:val="24"/>
          <w:szCs w:val="24"/>
        </w:rPr>
        <w:t>43</w:t>
      </w:r>
      <w:r>
        <w:rPr>
          <w:rFonts w:eastAsia="宋体" w:cs="Times New Roman"/>
          <w:sz w:val="24"/>
          <w:szCs w:val="24"/>
        </w:rPr>
        <w:t>项外商投资新政中</w:t>
      </w:r>
      <w:r>
        <w:rPr>
          <w:rFonts w:eastAsia="宋体" w:cs="Times New Roman" w:hint="eastAsia"/>
          <w:sz w:val="24"/>
          <w:szCs w:val="24"/>
        </w:rPr>
        <w:t>，</w:t>
      </w:r>
      <w:r>
        <w:rPr>
          <w:rFonts w:eastAsia="宋体" w:cs="Times New Roman"/>
          <w:sz w:val="24"/>
          <w:szCs w:val="24"/>
        </w:rPr>
        <w:t>35</w:t>
      </w:r>
      <w:r>
        <w:rPr>
          <w:rFonts w:eastAsia="宋体" w:cs="Times New Roman"/>
          <w:sz w:val="24"/>
          <w:szCs w:val="24"/>
        </w:rPr>
        <w:t>项均为限制性</w:t>
      </w:r>
      <w:r>
        <w:rPr>
          <w:rFonts w:eastAsia="宋体" w:cs="Times New Roman" w:hint="eastAsia"/>
          <w:sz w:val="24"/>
          <w:szCs w:val="24"/>
        </w:rPr>
        <w:t>政策</w:t>
      </w:r>
      <w:r>
        <w:rPr>
          <w:rFonts w:eastAsia="宋体" w:cs="Times New Roman"/>
          <w:sz w:val="24"/>
          <w:szCs w:val="24"/>
        </w:rPr>
        <w:t>，而发展中国家这一比重仅为</w:t>
      </w:r>
      <w:r>
        <w:rPr>
          <w:rFonts w:eastAsia="宋体" w:cs="Times New Roman"/>
          <w:sz w:val="24"/>
          <w:szCs w:val="24"/>
        </w:rPr>
        <w:t>14%</w:t>
      </w:r>
      <w:r>
        <w:rPr>
          <w:rFonts w:eastAsia="宋体" w:cs="Times New Roman"/>
          <w:sz w:val="24"/>
          <w:szCs w:val="24"/>
        </w:rPr>
        <w:t>。</w:t>
      </w:r>
    </w:p>
    <w:p w14:paraId="794E02F4" w14:textId="77777777" w:rsidR="006B10D9" w:rsidRDefault="00BE6472">
      <w:pPr>
        <w:spacing w:line="360" w:lineRule="auto"/>
        <w:ind w:firstLine="482"/>
        <w:jc w:val="left"/>
        <w:rPr>
          <w:rFonts w:eastAsia="宋体" w:cs="Times New Roman"/>
          <w:sz w:val="24"/>
          <w:szCs w:val="24"/>
        </w:rPr>
      </w:pPr>
      <w:r>
        <w:rPr>
          <w:rFonts w:eastAsia="宋体" w:cs="Times New Roman" w:hint="eastAsia"/>
          <w:b/>
          <w:sz w:val="24"/>
          <w:szCs w:val="24"/>
        </w:rPr>
        <w:t>经济风险。</w:t>
      </w:r>
      <w:r>
        <w:rPr>
          <w:rFonts w:eastAsia="宋体" w:cs="Times New Roman"/>
          <w:sz w:val="24"/>
          <w:szCs w:val="24"/>
        </w:rPr>
        <w:t>新冠疫情</w:t>
      </w:r>
      <w:r>
        <w:rPr>
          <w:rFonts w:eastAsia="宋体" w:cs="Times New Roman" w:hint="eastAsia"/>
          <w:sz w:val="24"/>
          <w:szCs w:val="24"/>
        </w:rPr>
        <w:t>的全球蔓延</w:t>
      </w:r>
      <w:r>
        <w:rPr>
          <w:rFonts w:eastAsia="宋体" w:cs="Times New Roman"/>
          <w:sz w:val="24"/>
          <w:szCs w:val="24"/>
        </w:rPr>
        <w:t>加剧了全球经济</w:t>
      </w:r>
      <w:r>
        <w:rPr>
          <w:rFonts w:eastAsia="宋体" w:cs="Times New Roman" w:hint="eastAsia"/>
          <w:sz w:val="24"/>
          <w:szCs w:val="24"/>
        </w:rPr>
        <w:t>的</w:t>
      </w:r>
      <w:r>
        <w:rPr>
          <w:rFonts w:eastAsia="宋体" w:cs="Times New Roman"/>
          <w:sz w:val="24"/>
          <w:szCs w:val="24"/>
        </w:rPr>
        <w:t>不确定性。</w:t>
      </w:r>
      <w:r>
        <w:rPr>
          <w:rFonts w:eastAsia="宋体" w:cs="Times New Roman" w:hint="eastAsia"/>
          <w:sz w:val="24"/>
          <w:szCs w:val="24"/>
        </w:rPr>
        <w:t>例如</w:t>
      </w:r>
      <w:r>
        <w:rPr>
          <w:rFonts w:eastAsia="宋体" w:cs="Times New Roman"/>
          <w:sz w:val="24"/>
          <w:szCs w:val="24"/>
        </w:rPr>
        <w:t>，</w:t>
      </w:r>
      <w:r>
        <w:rPr>
          <w:rFonts w:eastAsia="宋体" w:cs="Times New Roman" w:hint="eastAsia"/>
          <w:sz w:val="24"/>
          <w:szCs w:val="24"/>
        </w:rPr>
        <w:t>产业链</w:t>
      </w:r>
      <w:r>
        <w:rPr>
          <w:rFonts w:eastAsia="宋体" w:cs="Times New Roman"/>
          <w:sz w:val="24"/>
          <w:szCs w:val="24"/>
        </w:rPr>
        <w:t>供应链</w:t>
      </w:r>
      <w:r>
        <w:rPr>
          <w:rFonts w:eastAsia="宋体" w:cs="Times New Roman" w:hint="eastAsia"/>
          <w:sz w:val="24"/>
          <w:szCs w:val="24"/>
        </w:rPr>
        <w:t>的“断链”风险会导致</w:t>
      </w:r>
      <w:r>
        <w:rPr>
          <w:rFonts w:eastAsia="宋体" w:cs="Times New Roman"/>
          <w:sz w:val="24"/>
          <w:szCs w:val="24"/>
        </w:rPr>
        <w:t>战略物资</w:t>
      </w:r>
      <w:r>
        <w:rPr>
          <w:rFonts w:eastAsia="宋体" w:cs="Times New Roman" w:hint="eastAsia"/>
          <w:sz w:val="24"/>
          <w:szCs w:val="24"/>
        </w:rPr>
        <w:t>保障更多依靠</w:t>
      </w:r>
      <w:r>
        <w:rPr>
          <w:rFonts w:eastAsia="宋体" w:cs="Times New Roman"/>
          <w:sz w:val="24"/>
          <w:szCs w:val="24"/>
        </w:rPr>
        <w:t>自给自足</w:t>
      </w:r>
      <w:r>
        <w:rPr>
          <w:rFonts w:eastAsia="宋体" w:cs="Times New Roman" w:hint="eastAsia"/>
          <w:sz w:val="24"/>
          <w:szCs w:val="24"/>
        </w:rPr>
        <w:t>，</w:t>
      </w:r>
      <w:r>
        <w:rPr>
          <w:rFonts w:eastAsia="宋体" w:cs="Times New Roman"/>
          <w:sz w:val="24"/>
          <w:szCs w:val="24"/>
        </w:rPr>
        <w:t>区域合作可能会取代</w:t>
      </w:r>
      <w:r>
        <w:rPr>
          <w:rFonts w:eastAsia="宋体" w:cs="Times New Roman" w:hint="eastAsia"/>
          <w:sz w:val="24"/>
          <w:szCs w:val="24"/>
        </w:rPr>
        <w:t>跨国公司的</w:t>
      </w:r>
      <w:r>
        <w:rPr>
          <w:rFonts w:eastAsia="宋体" w:cs="Times New Roman"/>
          <w:sz w:val="24"/>
          <w:szCs w:val="24"/>
        </w:rPr>
        <w:t>全球化</w:t>
      </w:r>
      <w:r>
        <w:rPr>
          <w:rFonts w:eastAsia="宋体" w:cs="Times New Roman" w:hint="eastAsia"/>
          <w:sz w:val="24"/>
          <w:szCs w:val="24"/>
        </w:rPr>
        <w:t>扩张</w:t>
      </w:r>
      <w:r>
        <w:rPr>
          <w:rFonts w:eastAsia="宋体" w:cs="Times New Roman"/>
          <w:sz w:val="24"/>
          <w:szCs w:val="24"/>
        </w:rPr>
        <w:t>。</w:t>
      </w:r>
      <w:r>
        <w:rPr>
          <w:rFonts w:eastAsia="宋体" w:cs="Times New Roman" w:hint="eastAsia"/>
          <w:sz w:val="24"/>
          <w:szCs w:val="24"/>
        </w:rPr>
        <w:t>与此</w:t>
      </w:r>
      <w:r>
        <w:rPr>
          <w:rFonts w:eastAsia="宋体" w:cs="Times New Roman"/>
          <w:sz w:val="24"/>
          <w:szCs w:val="24"/>
        </w:rPr>
        <w:t>同时，针对先进和复杂产品的贸易壁垒可能会增加，不少国家都强调把涉及国家安全的重要产业搬回本土</w:t>
      </w:r>
      <w:r>
        <w:rPr>
          <w:rFonts w:eastAsia="宋体" w:cs="Times New Roman" w:hint="eastAsia"/>
          <w:sz w:val="24"/>
          <w:szCs w:val="24"/>
        </w:rPr>
        <w:t>。因此，</w:t>
      </w:r>
      <w:r>
        <w:rPr>
          <w:rFonts w:eastAsia="宋体" w:cs="Times New Roman"/>
          <w:sz w:val="24"/>
          <w:szCs w:val="24"/>
        </w:rPr>
        <w:t>全球</w:t>
      </w:r>
      <w:r>
        <w:rPr>
          <w:rFonts w:eastAsia="宋体" w:cs="Times New Roman" w:hint="eastAsia"/>
          <w:sz w:val="24"/>
          <w:szCs w:val="24"/>
        </w:rPr>
        <w:t>产业</w:t>
      </w:r>
      <w:r>
        <w:rPr>
          <w:rFonts w:eastAsia="宋体" w:cs="Times New Roman"/>
          <w:sz w:val="24"/>
          <w:szCs w:val="24"/>
        </w:rPr>
        <w:t>格局</w:t>
      </w:r>
      <w:r>
        <w:rPr>
          <w:rFonts w:eastAsia="宋体" w:cs="Times New Roman" w:hint="eastAsia"/>
          <w:sz w:val="24"/>
          <w:szCs w:val="24"/>
        </w:rPr>
        <w:t>的</w:t>
      </w:r>
      <w:r>
        <w:rPr>
          <w:rFonts w:eastAsia="宋体" w:cs="Times New Roman"/>
          <w:sz w:val="24"/>
          <w:szCs w:val="24"/>
        </w:rPr>
        <w:t>调整</w:t>
      </w:r>
      <w:r>
        <w:rPr>
          <w:rFonts w:eastAsia="宋体" w:cs="Times New Roman" w:hint="eastAsia"/>
          <w:sz w:val="24"/>
          <w:szCs w:val="24"/>
        </w:rPr>
        <w:t>势必</w:t>
      </w:r>
      <w:r>
        <w:rPr>
          <w:rFonts w:eastAsia="宋体" w:cs="Times New Roman"/>
          <w:sz w:val="24"/>
          <w:szCs w:val="24"/>
        </w:rPr>
        <w:t>会</w:t>
      </w:r>
      <w:r>
        <w:rPr>
          <w:rFonts w:eastAsia="宋体" w:cs="Times New Roman" w:hint="eastAsia"/>
          <w:sz w:val="24"/>
          <w:szCs w:val="24"/>
        </w:rPr>
        <w:t>影响</w:t>
      </w:r>
      <w:r>
        <w:rPr>
          <w:rFonts w:eastAsia="宋体" w:cs="Times New Roman"/>
          <w:sz w:val="24"/>
          <w:szCs w:val="24"/>
        </w:rPr>
        <w:t>中国企业对外投资</w:t>
      </w:r>
      <w:r>
        <w:rPr>
          <w:rFonts w:eastAsia="宋体" w:cs="Times New Roman" w:hint="eastAsia"/>
          <w:sz w:val="24"/>
          <w:szCs w:val="24"/>
        </w:rPr>
        <w:t>布局</w:t>
      </w:r>
      <w:r>
        <w:rPr>
          <w:rFonts w:eastAsia="宋体" w:cs="Times New Roman"/>
          <w:sz w:val="24"/>
          <w:szCs w:val="24"/>
        </w:rPr>
        <w:t>。</w:t>
      </w:r>
    </w:p>
    <w:p w14:paraId="40D45376" w14:textId="77777777" w:rsidR="006B10D9" w:rsidRDefault="00BE6472">
      <w:pPr>
        <w:spacing w:line="360" w:lineRule="auto"/>
        <w:ind w:leftChars="2" w:left="6" w:firstLine="480"/>
        <w:rPr>
          <w:rFonts w:eastAsia="宋体" w:cs="Times New Roman"/>
          <w:sz w:val="24"/>
          <w:szCs w:val="24"/>
        </w:rPr>
      </w:pPr>
      <w:r>
        <w:rPr>
          <w:rFonts w:eastAsia="宋体" w:cs="Times New Roman" w:hint="eastAsia"/>
          <w:sz w:val="24"/>
          <w:szCs w:val="24"/>
        </w:rPr>
        <w:t>从经济风险排名上看，与</w:t>
      </w:r>
      <w:r>
        <w:rPr>
          <w:rFonts w:eastAsia="宋体" w:cs="Times New Roman" w:hint="eastAsia"/>
          <w:sz w:val="24"/>
          <w:szCs w:val="24"/>
        </w:rPr>
        <w:t>2019</w:t>
      </w:r>
      <w:r>
        <w:rPr>
          <w:rFonts w:eastAsia="宋体" w:cs="Times New Roman" w:hint="eastAsia"/>
          <w:sz w:val="24"/>
          <w:szCs w:val="24"/>
        </w:rPr>
        <w:t>年类似，发达经济体得分仍然较高，但新加坡退出排名前十，这主要是受到疫情因素影响。正如新加坡贸易产业部分析评论称，“受疫情因素影响，因为这是新加坡自半个多世纪之前独立以来，</w:t>
      </w:r>
      <w:r>
        <w:rPr>
          <w:rFonts w:eastAsia="宋体" w:cs="Times New Roman"/>
          <w:sz w:val="24"/>
          <w:szCs w:val="24"/>
        </w:rPr>
        <w:t>新加坡经济表现最差的一年，也是自</w:t>
      </w:r>
      <w:r>
        <w:rPr>
          <w:rFonts w:eastAsia="宋体" w:cs="Times New Roman"/>
          <w:sz w:val="24"/>
          <w:szCs w:val="24"/>
        </w:rPr>
        <w:t>2001</w:t>
      </w:r>
      <w:r>
        <w:rPr>
          <w:rFonts w:eastAsia="宋体" w:cs="Times New Roman"/>
          <w:sz w:val="24"/>
          <w:szCs w:val="24"/>
        </w:rPr>
        <w:t>年以来的首次年度萎缩</w:t>
      </w:r>
      <w:r>
        <w:rPr>
          <w:rFonts w:eastAsia="宋体" w:cs="Times New Roman" w:hint="eastAsia"/>
          <w:sz w:val="24"/>
          <w:szCs w:val="24"/>
        </w:rPr>
        <w:t>”</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
      </w:r>
      <w:r>
        <w:rPr>
          <w:rFonts w:eastAsia="宋体" w:cs="Times New Roman" w:hint="eastAsia"/>
          <w:sz w:val="24"/>
          <w:szCs w:val="24"/>
          <w:vertAlign w:val="superscript"/>
        </w:rPr>
        <w:t>]</w:t>
      </w:r>
      <w:r>
        <w:rPr>
          <w:rFonts w:eastAsia="宋体" w:cs="Times New Roman" w:hint="eastAsia"/>
          <w:sz w:val="24"/>
          <w:szCs w:val="24"/>
        </w:rPr>
        <w:t>。</w:t>
      </w:r>
    </w:p>
    <w:p w14:paraId="2C92A36B" w14:textId="77777777" w:rsidR="006B10D9" w:rsidRDefault="00BE6472">
      <w:pPr>
        <w:spacing w:line="360" w:lineRule="auto"/>
        <w:ind w:leftChars="2" w:left="6" w:firstLine="482"/>
        <w:rPr>
          <w:rFonts w:eastAsia="宋体" w:cs="Times New Roman"/>
          <w:sz w:val="24"/>
          <w:szCs w:val="24"/>
        </w:rPr>
      </w:pPr>
      <w:r>
        <w:rPr>
          <w:rFonts w:eastAsia="宋体" w:cs="Times New Roman" w:hint="eastAsia"/>
          <w:b/>
          <w:sz w:val="24"/>
          <w:szCs w:val="24"/>
        </w:rPr>
        <w:t>社会风险。</w:t>
      </w:r>
      <w:r>
        <w:rPr>
          <w:rFonts w:eastAsia="宋体" w:cs="Times New Roman" w:hint="eastAsia"/>
          <w:bCs/>
          <w:sz w:val="24"/>
          <w:szCs w:val="24"/>
        </w:rPr>
        <w:t>东道国为了控制疫情蔓延</w:t>
      </w:r>
      <w:r>
        <w:rPr>
          <w:rFonts w:eastAsia="宋体" w:cs="Times New Roman" w:hint="eastAsia"/>
          <w:sz w:val="24"/>
          <w:szCs w:val="24"/>
        </w:rPr>
        <w:t>，会颁布临时性的法律、法令、条例或相关行政措施，尤其是对于自身法律体系不完备的投资目的地，中资企业应高度警惕疫情导致的法律法规变动风险。与</w:t>
      </w:r>
      <w:r>
        <w:rPr>
          <w:rFonts w:eastAsia="宋体" w:cs="Times New Roman" w:hint="eastAsia"/>
          <w:sz w:val="24"/>
          <w:szCs w:val="24"/>
        </w:rPr>
        <w:t>2019</w:t>
      </w:r>
      <w:r>
        <w:rPr>
          <w:rFonts w:eastAsia="宋体" w:cs="Times New Roman" w:hint="eastAsia"/>
          <w:sz w:val="24"/>
          <w:szCs w:val="24"/>
        </w:rPr>
        <w:t>年相比排名前十的国家无变化。而一些欠发达国家如缅甸、多哥、阿尔及利亚、吉尔吉斯斯坦、莫桑比克、伊拉克、苏丹、土库曼斯坦、塔吉克斯坦、尼日尔等国社会风险依然较高。</w:t>
      </w:r>
    </w:p>
    <w:p w14:paraId="109419A3" w14:textId="77777777" w:rsidR="006B10D9" w:rsidRDefault="00BE6472">
      <w:pPr>
        <w:spacing w:line="360" w:lineRule="auto"/>
        <w:ind w:firstLine="482"/>
        <w:rPr>
          <w:rFonts w:eastAsia="宋体" w:cs="Times New Roman"/>
          <w:sz w:val="24"/>
          <w:szCs w:val="24"/>
        </w:rPr>
      </w:pPr>
      <w:r>
        <w:rPr>
          <w:rFonts w:eastAsia="宋体" w:cs="Times New Roman" w:hint="eastAsia"/>
          <w:b/>
          <w:sz w:val="24"/>
          <w:szCs w:val="24"/>
        </w:rPr>
        <w:t>债务风险。</w:t>
      </w:r>
      <w:r>
        <w:rPr>
          <w:rFonts w:eastAsia="宋体" w:cs="Times New Roman" w:hint="eastAsia"/>
          <w:sz w:val="24"/>
          <w:szCs w:val="24"/>
        </w:rPr>
        <w:t>新冠肺炎疫情是促使各国近两年债务快速扩张的直接原因。一方面，疫情使得各国政府财政收入和企业盈利骤降，部分新兴经济体处于债务违约的边缘。如拉美第三大经济体阿根廷在</w:t>
      </w:r>
      <w:r>
        <w:rPr>
          <w:rFonts w:eastAsia="宋体" w:cs="Times New Roman" w:hint="eastAsia"/>
          <w:sz w:val="24"/>
          <w:szCs w:val="24"/>
        </w:rPr>
        <w:t>2</w:t>
      </w:r>
      <w:r>
        <w:rPr>
          <w:rFonts w:eastAsia="宋体" w:cs="Times New Roman"/>
          <w:sz w:val="24"/>
          <w:szCs w:val="24"/>
        </w:rPr>
        <w:t>020</w:t>
      </w:r>
      <w:r>
        <w:rPr>
          <w:rFonts w:eastAsia="宋体" w:cs="Times New Roman" w:hint="eastAsia"/>
          <w:sz w:val="24"/>
          <w:szCs w:val="24"/>
        </w:rPr>
        <w:t>年重组了</w:t>
      </w:r>
      <w:r>
        <w:rPr>
          <w:rFonts w:eastAsia="宋体" w:cs="Times New Roman" w:hint="eastAsia"/>
          <w:sz w:val="24"/>
          <w:szCs w:val="24"/>
        </w:rPr>
        <w:t>650</w:t>
      </w:r>
      <w:r>
        <w:rPr>
          <w:rFonts w:eastAsia="宋体" w:cs="Times New Roman" w:hint="eastAsia"/>
          <w:sz w:val="24"/>
          <w:szCs w:val="24"/>
        </w:rPr>
        <w:t>亿美元的主权债务，调整了部分重组后债务的付款日期，才在一定程度上缓解了日益增长的债务压力。与此同时，应对疫情冲击的超大规模经济刺激措施，使各国财政支出持续增加。另一方面，疫情导致的经济停摆也使全球企业债务风险陡增。</w:t>
      </w:r>
      <w:r>
        <w:rPr>
          <w:rFonts w:eastAsia="宋体" w:cs="Times New Roman"/>
          <w:sz w:val="24"/>
          <w:szCs w:val="24"/>
        </w:rPr>
        <w:t>在新增的全球债务当中，政府借款略多于一半，但非金融企业和家庭的私人债务也创下历史新高。</w:t>
      </w:r>
    </w:p>
    <w:p w14:paraId="1CA84CEC" w14:textId="77777777" w:rsidR="006B10D9" w:rsidRDefault="006B10D9">
      <w:pPr>
        <w:spacing w:line="360" w:lineRule="auto"/>
        <w:ind w:firstLine="480"/>
        <w:rPr>
          <w:rFonts w:eastAsia="宋体" w:cs="Times New Roman"/>
          <w:sz w:val="24"/>
          <w:szCs w:val="24"/>
        </w:rPr>
      </w:pPr>
    </w:p>
    <w:p w14:paraId="7F9BB0E1" w14:textId="77777777" w:rsidR="006B10D9" w:rsidRDefault="00BE6472">
      <w:pPr>
        <w:spacing w:line="360" w:lineRule="auto"/>
        <w:ind w:firstLine="480"/>
        <w:rPr>
          <w:rFonts w:eastAsia="宋体" w:cs="Times New Roman"/>
          <w:sz w:val="24"/>
          <w:szCs w:val="24"/>
        </w:rPr>
      </w:pPr>
      <w:r>
        <w:rPr>
          <w:rFonts w:eastAsia="宋体" w:cs="Times New Roman"/>
          <w:sz w:val="24"/>
          <w:szCs w:val="24"/>
        </w:rPr>
        <w:br w:type="page"/>
      </w:r>
    </w:p>
    <w:p w14:paraId="12DD9BF5" w14:textId="77777777" w:rsidR="006B10D9" w:rsidRDefault="00BE6472">
      <w:pPr>
        <w:pStyle w:val="2"/>
        <w:ind w:firstLine="480"/>
      </w:pPr>
      <w:bookmarkStart w:id="71" w:name="_Toc22035"/>
      <w:bookmarkStart w:id="72" w:name="_Toc93846695"/>
      <w:bookmarkStart w:id="73" w:name="_Toc93922389"/>
      <w:r>
        <w:lastRenderedPageBreak/>
        <w:t>四、后疫情时代中国企业</w:t>
      </w:r>
      <w:r>
        <w:rPr>
          <w:rFonts w:hint="eastAsia"/>
        </w:rPr>
        <w:t>“</w:t>
      </w:r>
      <w:r>
        <w:t>走出去</w:t>
      </w:r>
      <w:r>
        <w:rPr>
          <w:rFonts w:hint="eastAsia"/>
        </w:rPr>
        <w:t>”</w:t>
      </w:r>
      <w:r>
        <w:t>重点区域投资风险评估</w:t>
      </w:r>
      <w:bookmarkEnd w:id="71"/>
      <w:bookmarkEnd w:id="72"/>
      <w:bookmarkEnd w:id="73"/>
    </w:p>
    <w:p w14:paraId="5AB4AEFD" w14:textId="77777777" w:rsidR="006B10D9" w:rsidRDefault="00BE6472">
      <w:pPr>
        <w:pStyle w:val="3"/>
        <w:spacing w:before="120" w:after="240"/>
      </w:pPr>
      <w:bookmarkStart w:id="74" w:name="_Toc30665"/>
      <w:bookmarkStart w:id="75" w:name="_Toc93922390"/>
      <w:r>
        <w:rPr>
          <w:rFonts w:hint="eastAsia"/>
        </w:rPr>
        <w:t>（一）中国对美投资风险评估</w:t>
      </w:r>
      <w:bookmarkEnd w:id="74"/>
      <w:bookmarkEnd w:id="75"/>
    </w:p>
    <w:p w14:paraId="60AA077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2020</w:t>
      </w:r>
      <w:r>
        <w:rPr>
          <w:rFonts w:eastAsia="宋体" w:cs="Times New Roman" w:hint="eastAsia"/>
          <w:sz w:val="24"/>
          <w:szCs w:val="24"/>
        </w:rPr>
        <w:t>年，受到新冠疫情冲击和中美经贸摩擦等多方面因素的影响，中国对美直接投资额较</w:t>
      </w:r>
      <w:r>
        <w:rPr>
          <w:rFonts w:eastAsia="宋体" w:cs="Times New Roman" w:hint="eastAsia"/>
          <w:sz w:val="24"/>
          <w:szCs w:val="24"/>
        </w:rPr>
        <w:t>2019</w:t>
      </w:r>
      <w:r>
        <w:rPr>
          <w:rFonts w:eastAsia="宋体" w:cs="Times New Roman" w:hint="eastAsia"/>
          <w:sz w:val="24"/>
          <w:szCs w:val="24"/>
        </w:rPr>
        <w:t>年有所回升，但中国企业在美并购交易面临更为严格的监管。随着中美全方位竞争的日趋激烈，预计中长期中国对美投资仍将持续下滑，加强对美投资企业的引导和风险提示有助于理性评估机遇与挑战。</w:t>
      </w:r>
    </w:p>
    <w:p w14:paraId="75ED14C1" w14:textId="77777777" w:rsidR="006B10D9" w:rsidRDefault="00BE6472">
      <w:pPr>
        <w:pStyle w:val="4"/>
      </w:pPr>
      <w:bookmarkStart w:id="76" w:name="_Toc25507"/>
      <w:r>
        <w:rPr>
          <w:rFonts w:hint="eastAsia"/>
        </w:rPr>
        <w:t>1</w:t>
      </w:r>
      <w:r>
        <w:rPr>
          <w:rFonts w:cs="华文楷体" w:hint="eastAsia"/>
        </w:rPr>
        <w:t>.</w:t>
      </w:r>
      <w:r>
        <w:rPr>
          <w:rFonts w:hint="eastAsia"/>
        </w:rPr>
        <w:t>2020年中国对美直接投资概况</w:t>
      </w:r>
      <w:bookmarkEnd w:id="76"/>
    </w:p>
    <w:p w14:paraId="2342169E" w14:textId="77777777" w:rsidR="006B10D9" w:rsidRDefault="00BE6472">
      <w:pPr>
        <w:keepNext/>
        <w:keepLines/>
        <w:spacing w:line="360" w:lineRule="auto"/>
        <w:ind w:left="560" w:firstLineChars="0" w:firstLine="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）投资总额小幅回升</w:t>
      </w:r>
    </w:p>
    <w:p w14:paraId="396A7175"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从历史数据来看，</w:t>
      </w:r>
      <w:r>
        <w:rPr>
          <w:rFonts w:eastAsia="宋体" w:cs="Times New Roman" w:hint="eastAsia"/>
          <w:sz w:val="24"/>
          <w:szCs w:val="24"/>
        </w:rPr>
        <w:t>2010</w:t>
      </w:r>
      <w:r>
        <w:rPr>
          <w:rFonts w:eastAsia="宋体" w:cs="Times New Roman" w:hint="eastAsia"/>
          <w:sz w:val="24"/>
          <w:szCs w:val="24"/>
        </w:rPr>
        <w:t>年前中国对美直接投资每年低于</w:t>
      </w:r>
      <w:r>
        <w:rPr>
          <w:rFonts w:eastAsia="宋体" w:cs="Times New Roman" w:hint="eastAsia"/>
          <w:sz w:val="24"/>
          <w:szCs w:val="24"/>
        </w:rPr>
        <w:t>10</w:t>
      </w:r>
      <w:r>
        <w:rPr>
          <w:rFonts w:eastAsia="宋体" w:cs="Times New Roman" w:hint="eastAsia"/>
          <w:sz w:val="24"/>
          <w:szCs w:val="24"/>
        </w:rPr>
        <w:t>亿美元。</w:t>
      </w:r>
      <w:r>
        <w:rPr>
          <w:rFonts w:eastAsia="宋体" w:cs="Times New Roman" w:hint="eastAsia"/>
          <w:sz w:val="24"/>
          <w:szCs w:val="24"/>
        </w:rPr>
        <w:t>2016</w:t>
      </w:r>
      <w:r>
        <w:rPr>
          <w:rFonts w:eastAsia="宋体" w:cs="Times New Roman" w:hint="eastAsia"/>
          <w:sz w:val="24"/>
          <w:szCs w:val="24"/>
        </w:rPr>
        <w:t>年，受市场流动性充足和对外投资监管宽松的影响，中国对美投资达到创纪录的</w:t>
      </w:r>
      <w:r>
        <w:rPr>
          <w:rFonts w:eastAsia="宋体" w:cs="Times New Roman" w:hint="eastAsia"/>
          <w:sz w:val="24"/>
          <w:szCs w:val="24"/>
        </w:rPr>
        <w:t>450</w:t>
      </w:r>
      <w:r>
        <w:rPr>
          <w:rFonts w:eastAsia="宋体" w:cs="Times New Roman" w:hint="eastAsia"/>
          <w:sz w:val="24"/>
          <w:szCs w:val="24"/>
        </w:rPr>
        <w:t>亿美元。此后，对美投资额连续三年下滑，从</w:t>
      </w:r>
      <w:r>
        <w:rPr>
          <w:rFonts w:eastAsia="宋体" w:cs="Times New Roman" w:hint="eastAsia"/>
          <w:sz w:val="24"/>
          <w:szCs w:val="24"/>
        </w:rPr>
        <w:t>2017</w:t>
      </w:r>
      <w:r>
        <w:rPr>
          <w:rFonts w:eastAsia="宋体" w:cs="Times New Roman" w:hint="eastAsia"/>
          <w:sz w:val="24"/>
          <w:szCs w:val="24"/>
        </w:rPr>
        <w:t>年的</w:t>
      </w:r>
      <w:r>
        <w:rPr>
          <w:rFonts w:eastAsia="宋体" w:cs="Times New Roman" w:hint="eastAsia"/>
          <w:sz w:val="24"/>
          <w:szCs w:val="24"/>
        </w:rPr>
        <w:t>290</w:t>
      </w:r>
      <w:r>
        <w:rPr>
          <w:rFonts w:eastAsia="宋体" w:cs="Times New Roman" w:hint="eastAsia"/>
          <w:sz w:val="24"/>
          <w:szCs w:val="24"/>
        </w:rPr>
        <w:t>亿美元，分别降至</w:t>
      </w:r>
      <w:r>
        <w:rPr>
          <w:rFonts w:eastAsia="宋体" w:cs="Times New Roman" w:hint="eastAsia"/>
          <w:sz w:val="24"/>
          <w:szCs w:val="24"/>
        </w:rPr>
        <w:t>2018</w:t>
      </w:r>
      <w:r>
        <w:rPr>
          <w:rFonts w:eastAsia="宋体" w:cs="Times New Roman" w:hint="eastAsia"/>
          <w:sz w:val="24"/>
          <w:szCs w:val="24"/>
        </w:rPr>
        <w:t>年的</w:t>
      </w:r>
      <w:r>
        <w:rPr>
          <w:rFonts w:eastAsia="宋体" w:cs="Times New Roman" w:hint="eastAsia"/>
          <w:sz w:val="24"/>
          <w:szCs w:val="24"/>
        </w:rPr>
        <w:t>54</w:t>
      </w:r>
      <w:r>
        <w:rPr>
          <w:rFonts w:eastAsia="宋体" w:cs="Times New Roman" w:hint="eastAsia"/>
          <w:sz w:val="24"/>
          <w:szCs w:val="24"/>
        </w:rPr>
        <w:t>亿美元和</w:t>
      </w:r>
      <w:r>
        <w:rPr>
          <w:rFonts w:eastAsia="宋体" w:cs="Times New Roman" w:hint="eastAsia"/>
          <w:sz w:val="24"/>
          <w:szCs w:val="24"/>
        </w:rPr>
        <w:t>2019</w:t>
      </w:r>
      <w:r>
        <w:rPr>
          <w:rFonts w:eastAsia="宋体" w:cs="Times New Roman" w:hint="eastAsia"/>
          <w:sz w:val="24"/>
          <w:szCs w:val="24"/>
        </w:rPr>
        <w:t>年的</w:t>
      </w:r>
      <w:r>
        <w:rPr>
          <w:rFonts w:eastAsia="宋体" w:cs="Times New Roman" w:hint="eastAsia"/>
          <w:sz w:val="24"/>
          <w:szCs w:val="24"/>
        </w:rPr>
        <w:t>63</w:t>
      </w:r>
      <w:r>
        <w:rPr>
          <w:rFonts w:eastAsia="宋体" w:cs="Times New Roman" w:hint="eastAsia"/>
          <w:sz w:val="24"/>
          <w:szCs w:val="24"/>
        </w:rPr>
        <w:t>亿美元。</w:t>
      </w:r>
      <w:r>
        <w:rPr>
          <w:rFonts w:eastAsia="宋体" w:cs="Times New Roman" w:hint="eastAsia"/>
          <w:sz w:val="24"/>
          <w:szCs w:val="24"/>
        </w:rPr>
        <w:t>2020</w:t>
      </w:r>
      <w:r>
        <w:rPr>
          <w:rFonts w:eastAsia="宋体" w:cs="Times New Roman" w:hint="eastAsia"/>
          <w:sz w:val="24"/>
          <w:szCs w:val="24"/>
        </w:rPr>
        <w:t>年，中国对美直接投资小幅回升至</w:t>
      </w:r>
      <w:r>
        <w:rPr>
          <w:rFonts w:eastAsia="宋体" w:cs="Times New Roman" w:hint="eastAsia"/>
          <w:sz w:val="24"/>
          <w:szCs w:val="24"/>
        </w:rPr>
        <w:t>72</w:t>
      </w:r>
      <w:r>
        <w:rPr>
          <w:rFonts w:eastAsia="宋体" w:cs="Times New Roman" w:hint="eastAsia"/>
          <w:sz w:val="24"/>
          <w:szCs w:val="24"/>
        </w:rPr>
        <w:t>亿美元，并购交易总量仍维持在低位，且主要集中于消费者领域，绿地投资未见明显回暖。</w:t>
      </w:r>
    </w:p>
    <w:p w14:paraId="438F68F9" w14:textId="77777777" w:rsidR="006B10D9" w:rsidRDefault="00BE6472">
      <w:pPr>
        <w:spacing w:line="360" w:lineRule="auto"/>
        <w:ind w:firstLineChars="0" w:firstLine="0"/>
        <w:jc w:val="center"/>
        <w:rPr>
          <w:rFonts w:eastAsia="宋体" w:cs="Times New Roman"/>
          <w:sz w:val="28"/>
        </w:rPr>
      </w:pPr>
      <w:r>
        <w:rPr>
          <w:rFonts w:eastAsia="宋体" w:cs="Times New Roman" w:hint="eastAsia"/>
          <w:noProof/>
          <w:sz w:val="28"/>
        </w:rPr>
        <w:drawing>
          <wp:inline distT="0" distB="0" distL="114300" distR="114300" wp14:anchorId="42CAF621" wp14:editId="7F5135F6">
            <wp:extent cx="4850130" cy="3136265"/>
            <wp:effectExtent l="0" t="0" r="11430" b="3175"/>
            <wp:docPr id="69" name="图片 69" descr="2000-2020中国对美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000-2020中国对美FDI"/>
                    <pic:cNvPicPr>
                      <a:picLocks noChangeAspect="1"/>
                    </pic:cNvPicPr>
                  </pic:nvPicPr>
                  <pic:blipFill>
                    <a:blip r:embed="rId26"/>
                    <a:stretch>
                      <a:fillRect/>
                    </a:stretch>
                  </pic:blipFill>
                  <pic:spPr>
                    <a:xfrm>
                      <a:off x="0" y="0"/>
                      <a:ext cx="4850130" cy="3136265"/>
                    </a:xfrm>
                    <a:prstGeom prst="rect">
                      <a:avLst/>
                    </a:prstGeom>
                  </pic:spPr>
                </pic:pic>
              </a:graphicData>
            </a:graphic>
          </wp:inline>
        </w:drawing>
      </w:r>
    </w:p>
    <w:p w14:paraId="6FBAFFA1" w14:textId="77777777" w:rsidR="006B10D9" w:rsidRDefault="00BE6472">
      <w:pPr>
        <w:pStyle w:val="affb"/>
        <w:rPr>
          <w:sz w:val="28"/>
        </w:rPr>
      </w:pPr>
      <w:r>
        <w:rPr>
          <w:rFonts w:hint="eastAsia"/>
        </w:rPr>
        <w:t>图</w:t>
      </w:r>
      <w:r>
        <w:rPr>
          <w:rFonts w:hint="eastAsia"/>
        </w:rPr>
        <w:t>10  2000-2020</w:t>
      </w:r>
      <w:r>
        <w:rPr>
          <w:rFonts w:hint="eastAsia"/>
        </w:rPr>
        <w:t>年中国对美投资金额（单位：亿美元）</w:t>
      </w:r>
    </w:p>
    <w:p w14:paraId="73EDC842" w14:textId="77777777" w:rsidR="006B10D9" w:rsidRDefault="00BE6472">
      <w:pPr>
        <w:pStyle w:val="afffd"/>
      </w:pPr>
      <w:r>
        <w:rPr>
          <w:rFonts w:hint="eastAsia"/>
        </w:rPr>
        <w:t>资料来源：</w:t>
      </w:r>
      <w:r>
        <w:rPr>
          <w:rFonts w:hint="eastAsia"/>
        </w:rPr>
        <w:t>Rodium Group and National Committee on US-China Relations</w:t>
      </w:r>
    </w:p>
    <w:p w14:paraId="04288716" w14:textId="77777777" w:rsidR="006B10D9" w:rsidRDefault="006B10D9">
      <w:pPr>
        <w:pStyle w:val="afffd"/>
      </w:pPr>
    </w:p>
    <w:p w14:paraId="21D31B41"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2</w:t>
      </w:r>
      <w:r>
        <w:rPr>
          <w:rFonts w:eastAsia="宋体" w:cs="Times New Roman" w:hint="eastAsia"/>
          <w:sz w:val="24"/>
          <w:szCs w:val="24"/>
        </w:rPr>
        <w:t>）投资布局更为集中</w:t>
      </w:r>
    </w:p>
    <w:p w14:paraId="3AC9524C"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相较于</w:t>
      </w:r>
      <w:r>
        <w:rPr>
          <w:rFonts w:eastAsia="宋体" w:cs="Times New Roman" w:hint="eastAsia"/>
          <w:sz w:val="24"/>
          <w:szCs w:val="24"/>
        </w:rPr>
        <w:t>2016-17</w:t>
      </w:r>
      <w:r>
        <w:rPr>
          <w:rFonts w:eastAsia="宋体" w:cs="Times New Roman" w:hint="eastAsia"/>
          <w:sz w:val="24"/>
          <w:szCs w:val="24"/>
        </w:rPr>
        <w:t>年的对美投资热潮，当时的产业投资只集中于少数几个产业，如房地产、交通、基础设施等。此后，中国企业在美投资布局发生重大变化，较少涉及敏感行业，如受到严格监管的半导体、航空、能源、基础设施等。与此相对，娱乐业、消费者产品和服务以及健康和生物科技近年来则受到中国投资者的追捧。具体而言，</w:t>
      </w:r>
      <w:r>
        <w:rPr>
          <w:rFonts w:eastAsia="宋体" w:cs="Times New Roman" w:hint="eastAsia"/>
          <w:sz w:val="24"/>
          <w:szCs w:val="24"/>
        </w:rPr>
        <w:t>2020</w:t>
      </w:r>
      <w:r>
        <w:rPr>
          <w:rFonts w:eastAsia="宋体" w:cs="Times New Roman" w:hint="eastAsia"/>
          <w:sz w:val="24"/>
          <w:szCs w:val="24"/>
        </w:rPr>
        <w:t>年中国企业对美投资额最高的是娱乐业（</w:t>
      </w:r>
      <w:r>
        <w:rPr>
          <w:rFonts w:eastAsia="宋体" w:cs="Times New Roman" w:hint="eastAsia"/>
          <w:sz w:val="24"/>
          <w:szCs w:val="24"/>
        </w:rPr>
        <w:t>33</w:t>
      </w:r>
      <w:r>
        <w:rPr>
          <w:rFonts w:eastAsia="宋体" w:cs="Times New Roman" w:hint="eastAsia"/>
          <w:sz w:val="24"/>
          <w:szCs w:val="24"/>
        </w:rPr>
        <w:t>亿美元），最大的一笔交易是腾讯收购环球音乐集团（</w:t>
      </w:r>
      <w:r>
        <w:rPr>
          <w:rFonts w:eastAsia="宋体" w:cs="Times New Roman" w:hint="eastAsia"/>
          <w:sz w:val="24"/>
          <w:szCs w:val="24"/>
        </w:rPr>
        <w:t>UMG</w:t>
      </w:r>
      <w:r>
        <w:rPr>
          <w:rFonts w:eastAsia="宋体" w:cs="Times New Roman" w:hint="eastAsia"/>
          <w:sz w:val="24"/>
          <w:szCs w:val="24"/>
        </w:rPr>
        <w:t>）</w:t>
      </w:r>
      <w:r>
        <w:rPr>
          <w:rFonts w:eastAsia="宋体" w:cs="Times New Roman" w:hint="eastAsia"/>
          <w:sz w:val="24"/>
          <w:szCs w:val="24"/>
        </w:rPr>
        <w:t>10%</w:t>
      </w:r>
      <w:r>
        <w:rPr>
          <w:rFonts w:eastAsia="宋体" w:cs="Times New Roman" w:hint="eastAsia"/>
          <w:sz w:val="24"/>
          <w:szCs w:val="24"/>
        </w:rPr>
        <w:t>的股份；位居其次的是消费者产品和服务（</w:t>
      </w:r>
      <w:r>
        <w:rPr>
          <w:rFonts w:eastAsia="宋体" w:cs="Times New Roman" w:hint="eastAsia"/>
          <w:sz w:val="24"/>
          <w:szCs w:val="24"/>
        </w:rPr>
        <w:t>14</w:t>
      </w:r>
      <w:r>
        <w:rPr>
          <w:rFonts w:eastAsia="宋体" w:cs="Times New Roman" w:hint="eastAsia"/>
          <w:sz w:val="24"/>
          <w:szCs w:val="24"/>
        </w:rPr>
        <w:t>亿美元），包括哈药集团以</w:t>
      </w:r>
      <w:r>
        <w:rPr>
          <w:rFonts w:eastAsia="宋体" w:cs="Times New Roman" w:hint="eastAsia"/>
          <w:sz w:val="24"/>
          <w:szCs w:val="24"/>
        </w:rPr>
        <w:t>7.7</w:t>
      </w:r>
      <w:r>
        <w:rPr>
          <w:rFonts w:eastAsia="宋体" w:cs="Times New Roman" w:hint="eastAsia"/>
          <w:sz w:val="24"/>
          <w:szCs w:val="24"/>
        </w:rPr>
        <w:t>亿美元收购美国知名保健品牌健安喜（</w:t>
      </w:r>
      <w:r>
        <w:rPr>
          <w:rFonts w:eastAsia="宋体" w:cs="Times New Roman" w:hint="eastAsia"/>
          <w:sz w:val="24"/>
          <w:szCs w:val="24"/>
        </w:rPr>
        <w:t>GNC</w:t>
      </w:r>
      <w:r>
        <w:rPr>
          <w:rFonts w:eastAsia="宋体" w:cs="Times New Roman" w:hint="eastAsia"/>
          <w:sz w:val="24"/>
          <w:szCs w:val="24"/>
        </w:rPr>
        <w:t>）、健合集团（</w:t>
      </w:r>
      <w:r>
        <w:rPr>
          <w:rFonts w:eastAsia="宋体" w:cs="Times New Roman" w:hint="eastAsia"/>
          <w:sz w:val="24"/>
          <w:szCs w:val="24"/>
        </w:rPr>
        <w:t>H&amp;H</w:t>
      </w:r>
      <w:r>
        <w:rPr>
          <w:rFonts w:eastAsia="宋体" w:cs="Times New Roman" w:hint="eastAsia"/>
          <w:sz w:val="24"/>
          <w:szCs w:val="24"/>
        </w:rPr>
        <w:t>）以</w:t>
      </w:r>
      <w:r>
        <w:rPr>
          <w:rFonts w:eastAsia="宋体" w:cs="Times New Roman" w:hint="eastAsia"/>
          <w:sz w:val="24"/>
          <w:szCs w:val="24"/>
        </w:rPr>
        <w:t>1.63</w:t>
      </w:r>
      <w:r>
        <w:rPr>
          <w:rFonts w:eastAsia="宋体" w:cs="Times New Roman" w:hint="eastAsia"/>
          <w:sz w:val="24"/>
          <w:szCs w:val="24"/>
        </w:rPr>
        <w:t>亿美元收购宠物食品品牌素力高（</w:t>
      </w:r>
      <w:r>
        <w:rPr>
          <w:rFonts w:eastAsia="宋体" w:cs="Times New Roman" w:hint="eastAsia"/>
          <w:sz w:val="24"/>
          <w:szCs w:val="24"/>
        </w:rPr>
        <w:t>Solid Gold Pets</w:t>
      </w:r>
      <w:r>
        <w:rPr>
          <w:rFonts w:eastAsia="宋体" w:cs="Times New Roman" w:hint="eastAsia"/>
          <w:sz w:val="24"/>
          <w:szCs w:val="24"/>
        </w:rPr>
        <w:t>）等。位居第三的是健康和生物科技领域（</w:t>
      </w:r>
      <w:r>
        <w:rPr>
          <w:rFonts w:eastAsia="宋体" w:cs="Times New Roman" w:hint="eastAsia"/>
          <w:sz w:val="24"/>
          <w:szCs w:val="24"/>
        </w:rPr>
        <w:t>6.25</w:t>
      </w:r>
      <w:r>
        <w:rPr>
          <w:rFonts w:eastAsia="宋体" w:cs="Times New Roman" w:hint="eastAsia"/>
          <w:sz w:val="24"/>
          <w:szCs w:val="24"/>
        </w:rPr>
        <w:t>亿美元），包括康龙化成新药技术公司以</w:t>
      </w:r>
      <w:r>
        <w:rPr>
          <w:rFonts w:eastAsia="宋体" w:cs="Times New Roman" w:hint="eastAsia"/>
          <w:sz w:val="24"/>
          <w:szCs w:val="24"/>
        </w:rPr>
        <w:t>1.38</w:t>
      </w:r>
      <w:r>
        <w:rPr>
          <w:rFonts w:eastAsia="宋体" w:cs="Times New Roman" w:hint="eastAsia"/>
          <w:sz w:val="24"/>
          <w:szCs w:val="24"/>
        </w:rPr>
        <w:t>亿美元收购美国生物技术公司</w:t>
      </w:r>
      <w:r>
        <w:rPr>
          <w:rFonts w:eastAsia="宋体" w:cs="Times New Roman" w:hint="eastAsia"/>
          <w:sz w:val="24"/>
          <w:szCs w:val="24"/>
        </w:rPr>
        <w:t>Absorption Systems</w:t>
      </w:r>
      <w:r>
        <w:rPr>
          <w:rFonts w:eastAsia="宋体" w:cs="Times New Roman" w:hint="eastAsia"/>
          <w:sz w:val="24"/>
          <w:szCs w:val="24"/>
        </w:rPr>
        <w:t>等。</w:t>
      </w:r>
    </w:p>
    <w:p w14:paraId="5867049A" w14:textId="77777777" w:rsidR="006B10D9" w:rsidRDefault="00BE6472">
      <w:pPr>
        <w:spacing w:line="360" w:lineRule="auto"/>
        <w:ind w:firstLineChars="0" w:firstLine="0"/>
        <w:jc w:val="center"/>
        <w:rPr>
          <w:rFonts w:eastAsia="宋体" w:cs="Times New Roman"/>
          <w:sz w:val="28"/>
        </w:rPr>
      </w:pPr>
      <w:r>
        <w:rPr>
          <w:rFonts w:eastAsia="宋体" w:cs="Times New Roman" w:hint="eastAsia"/>
          <w:noProof/>
          <w:sz w:val="28"/>
        </w:rPr>
        <w:drawing>
          <wp:inline distT="0" distB="0" distL="114300" distR="114300" wp14:anchorId="699026BC" wp14:editId="5A2AEA9D">
            <wp:extent cx="4509135" cy="2908935"/>
            <wp:effectExtent l="0" t="0" r="1905" b="1905"/>
            <wp:docPr id="70" name="图片 70" descr="2010-2020中国对美FDI（按行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010-2020中国对美FDI（按行业）"/>
                    <pic:cNvPicPr>
                      <a:picLocks noChangeAspect="1"/>
                    </pic:cNvPicPr>
                  </pic:nvPicPr>
                  <pic:blipFill>
                    <a:blip r:embed="rId27"/>
                    <a:stretch>
                      <a:fillRect/>
                    </a:stretch>
                  </pic:blipFill>
                  <pic:spPr>
                    <a:xfrm>
                      <a:off x="0" y="0"/>
                      <a:ext cx="4509135" cy="2908935"/>
                    </a:xfrm>
                    <a:prstGeom prst="rect">
                      <a:avLst/>
                    </a:prstGeom>
                  </pic:spPr>
                </pic:pic>
              </a:graphicData>
            </a:graphic>
          </wp:inline>
        </w:drawing>
      </w:r>
    </w:p>
    <w:p w14:paraId="03285D5E" w14:textId="77777777" w:rsidR="006B10D9" w:rsidRDefault="00BE6472">
      <w:pPr>
        <w:pStyle w:val="affb"/>
        <w:rPr>
          <w:sz w:val="28"/>
        </w:rPr>
      </w:pPr>
      <w:r>
        <w:rPr>
          <w:rFonts w:hint="eastAsia"/>
        </w:rPr>
        <w:t>图</w:t>
      </w:r>
      <w:r>
        <w:rPr>
          <w:rFonts w:hint="eastAsia"/>
        </w:rPr>
        <w:t>11  2020</w:t>
      </w:r>
      <w:r>
        <w:rPr>
          <w:rFonts w:hint="eastAsia"/>
        </w:rPr>
        <w:t>年中国对美投资产业布局分布（单位：亿美元）</w:t>
      </w:r>
    </w:p>
    <w:p w14:paraId="3E929552" w14:textId="77777777" w:rsidR="006B10D9" w:rsidRDefault="00BE6472">
      <w:pPr>
        <w:pStyle w:val="afffd"/>
      </w:pPr>
      <w:r>
        <w:rPr>
          <w:rFonts w:hint="eastAsia"/>
        </w:rPr>
        <w:t>资料来源：</w:t>
      </w:r>
      <w:r>
        <w:rPr>
          <w:rFonts w:hint="eastAsia"/>
        </w:rPr>
        <w:t>Rodium Group and National Committee on US-China Relations</w:t>
      </w:r>
    </w:p>
    <w:p w14:paraId="18775125" w14:textId="77777777" w:rsidR="006B10D9" w:rsidRDefault="006B10D9">
      <w:pPr>
        <w:pStyle w:val="afffd"/>
        <w:spacing w:beforeLines="0" w:before="0" w:line="240" w:lineRule="auto"/>
        <w:ind w:firstLineChars="0" w:firstLine="0"/>
      </w:pPr>
    </w:p>
    <w:p w14:paraId="3470C791"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）美对中国投资加大审查</w:t>
      </w:r>
    </w:p>
    <w:p w14:paraId="65A4D852" w14:textId="77777777" w:rsidR="006B10D9" w:rsidRDefault="00BE6472">
      <w:pPr>
        <w:spacing w:line="360" w:lineRule="auto"/>
        <w:ind w:firstLine="480"/>
        <w:rPr>
          <w:rFonts w:eastAsia="宋体" w:cs="Times New Roman"/>
          <w:sz w:val="28"/>
        </w:rPr>
      </w:pP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3</w:t>
      </w:r>
      <w:r>
        <w:rPr>
          <w:rFonts w:eastAsia="宋体" w:cs="Times New Roman" w:hint="eastAsia"/>
          <w:sz w:val="24"/>
          <w:szCs w:val="24"/>
        </w:rPr>
        <w:t>月，美国正式实施《外国投资风险评估现代化法案》（简称</w:t>
      </w:r>
      <w:r>
        <w:rPr>
          <w:rFonts w:eastAsia="宋体" w:cs="Times New Roman" w:hint="eastAsia"/>
          <w:sz w:val="24"/>
          <w:szCs w:val="24"/>
        </w:rPr>
        <w:t>FIRRMA</w:t>
      </w:r>
      <w:r>
        <w:rPr>
          <w:rFonts w:eastAsia="宋体" w:cs="Times New Roman" w:hint="eastAsia"/>
          <w:sz w:val="24"/>
          <w:szCs w:val="24"/>
        </w:rPr>
        <w:t>），赋予美国外商投资委员会（</w:t>
      </w:r>
      <w:r>
        <w:rPr>
          <w:rFonts w:eastAsia="宋体" w:cs="Times New Roman" w:hint="eastAsia"/>
          <w:sz w:val="24"/>
          <w:szCs w:val="24"/>
        </w:rPr>
        <w:t>CFIUS</w:t>
      </w:r>
      <w:r>
        <w:rPr>
          <w:rFonts w:eastAsia="宋体" w:cs="Times New Roman" w:hint="eastAsia"/>
          <w:sz w:val="24"/>
          <w:szCs w:val="24"/>
        </w:rPr>
        <w:t>）以外资审查更大的权限，加大对关键基础设施、关键技术和敏感个人数据等领域投资的审查力度。从</w:t>
      </w:r>
      <w:r>
        <w:rPr>
          <w:rFonts w:eastAsia="宋体" w:cs="Times New Roman" w:hint="eastAsia"/>
          <w:sz w:val="24"/>
          <w:szCs w:val="24"/>
        </w:rPr>
        <w:t>CFIUS</w:t>
      </w:r>
      <w:r>
        <w:rPr>
          <w:rFonts w:eastAsia="宋体" w:cs="Times New Roman" w:hint="eastAsia"/>
          <w:sz w:val="24"/>
          <w:szCs w:val="24"/>
        </w:rPr>
        <w:t>公布的最新年报看（见图</w:t>
      </w:r>
      <w:r>
        <w:rPr>
          <w:rFonts w:eastAsia="宋体" w:cs="Times New Roman" w:hint="eastAsia"/>
          <w:sz w:val="24"/>
          <w:szCs w:val="24"/>
        </w:rPr>
        <w:t>12</w:t>
      </w:r>
      <w:r>
        <w:rPr>
          <w:rFonts w:eastAsia="宋体" w:cs="Times New Roman" w:hint="eastAsia"/>
          <w:sz w:val="24"/>
          <w:szCs w:val="24"/>
        </w:rPr>
        <w:t>），</w:t>
      </w:r>
      <w:r>
        <w:rPr>
          <w:rFonts w:eastAsia="宋体" w:cs="Times New Roman" w:hint="eastAsia"/>
          <w:sz w:val="24"/>
          <w:szCs w:val="24"/>
        </w:rPr>
        <w:t>2020</w:t>
      </w:r>
      <w:r>
        <w:rPr>
          <w:rFonts w:eastAsia="宋体" w:cs="Times New Roman" w:hint="eastAsia"/>
          <w:sz w:val="24"/>
          <w:szCs w:val="24"/>
        </w:rPr>
        <w:t>年共审查交易</w:t>
      </w:r>
      <w:r>
        <w:rPr>
          <w:rFonts w:eastAsia="宋体" w:cs="Times New Roman" w:hint="eastAsia"/>
          <w:sz w:val="24"/>
          <w:szCs w:val="24"/>
        </w:rPr>
        <w:t>187</w:t>
      </w:r>
      <w:r>
        <w:rPr>
          <w:rFonts w:eastAsia="宋体" w:cs="Times New Roman" w:hint="eastAsia"/>
          <w:sz w:val="24"/>
          <w:szCs w:val="24"/>
        </w:rPr>
        <w:t>起，同比下降</w:t>
      </w:r>
      <w:r>
        <w:rPr>
          <w:rFonts w:eastAsia="宋体" w:cs="Times New Roman" w:hint="eastAsia"/>
          <w:sz w:val="24"/>
          <w:szCs w:val="24"/>
        </w:rPr>
        <w:t>19%</w:t>
      </w:r>
      <w:r>
        <w:rPr>
          <w:rFonts w:eastAsia="宋体" w:cs="Times New Roman" w:hint="eastAsia"/>
          <w:sz w:val="24"/>
          <w:szCs w:val="24"/>
        </w:rPr>
        <w:t>，较</w:t>
      </w:r>
      <w:r>
        <w:rPr>
          <w:rFonts w:eastAsia="宋体" w:cs="Times New Roman" w:hint="eastAsia"/>
          <w:sz w:val="24"/>
          <w:szCs w:val="24"/>
        </w:rPr>
        <w:t>2017-2019</w:t>
      </w:r>
      <w:r>
        <w:rPr>
          <w:rFonts w:eastAsia="宋体" w:cs="Times New Roman" w:hint="eastAsia"/>
          <w:sz w:val="24"/>
          <w:szCs w:val="24"/>
        </w:rPr>
        <w:t>年年均</w:t>
      </w:r>
      <w:r>
        <w:rPr>
          <w:rFonts w:eastAsia="宋体" w:cs="Times New Roman" w:hint="eastAsia"/>
          <w:sz w:val="24"/>
          <w:szCs w:val="24"/>
        </w:rPr>
        <w:t>230</w:t>
      </w:r>
      <w:r>
        <w:rPr>
          <w:rFonts w:eastAsia="宋体" w:cs="Times New Roman" w:hint="eastAsia"/>
          <w:sz w:val="24"/>
          <w:szCs w:val="24"/>
        </w:rPr>
        <w:t>起的</w:t>
      </w:r>
      <w:r>
        <w:rPr>
          <w:rFonts w:eastAsia="宋体" w:cs="Times New Roman" w:hint="eastAsia"/>
          <w:sz w:val="24"/>
          <w:szCs w:val="24"/>
        </w:rPr>
        <w:lastRenderedPageBreak/>
        <w:t>高位显著下降；进入调查阶段的共有</w:t>
      </w:r>
      <w:r>
        <w:rPr>
          <w:rFonts w:eastAsia="宋体" w:cs="Times New Roman" w:hint="eastAsia"/>
          <w:sz w:val="24"/>
          <w:szCs w:val="24"/>
        </w:rPr>
        <w:t>88</w:t>
      </w:r>
      <w:r>
        <w:rPr>
          <w:rFonts w:eastAsia="宋体" w:cs="Times New Roman" w:hint="eastAsia"/>
          <w:sz w:val="24"/>
          <w:szCs w:val="24"/>
        </w:rPr>
        <w:t>起，占比为</w:t>
      </w:r>
      <w:r>
        <w:rPr>
          <w:rFonts w:eastAsia="宋体" w:cs="Times New Roman" w:hint="eastAsia"/>
          <w:sz w:val="24"/>
          <w:szCs w:val="24"/>
        </w:rPr>
        <w:t>47%</w:t>
      </w:r>
      <w:r>
        <w:rPr>
          <w:rFonts w:eastAsia="宋体" w:cs="Times New Roman" w:hint="eastAsia"/>
          <w:sz w:val="24"/>
          <w:szCs w:val="24"/>
        </w:rPr>
        <w:t>，较</w:t>
      </w:r>
      <w:r>
        <w:rPr>
          <w:rFonts w:eastAsia="宋体" w:cs="Times New Roman" w:hint="eastAsia"/>
          <w:sz w:val="24"/>
          <w:szCs w:val="24"/>
        </w:rPr>
        <w:t>2017</w:t>
      </w:r>
      <w:r>
        <w:rPr>
          <w:rFonts w:eastAsia="宋体" w:cs="Times New Roman" w:hint="eastAsia"/>
          <w:sz w:val="24"/>
          <w:szCs w:val="24"/>
        </w:rPr>
        <w:t>年的</w:t>
      </w:r>
      <w:r>
        <w:rPr>
          <w:rFonts w:eastAsia="宋体" w:cs="Times New Roman" w:hint="eastAsia"/>
          <w:sz w:val="24"/>
          <w:szCs w:val="24"/>
        </w:rPr>
        <w:t>73%</w:t>
      </w:r>
      <w:r>
        <w:rPr>
          <w:rFonts w:eastAsia="宋体" w:cs="Times New Roman" w:hint="eastAsia"/>
          <w:sz w:val="24"/>
          <w:szCs w:val="24"/>
        </w:rPr>
        <w:t>和</w:t>
      </w:r>
      <w:r>
        <w:rPr>
          <w:rFonts w:eastAsia="宋体" w:cs="Times New Roman" w:hint="eastAsia"/>
          <w:sz w:val="24"/>
          <w:szCs w:val="24"/>
        </w:rPr>
        <w:t>2018</w:t>
      </w:r>
      <w:r>
        <w:rPr>
          <w:rFonts w:eastAsia="宋体" w:cs="Times New Roman" w:hint="eastAsia"/>
          <w:sz w:val="24"/>
          <w:szCs w:val="24"/>
        </w:rPr>
        <w:t>年的</w:t>
      </w:r>
      <w:r>
        <w:rPr>
          <w:rFonts w:eastAsia="宋体" w:cs="Times New Roman" w:hint="eastAsia"/>
          <w:sz w:val="24"/>
          <w:szCs w:val="24"/>
        </w:rPr>
        <w:t>69%</w:t>
      </w:r>
      <w:r>
        <w:rPr>
          <w:rFonts w:eastAsia="宋体" w:cs="Times New Roman" w:hint="eastAsia"/>
          <w:sz w:val="24"/>
          <w:szCs w:val="24"/>
        </w:rPr>
        <w:t>明显回落，但数量的减少并不意味着该委员会的审查力度有所放松，主要原因既包括过去几年审查趋严后导致投资者更为保守谨慎，也受到疫情对全球投资流动的影响。</w:t>
      </w:r>
    </w:p>
    <w:p w14:paraId="000BA90B" w14:textId="77777777" w:rsidR="006B10D9" w:rsidRDefault="00BE6472">
      <w:pPr>
        <w:spacing w:line="360" w:lineRule="auto"/>
        <w:ind w:firstLineChars="0" w:firstLine="0"/>
        <w:jc w:val="center"/>
        <w:rPr>
          <w:rFonts w:eastAsia="宋体" w:cs="Times New Roman"/>
          <w:sz w:val="28"/>
        </w:rPr>
      </w:pPr>
      <w:r>
        <w:rPr>
          <w:rFonts w:eastAsia="宋体" w:cs="Times New Roman" w:hint="eastAsia"/>
          <w:noProof/>
          <w:sz w:val="28"/>
        </w:rPr>
        <w:drawing>
          <wp:inline distT="0" distB="0" distL="114300" distR="114300" wp14:anchorId="3B776D97" wp14:editId="6FB40A8D">
            <wp:extent cx="4926330" cy="3062605"/>
            <wp:effectExtent l="0" t="0" r="11430" b="635"/>
            <wp:docPr id="71" name="图片 71" descr="CFIUS历年审查总数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FIUS历年审查总数2010-2020"/>
                    <pic:cNvPicPr>
                      <a:picLocks noChangeAspect="1"/>
                    </pic:cNvPicPr>
                  </pic:nvPicPr>
                  <pic:blipFill>
                    <a:blip r:embed="rId28"/>
                    <a:stretch>
                      <a:fillRect/>
                    </a:stretch>
                  </pic:blipFill>
                  <pic:spPr>
                    <a:xfrm>
                      <a:off x="0" y="0"/>
                      <a:ext cx="4926330" cy="3062605"/>
                    </a:xfrm>
                    <a:prstGeom prst="rect">
                      <a:avLst/>
                    </a:prstGeom>
                  </pic:spPr>
                </pic:pic>
              </a:graphicData>
            </a:graphic>
          </wp:inline>
        </w:drawing>
      </w:r>
    </w:p>
    <w:p w14:paraId="5A60CA02" w14:textId="77777777" w:rsidR="006B10D9" w:rsidRDefault="00BE6472">
      <w:pPr>
        <w:pStyle w:val="affb"/>
      </w:pPr>
      <w:r>
        <w:rPr>
          <w:rFonts w:hint="eastAsia"/>
        </w:rPr>
        <w:t>图</w:t>
      </w:r>
      <w:r>
        <w:rPr>
          <w:rFonts w:hint="eastAsia"/>
        </w:rPr>
        <w:t>12  2010-2020</w:t>
      </w:r>
      <w:r>
        <w:rPr>
          <w:rFonts w:hint="eastAsia"/>
        </w:rPr>
        <w:t>年</w:t>
      </w:r>
      <w:r>
        <w:rPr>
          <w:rFonts w:hint="eastAsia"/>
        </w:rPr>
        <w:t>CIFUS</w:t>
      </w:r>
      <w:r>
        <w:rPr>
          <w:rFonts w:hint="eastAsia"/>
        </w:rPr>
        <w:t>审查和进入调查阶段的交易数量</w:t>
      </w:r>
    </w:p>
    <w:p w14:paraId="4E32A5B7" w14:textId="77777777" w:rsidR="006B10D9" w:rsidRDefault="00BE6472">
      <w:pPr>
        <w:pStyle w:val="afffd"/>
      </w:pPr>
      <w:r>
        <w:rPr>
          <w:rFonts w:hint="eastAsia"/>
        </w:rPr>
        <w:t>资料来源：根据</w:t>
      </w:r>
      <w:r>
        <w:rPr>
          <w:rFonts w:hint="eastAsia"/>
        </w:rPr>
        <w:t>CFIUS 2020</w:t>
      </w:r>
      <w:r>
        <w:rPr>
          <w:rFonts w:hint="eastAsia"/>
        </w:rPr>
        <w:t>年年报绘制</w:t>
      </w:r>
    </w:p>
    <w:p w14:paraId="080C2FAE" w14:textId="77777777" w:rsidR="006B10D9" w:rsidRDefault="006B10D9">
      <w:pPr>
        <w:spacing w:line="360" w:lineRule="auto"/>
        <w:ind w:firstLineChars="0" w:firstLine="0"/>
        <w:rPr>
          <w:rFonts w:eastAsia="宋体" w:cs="楷体"/>
          <w:sz w:val="21"/>
          <w:szCs w:val="21"/>
        </w:rPr>
      </w:pPr>
    </w:p>
    <w:p w14:paraId="568DE3A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从对中国对美投资审查情况来看（见图</w:t>
      </w:r>
      <w:r>
        <w:rPr>
          <w:rFonts w:eastAsia="宋体" w:cs="Times New Roman" w:hint="eastAsia"/>
          <w:sz w:val="24"/>
          <w:szCs w:val="24"/>
        </w:rPr>
        <w:t>13</w:t>
      </w:r>
      <w:r>
        <w:rPr>
          <w:rFonts w:eastAsia="宋体" w:cs="Times New Roman" w:hint="eastAsia"/>
          <w:sz w:val="24"/>
          <w:szCs w:val="24"/>
        </w:rPr>
        <w:t>），</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CIFUS</w:t>
      </w:r>
      <w:r>
        <w:rPr>
          <w:rFonts w:eastAsia="宋体" w:cs="Times New Roman" w:hint="eastAsia"/>
          <w:sz w:val="24"/>
          <w:szCs w:val="24"/>
        </w:rPr>
        <w:t>对来自中国的投资审查数量为</w:t>
      </w:r>
      <w:r>
        <w:rPr>
          <w:rFonts w:eastAsia="宋体" w:cs="Times New Roman" w:hint="eastAsia"/>
          <w:sz w:val="24"/>
          <w:szCs w:val="24"/>
        </w:rPr>
        <w:t>17</w:t>
      </w:r>
      <w:r>
        <w:rPr>
          <w:rFonts w:eastAsia="宋体" w:cs="Times New Roman" w:hint="eastAsia"/>
          <w:sz w:val="24"/>
          <w:szCs w:val="24"/>
        </w:rPr>
        <w:t>起，较</w:t>
      </w:r>
      <w:r>
        <w:rPr>
          <w:rFonts w:eastAsia="宋体" w:cs="Times New Roman" w:hint="eastAsia"/>
          <w:sz w:val="24"/>
          <w:szCs w:val="24"/>
        </w:rPr>
        <w:t>2016-2018</w:t>
      </w:r>
      <w:r>
        <w:rPr>
          <w:rFonts w:eastAsia="宋体" w:cs="Times New Roman" w:hint="eastAsia"/>
          <w:sz w:val="24"/>
          <w:szCs w:val="24"/>
        </w:rPr>
        <w:t>年间显著下降。从</w:t>
      </w:r>
      <w:r>
        <w:rPr>
          <w:rFonts w:eastAsia="宋体" w:cs="Times New Roman" w:hint="eastAsia"/>
          <w:sz w:val="24"/>
          <w:szCs w:val="24"/>
        </w:rPr>
        <w:t>CFIUS</w:t>
      </w:r>
      <w:r>
        <w:rPr>
          <w:rFonts w:eastAsia="宋体" w:cs="Times New Roman" w:hint="eastAsia"/>
          <w:sz w:val="24"/>
          <w:szCs w:val="24"/>
        </w:rPr>
        <w:t>主要审查国的排名来看，虽然中国并非对美投资的主要来源国，但中国在</w:t>
      </w:r>
      <w:r>
        <w:rPr>
          <w:rFonts w:eastAsia="宋体" w:cs="Times New Roman" w:hint="eastAsia"/>
          <w:sz w:val="24"/>
          <w:szCs w:val="24"/>
        </w:rPr>
        <w:t>2012-2018</w:t>
      </w:r>
      <w:r>
        <w:rPr>
          <w:rFonts w:eastAsia="宋体" w:cs="Times New Roman" w:hint="eastAsia"/>
          <w:sz w:val="24"/>
          <w:szCs w:val="24"/>
        </w:rPr>
        <w:t>年期间一直是接受投资审查最多的国家，</w:t>
      </w:r>
      <w:r>
        <w:rPr>
          <w:rFonts w:eastAsia="宋体" w:cs="Times New Roman" w:hint="eastAsia"/>
          <w:sz w:val="24"/>
          <w:szCs w:val="24"/>
        </w:rPr>
        <w:t>2019</w:t>
      </w:r>
      <w:r>
        <w:rPr>
          <w:rFonts w:eastAsia="宋体" w:cs="Times New Roman" w:hint="eastAsia"/>
          <w:sz w:val="24"/>
          <w:szCs w:val="24"/>
        </w:rPr>
        <w:t>年以后则位居日本之后。从行业细分来看，金融、信息</w:t>
      </w:r>
      <w:r>
        <w:rPr>
          <w:rFonts w:eastAsia="宋体" w:cs="Times New Roman" w:hint="eastAsia"/>
          <w:sz w:val="24"/>
          <w:szCs w:val="24"/>
        </w:rPr>
        <w:t>&amp;</w:t>
      </w:r>
      <w:r>
        <w:rPr>
          <w:rFonts w:eastAsia="宋体" w:cs="Times New Roman" w:hint="eastAsia"/>
          <w:sz w:val="24"/>
          <w:szCs w:val="24"/>
        </w:rPr>
        <w:t>服务业是接受审查最为密集的行业，占比分别为</w:t>
      </w:r>
      <w:r>
        <w:rPr>
          <w:rFonts w:eastAsia="宋体" w:cs="Times New Roman" w:hint="eastAsia"/>
          <w:sz w:val="24"/>
          <w:szCs w:val="24"/>
        </w:rPr>
        <w:t>43%</w:t>
      </w:r>
      <w:r>
        <w:rPr>
          <w:rFonts w:eastAsia="宋体" w:cs="Times New Roman" w:hint="eastAsia"/>
          <w:sz w:val="24"/>
          <w:szCs w:val="24"/>
        </w:rPr>
        <w:t>和</w:t>
      </w:r>
      <w:r>
        <w:rPr>
          <w:rFonts w:eastAsia="宋体" w:cs="Times New Roman" w:hint="eastAsia"/>
          <w:sz w:val="24"/>
          <w:szCs w:val="24"/>
        </w:rPr>
        <w:t>36%</w:t>
      </w:r>
      <w:r>
        <w:rPr>
          <w:rFonts w:eastAsia="宋体" w:cs="Times New Roman" w:hint="eastAsia"/>
          <w:sz w:val="24"/>
          <w:szCs w:val="24"/>
        </w:rPr>
        <w:t>。</w:t>
      </w:r>
    </w:p>
    <w:p w14:paraId="1C635569" w14:textId="77777777" w:rsidR="006B10D9" w:rsidRDefault="00BE6472">
      <w:pPr>
        <w:spacing w:line="360" w:lineRule="auto"/>
        <w:ind w:firstLineChars="0" w:firstLine="0"/>
        <w:jc w:val="center"/>
        <w:rPr>
          <w:rFonts w:eastAsia="宋体" w:cs="Times New Roman"/>
          <w:sz w:val="28"/>
        </w:rPr>
      </w:pPr>
      <w:r>
        <w:rPr>
          <w:rFonts w:eastAsia="宋体" w:cs="Times New Roman" w:hint="eastAsia"/>
          <w:noProof/>
          <w:sz w:val="28"/>
        </w:rPr>
        <w:lastRenderedPageBreak/>
        <w:drawing>
          <wp:inline distT="0" distB="0" distL="114300" distR="114300" wp14:anchorId="6905B51D" wp14:editId="1B01F6F9">
            <wp:extent cx="4534535" cy="2553970"/>
            <wp:effectExtent l="0" t="0" r="6985" b="6350"/>
            <wp:docPr id="72" name="图片 72" descr="受审案例数量与排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受审案例数量与排名"/>
                    <pic:cNvPicPr>
                      <a:picLocks noChangeAspect="1"/>
                    </pic:cNvPicPr>
                  </pic:nvPicPr>
                  <pic:blipFill>
                    <a:blip r:embed="rId29"/>
                    <a:stretch>
                      <a:fillRect/>
                    </a:stretch>
                  </pic:blipFill>
                  <pic:spPr>
                    <a:xfrm>
                      <a:off x="0" y="0"/>
                      <a:ext cx="4534535" cy="2553970"/>
                    </a:xfrm>
                    <a:prstGeom prst="rect">
                      <a:avLst/>
                    </a:prstGeom>
                  </pic:spPr>
                </pic:pic>
              </a:graphicData>
            </a:graphic>
          </wp:inline>
        </w:drawing>
      </w:r>
    </w:p>
    <w:p w14:paraId="29D06B85" w14:textId="77777777" w:rsidR="006B10D9" w:rsidRDefault="00BE6472">
      <w:pPr>
        <w:pStyle w:val="affb"/>
      </w:pPr>
      <w:r>
        <w:rPr>
          <w:rFonts w:hint="eastAsia"/>
        </w:rPr>
        <w:t>图</w:t>
      </w:r>
      <w:r>
        <w:rPr>
          <w:rFonts w:hint="eastAsia"/>
        </w:rPr>
        <w:t>13  2010-2020</w:t>
      </w:r>
      <w:r>
        <w:rPr>
          <w:rFonts w:hint="eastAsia"/>
        </w:rPr>
        <w:t>年</w:t>
      </w:r>
      <w:r>
        <w:rPr>
          <w:rFonts w:hint="eastAsia"/>
        </w:rPr>
        <w:t>CIFUS</w:t>
      </w:r>
      <w:r>
        <w:rPr>
          <w:rFonts w:hint="eastAsia"/>
        </w:rPr>
        <w:t>对中国审查案例数量和排名</w:t>
      </w:r>
    </w:p>
    <w:p w14:paraId="3BB9A702" w14:textId="77777777" w:rsidR="006B10D9" w:rsidRDefault="00BE6472">
      <w:pPr>
        <w:pStyle w:val="afffd"/>
      </w:pPr>
      <w:r>
        <w:rPr>
          <w:rFonts w:hint="eastAsia"/>
        </w:rPr>
        <w:t>资料来源：根据</w:t>
      </w:r>
      <w:r>
        <w:rPr>
          <w:rFonts w:hint="eastAsia"/>
        </w:rPr>
        <w:t>CFIUS 2020</w:t>
      </w:r>
      <w:r>
        <w:rPr>
          <w:rFonts w:hint="eastAsia"/>
        </w:rPr>
        <w:t>年年报绘制</w:t>
      </w:r>
    </w:p>
    <w:p w14:paraId="5C48BB76" w14:textId="77777777" w:rsidR="006B10D9" w:rsidRDefault="006B10D9">
      <w:pPr>
        <w:snapToGrid w:val="0"/>
        <w:spacing w:line="240" w:lineRule="auto"/>
        <w:ind w:firstLineChars="0" w:firstLine="0"/>
        <w:rPr>
          <w:rFonts w:eastAsia="宋体" w:cs="楷体"/>
          <w:sz w:val="21"/>
          <w:szCs w:val="21"/>
        </w:rPr>
      </w:pPr>
    </w:p>
    <w:p w14:paraId="6D4C7F7F" w14:textId="77777777" w:rsidR="006B10D9" w:rsidRDefault="00BE6472">
      <w:pPr>
        <w:pStyle w:val="4"/>
      </w:pPr>
      <w:bookmarkStart w:id="77" w:name="_Toc12116"/>
      <w:r>
        <w:rPr>
          <w:rFonts w:hint="eastAsia"/>
        </w:rPr>
        <w:t>2</w:t>
      </w:r>
      <w:r>
        <w:rPr>
          <w:rFonts w:cs="华文楷体" w:hint="eastAsia"/>
        </w:rPr>
        <w:t>.</w:t>
      </w:r>
      <w:r>
        <w:rPr>
          <w:rFonts w:hint="eastAsia"/>
        </w:rPr>
        <w:t>影响中国对美直接投资的中长期因素</w:t>
      </w:r>
      <w:bookmarkEnd w:id="77"/>
    </w:p>
    <w:p w14:paraId="2AC41EF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中美相互投资在双边经贸关系中的重要性日益凸显，中国对美直接投资也为繁荣美国经济和就业做出了一定贡献。从中长期来看，中国对美直接投资仍将面临多重约束和挑战。</w:t>
      </w:r>
    </w:p>
    <w:p w14:paraId="40E52FC4" w14:textId="77777777" w:rsidR="006B10D9" w:rsidRDefault="00BE6472">
      <w:pPr>
        <w:keepNext/>
        <w:keepLines/>
        <w:spacing w:line="360" w:lineRule="auto"/>
        <w:ind w:left="560" w:firstLineChars="0" w:firstLine="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）中国加大境外投资管控力度</w:t>
      </w:r>
    </w:p>
    <w:p w14:paraId="33664EF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自</w:t>
      </w:r>
      <w:r>
        <w:rPr>
          <w:rFonts w:eastAsia="宋体" w:cs="Times New Roman" w:hint="eastAsia"/>
          <w:sz w:val="24"/>
          <w:szCs w:val="24"/>
        </w:rPr>
        <w:t>2014</w:t>
      </w:r>
      <w:r>
        <w:rPr>
          <w:rFonts w:eastAsia="宋体" w:cs="Times New Roman" w:hint="eastAsia"/>
          <w:sz w:val="24"/>
          <w:szCs w:val="24"/>
        </w:rPr>
        <w:t>年《境外投资管理办法》大幅放宽对我国企业“走出去”的限制后，中国企业在境外包括在美国掀起了多轮并购热潮，同时也存在着一些非理性的盲目跨国投资。一些中国企业对美投资中大多存在着较高杠杆和债务驱动的风险，如复星国际收购美国保险公司</w:t>
      </w:r>
      <w:r>
        <w:rPr>
          <w:rFonts w:eastAsia="宋体" w:cs="Times New Roman" w:hint="eastAsia"/>
          <w:sz w:val="24"/>
          <w:szCs w:val="24"/>
        </w:rPr>
        <w:t>Ironshore</w:t>
      </w:r>
      <w:r>
        <w:rPr>
          <w:rFonts w:eastAsia="宋体" w:cs="Times New Roman" w:hint="eastAsia"/>
          <w:sz w:val="24"/>
          <w:szCs w:val="24"/>
        </w:rPr>
        <w:t>、万达集团收购美国知名连锁院线</w:t>
      </w:r>
      <w:r>
        <w:rPr>
          <w:rFonts w:eastAsia="宋体" w:cs="Times New Roman" w:hint="eastAsia"/>
          <w:sz w:val="24"/>
          <w:szCs w:val="24"/>
        </w:rPr>
        <w:t>AMC</w:t>
      </w:r>
      <w:r>
        <w:rPr>
          <w:rFonts w:eastAsia="宋体" w:cs="Times New Roman" w:hint="eastAsia"/>
          <w:sz w:val="24"/>
          <w:szCs w:val="24"/>
        </w:rPr>
        <w:t>等。虽然高杠杆可以在短期内回收大量资金，但长期看存在着较高的市场风险。因此，随着政府逐步强化对境外投资的限制和监管措施，导致近年来国内投资者对外投资意愿明显降低。尽管从</w:t>
      </w:r>
      <w:r>
        <w:rPr>
          <w:rFonts w:eastAsia="宋体" w:cs="Times New Roman" w:hint="eastAsia"/>
          <w:sz w:val="24"/>
          <w:szCs w:val="24"/>
        </w:rPr>
        <w:t>2020</w:t>
      </w:r>
      <w:r>
        <w:rPr>
          <w:rFonts w:eastAsia="宋体" w:cs="Times New Roman" w:hint="eastAsia"/>
          <w:sz w:val="24"/>
          <w:szCs w:val="24"/>
        </w:rPr>
        <w:t>年下半年开始，中国实现了贸易盈余和外资流入的大幅增长，但是监管层依然没有放松对个人和家庭资本流出的严格管制。考虑到大部分境外投资须通过国有银行汇出，对外投资额自</w:t>
      </w:r>
      <w:r>
        <w:rPr>
          <w:rFonts w:eastAsia="宋体" w:cs="Times New Roman" w:hint="eastAsia"/>
          <w:sz w:val="24"/>
          <w:szCs w:val="24"/>
        </w:rPr>
        <w:t>2017</w:t>
      </w:r>
      <w:r>
        <w:rPr>
          <w:rFonts w:eastAsia="宋体" w:cs="Times New Roman" w:hint="eastAsia"/>
          <w:sz w:val="24"/>
          <w:szCs w:val="24"/>
        </w:rPr>
        <w:t>年起基本稳定在每季度</w:t>
      </w:r>
      <w:r>
        <w:rPr>
          <w:rFonts w:eastAsia="宋体" w:cs="Times New Roman" w:hint="eastAsia"/>
          <w:sz w:val="24"/>
          <w:szCs w:val="24"/>
        </w:rPr>
        <w:t>300-350</w:t>
      </w:r>
      <w:r>
        <w:rPr>
          <w:rFonts w:eastAsia="宋体" w:cs="Times New Roman" w:hint="eastAsia"/>
          <w:sz w:val="24"/>
          <w:szCs w:val="24"/>
        </w:rPr>
        <w:t>亿美元。此外，对一些特殊行业加强监管，如近期对国内科技巨头的反垄断调查，也将对这些企业赴美投资产生影响。</w:t>
      </w:r>
    </w:p>
    <w:p w14:paraId="76F02E9F"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）美国进一步收紧对美投资审查</w:t>
      </w:r>
    </w:p>
    <w:p w14:paraId="7739823E"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2017</w:t>
      </w:r>
      <w:r>
        <w:rPr>
          <w:rFonts w:eastAsia="宋体" w:cs="Times New Roman" w:hint="eastAsia"/>
          <w:sz w:val="24"/>
          <w:szCs w:val="24"/>
        </w:rPr>
        <w:t>年成立的美国外国投资委员会虽然由财政部牵头，但构成上涉及</w:t>
      </w:r>
      <w:r>
        <w:rPr>
          <w:rFonts w:eastAsia="宋体" w:cs="Times New Roman" w:hint="eastAsia"/>
          <w:sz w:val="24"/>
          <w:szCs w:val="24"/>
        </w:rPr>
        <w:t>11</w:t>
      </w:r>
      <w:r>
        <w:rPr>
          <w:rFonts w:eastAsia="宋体" w:cs="Times New Roman" w:hint="eastAsia"/>
          <w:sz w:val="24"/>
          <w:szCs w:val="24"/>
        </w:rPr>
        <w:t>个部门</w:t>
      </w:r>
      <w:r>
        <w:rPr>
          <w:rFonts w:eastAsia="宋体" w:cs="Times New Roman" w:hint="eastAsia"/>
          <w:sz w:val="24"/>
          <w:szCs w:val="24"/>
        </w:rPr>
        <w:lastRenderedPageBreak/>
        <w:t>和</w:t>
      </w:r>
      <w:r>
        <w:rPr>
          <w:rFonts w:eastAsia="宋体" w:cs="Times New Roman" w:hint="eastAsia"/>
          <w:sz w:val="24"/>
          <w:szCs w:val="24"/>
        </w:rPr>
        <w:t>5</w:t>
      </w:r>
      <w:r>
        <w:rPr>
          <w:rFonts w:eastAsia="宋体" w:cs="Times New Roman" w:hint="eastAsia"/>
          <w:sz w:val="24"/>
          <w:szCs w:val="24"/>
        </w:rPr>
        <w:t>个观察员，其设立的出发点依然是维护传统国家安全，并对外商投资可能对美国造成的现实威胁做出反应，现已成为中国企业赴美投资的最主要障碍之一。实际上，</w:t>
      </w:r>
      <w:r>
        <w:rPr>
          <w:rFonts w:eastAsia="宋体" w:cs="Times New Roman" w:hint="eastAsia"/>
          <w:sz w:val="24"/>
          <w:szCs w:val="24"/>
        </w:rPr>
        <w:t>FIRRMA</w:t>
      </w:r>
      <w:r>
        <w:rPr>
          <w:rFonts w:eastAsia="宋体" w:cs="Times New Roman" w:hint="eastAsia"/>
          <w:sz w:val="24"/>
          <w:szCs w:val="24"/>
        </w:rPr>
        <w:t>的出台也在一定程度上赋予了</w:t>
      </w:r>
      <w:r>
        <w:rPr>
          <w:rFonts w:eastAsia="宋体" w:cs="Times New Roman" w:hint="eastAsia"/>
          <w:sz w:val="24"/>
          <w:szCs w:val="24"/>
        </w:rPr>
        <w:t>CFIUS</w:t>
      </w:r>
      <w:r>
        <w:rPr>
          <w:rFonts w:eastAsia="宋体" w:cs="Times New Roman" w:hint="eastAsia"/>
          <w:sz w:val="24"/>
          <w:szCs w:val="24"/>
        </w:rPr>
        <w:t>在实质权利和程序上更为广泛的实施空间，且更为明确地对来自中国的投资进行限定，如对影响美国领先技术和国际竞争力的产业进行投资限制甚至禁止投资。此外，美国其他政府部门也相继加大对中国企业在美投资并购的审查。例如，</w:t>
      </w:r>
      <w:r>
        <w:rPr>
          <w:rFonts w:eastAsia="宋体" w:cs="Times New Roman" w:hint="eastAsia"/>
          <w:sz w:val="24"/>
          <w:szCs w:val="24"/>
        </w:rPr>
        <w:t>2018</w:t>
      </w:r>
      <w:r>
        <w:rPr>
          <w:rFonts w:eastAsia="宋体" w:cs="Times New Roman" w:hint="eastAsia"/>
          <w:sz w:val="24"/>
          <w:szCs w:val="24"/>
        </w:rPr>
        <w:t>年，美国司法部启动“中国行动计划”，要求</w:t>
      </w:r>
      <w:r>
        <w:rPr>
          <w:rFonts w:eastAsia="宋体" w:cs="Times New Roman" w:hint="eastAsia"/>
          <w:sz w:val="24"/>
          <w:szCs w:val="24"/>
        </w:rPr>
        <w:t>94</w:t>
      </w:r>
      <w:r>
        <w:rPr>
          <w:rFonts w:eastAsia="宋体" w:cs="Times New Roman" w:hint="eastAsia"/>
          <w:sz w:val="24"/>
          <w:szCs w:val="24"/>
        </w:rPr>
        <w:t>个地区的司法部门至少每年要提起</w:t>
      </w:r>
      <w:r>
        <w:rPr>
          <w:rFonts w:eastAsia="宋体" w:cs="Times New Roman" w:hint="eastAsia"/>
          <w:sz w:val="24"/>
          <w:szCs w:val="24"/>
        </w:rPr>
        <w:t>1-2</w:t>
      </w:r>
      <w:r>
        <w:rPr>
          <w:rFonts w:eastAsia="宋体" w:cs="Times New Roman" w:hint="eastAsia"/>
          <w:sz w:val="24"/>
          <w:szCs w:val="24"/>
        </w:rPr>
        <w:t>起针对中国企业并购的诉讼</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
      </w:r>
      <w:r>
        <w:rPr>
          <w:rFonts w:eastAsia="宋体" w:cs="Times New Roman" w:hint="eastAsia"/>
          <w:sz w:val="24"/>
          <w:szCs w:val="24"/>
          <w:vertAlign w:val="superscript"/>
        </w:rPr>
        <w:t>]</w:t>
      </w:r>
      <w:r>
        <w:rPr>
          <w:rFonts w:eastAsia="宋体" w:cs="Times New Roman" w:hint="eastAsia"/>
          <w:sz w:val="24"/>
          <w:szCs w:val="24"/>
        </w:rPr>
        <w:t>；</w:t>
      </w:r>
      <w:r>
        <w:rPr>
          <w:rFonts w:eastAsia="宋体" w:cs="Times New Roman" w:hint="eastAsia"/>
          <w:sz w:val="24"/>
          <w:szCs w:val="24"/>
        </w:rPr>
        <w:t>2020</w:t>
      </w:r>
      <w:r>
        <w:rPr>
          <w:rFonts w:eastAsia="宋体" w:cs="Times New Roman" w:hint="eastAsia"/>
          <w:sz w:val="24"/>
          <w:szCs w:val="24"/>
        </w:rPr>
        <w:t>年，美国商务部公布所谓“与军方有关联”的中国企业实体清单，限制其赴美投资和购买美国产品与服务。以“国家安全”为由，借助外资安全审查制度改革，将审查动机和手段泛化和政治化，将成为美国政府长期用以限制中国企业赴美投资的重要方式。</w:t>
      </w:r>
    </w:p>
    <w:p w14:paraId="744687B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）拉拢盟友引发外资审查连锁反应</w:t>
      </w:r>
    </w:p>
    <w:p w14:paraId="50D1A025"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拜登政府上任后，其与前任特朗普政府的显著区别在于强调“与我们的盟友和伙伴保持步调一致”，即通过联合盟友主导构建“反华包围圈”。这种“围堵”在针对中国境外投资并购中表现得尤为明显，如根据</w:t>
      </w:r>
      <w:r>
        <w:rPr>
          <w:rFonts w:eastAsia="宋体" w:cs="Times New Roman" w:hint="eastAsia"/>
          <w:sz w:val="24"/>
          <w:szCs w:val="24"/>
        </w:rPr>
        <w:t>FIRRMA</w:t>
      </w:r>
      <w:r>
        <w:rPr>
          <w:rFonts w:eastAsia="宋体" w:cs="Times New Roman" w:hint="eastAsia"/>
          <w:sz w:val="24"/>
          <w:szCs w:val="24"/>
        </w:rPr>
        <w:t>法案，</w:t>
      </w:r>
      <w:r>
        <w:rPr>
          <w:rFonts w:eastAsia="宋体" w:cs="Times New Roman" w:hint="eastAsia"/>
          <w:sz w:val="24"/>
          <w:szCs w:val="24"/>
        </w:rPr>
        <w:t>CFIUS</w:t>
      </w:r>
      <w:r>
        <w:rPr>
          <w:rFonts w:eastAsia="宋体" w:cs="Times New Roman" w:hint="eastAsia"/>
          <w:sz w:val="24"/>
          <w:szCs w:val="24"/>
        </w:rPr>
        <w:t>应与盟国的外资审查监管机构建立信息交流分享机制，对可能威胁美国及盟国国家安全的境外投资，特别是来自中国的投资，采取统一行动。近两年受到疫情冲击的影响，一些国家纷纷收缩部分关键行业的产业链供应链，对外资并购保持高度警惕，担心中国投资者会利用本国企业的经营困难“趁火打劫”，进而威胁其国家安全和战略性产业安全。受美国收紧外资安全审查影响，</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3</w:t>
      </w:r>
      <w:r>
        <w:rPr>
          <w:rFonts w:eastAsia="宋体" w:cs="Times New Roman" w:hint="eastAsia"/>
          <w:sz w:val="24"/>
          <w:szCs w:val="24"/>
        </w:rPr>
        <w:t>月，欧盟出台《有关外商直接投资和资本自由流动、保护欧盟战略性资产收购指南》，该指南旨在针对疫情下防范外国投资者收购欧盟的战略性资产，从而避免因疫情造成一些关键技术和资产的损失，且重点关注医疗相关产业的并购等。此外，包括德国、澳大利亚、印度等国也在美国强化外资审查的连锁反应下，纷纷出台针对外资的限制措施，使得我国未来对美乃至全球投资面临更为复杂的局面。</w:t>
      </w:r>
    </w:p>
    <w:p w14:paraId="14F9807D" w14:textId="77777777" w:rsidR="006B10D9" w:rsidRDefault="00BE6472">
      <w:pPr>
        <w:pStyle w:val="4"/>
      </w:pPr>
      <w:bookmarkStart w:id="78" w:name="_Toc22514"/>
      <w:r>
        <w:rPr>
          <w:rFonts w:hint="eastAsia"/>
        </w:rPr>
        <w:t>3</w:t>
      </w:r>
      <w:r>
        <w:rPr>
          <w:rFonts w:cs="华文楷体" w:hint="eastAsia"/>
        </w:rPr>
        <w:t>.</w:t>
      </w:r>
      <w:r>
        <w:rPr>
          <w:rFonts w:hint="eastAsia"/>
        </w:rPr>
        <w:t>中国对美直接投资趋势预判</w:t>
      </w:r>
      <w:bookmarkEnd w:id="78"/>
    </w:p>
    <w:p w14:paraId="42C2F51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从短期看，中美摩擦导致的政策风险将导致中国对美投资保持在低位，中国企业赴美投资热情有所减弱；但从长期来看，中美市场仍具有巨大的互补性，扩大对美直</w:t>
      </w:r>
      <w:r>
        <w:rPr>
          <w:rFonts w:eastAsia="宋体" w:cs="Times New Roman" w:hint="eastAsia"/>
          <w:sz w:val="24"/>
          <w:szCs w:val="24"/>
        </w:rPr>
        <w:lastRenderedPageBreak/>
        <w:t>接投资的必要性依然存在。</w:t>
      </w:r>
    </w:p>
    <w:p w14:paraId="4C41E167"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）美国经济已进入复苏周期</w:t>
      </w:r>
    </w:p>
    <w:p w14:paraId="1671090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尽管受到新冠疫情重创，但是美国经济已经渡过最艰难时期，总产出已经恢复至疫情前水平。根据经合组织（</w:t>
      </w:r>
      <w:r>
        <w:rPr>
          <w:rFonts w:eastAsia="宋体" w:cs="Times New Roman" w:hint="eastAsia"/>
          <w:sz w:val="24"/>
          <w:szCs w:val="24"/>
        </w:rPr>
        <w:t>OECD</w:t>
      </w:r>
      <w:r>
        <w:rPr>
          <w:rFonts w:eastAsia="宋体" w:cs="Times New Roman" w:hint="eastAsia"/>
          <w:sz w:val="24"/>
          <w:szCs w:val="24"/>
        </w:rPr>
        <w:t>）</w:t>
      </w:r>
      <w:r>
        <w:rPr>
          <w:rFonts w:eastAsia="宋体" w:cs="Times New Roman" w:hint="eastAsia"/>
          <w:sz w:val="24"/>
          <w:szCs w:val="24"/>
        </w:rPr>
        <w:t>2021</w:t>
      </w:r>
      <w:r>
        <w:rPr>
          <w:rFonts w:eastAsia="宋体" w:cs="Times New Roman" w:hint="eastAsia"/>
          <w:sz w:val="24"/>
          <w:szCs w:val="24"/>
        </w:rPr>
        <w:t>年</w:t>
      </w:r>
      <w:r>
        <w:rPr>
          <w:rFonts w:eastAsia="宋体" w:cs="Times New Roman" w:hint="eastAsia"/>
          <w:sz w:val="24"/>
          <w:szCs w:val="24"/>
        </w:rPr>
        <w:t>9</w:t>
      </w:r>
      <w:r>
        <w:rPr>
          <w:rFonts w:eastAsia="宋体" w:cs="Times New Roman" w:hint="eastAsia"/>
          <w:sz w:val="24"/>
          <w:szCs w:val="24"/>
        </w:rPr>
        <w:t>月公布的最新预测显示</w:t>
      </w:r>
      <w:r>
        <w:rPr>
          <w:rFonts w:eastAsia="宋体" w:cs="Times New Roman" w:hint="eastAsia"/>
          <w:sz w:val="24"/>
          <w:szCs w:val="24"/>
          <w:vertAlign w:val="superscript"/>
        </w:rPr>
        <w:t>[</w:t>
      </w:r>
      <w:r>
        <w:rPr>
          <w:rFonts w:eastAsia="宋体" w:cs="Times New Roman" w:hint="eastAsia"/>
          <w:sz w:val="24"/>
          <w:szCs w:val="24"/>
          <w:vertAlign w:val="superscript"/>
        </w:rPr>
        <w:footnoteReference w:id="25"/>
      </w:r>
      <w:r>
        <w:rPr>
          <w:rFonts w:eastAsia="宋体" w:cs="Times New Roman" w:hint="eastAsia"/>
          <w:sz w:val="24"/>
          <w:szCs w:val="24"/>
          <w:vertAlign w:val="superscript"/>
        </w:rPr>
        <w:t>]</w:t>
      </w:r>
      <w:r>
        <w:rPr>
          <w:rFonts w:eastAsia="宋体" w:cs="Times New Roman" w:hint="eastAsia"/>
          <w:sz w:val="24"/>
          <w:szCs w:val="24"/>
        </w:rPr>
        <w:t>，预计</w:t>
      </w:r>
      <w:r>
        <w:rPr>
          <w:rFonts w:eastAsia="宋体" w:cs="Times New Roman" w:hint="eastAsia"/>
          <w:sz w:val="24"/>
          <w:szCs w:val="24"/>
        </w:rPr>
        <w:t>2021</w:t>
      </w:r>
      <w:r>
        <w:rPr>
          <w:rFonts w:eastAsia="宋体" w:cs="Times New Roman" w:hint="eastAsia"/>
          <w:sz w:val="24"/>
          <w:szCs w:val="24"/>
        </w:rPr>
        <w:t>年美国经济增长率将达到</w:t>
      </w:r>
      <w:r>
        <w:rPr>
          <w:rFonts w:eastAsia="宋体" w:cs="Times New Roman" w:hint="eastAsia"/>
          <w:sz w:val="24"/>
          <w:szCs w:val="24"/>
        </w:rPr>
        <w:t>6.0%</w:t>
      </w:r>
      <w:r>
        <w:rPr>
          <w:rFonts w:eastAsia="宋体" w:cs="Times New Roman" w:hint="eastAsia"/>
          <w:sz w:val="24"/>
          <w:szCs w:val="24"/>
        </w:rPr>
        <w:t>，高于欧元区（</w:t>
      </w:r>
      <w:r>
        <w:rPr>
          <w:rFonts w:eastAsia="宋体" w:cs="Times New Roman" w:hint="eastAsia"/>
          <w:sz w:val="24"/>
          <w:szCs w:val="24"/>
        </w:rPr>
        <w:t>5.3%</w:t>
      </w:r>
      <w:r>
        <w:rPr>
          <w:rFonts w:eastAsia="宋体" w:cs="Times New Roman" w:hint="eastAsia"/>
          <w:sz w:val="24"/>
          <w:szCs w:val="24"/>
        </w:rPr>
        <w:t>）和全球平均水平（</w:t>
      </w:r>
      <w:r>
        <w:rPr>
          <w:rFonts w:eastAsia="宋体" w:cs="Times New Roman" w:hint="eastAsia"/>
          <w:sz w:val="24"/>
          <w:szCs w:val="24"/>
        </w:rPr>
        <w:t>5.7%</w:t>
      </w:r>
      <w:r>
        <w:rPr>
          <w:rFonts w:eastAsia="宋体" w:cs="Times New Roman" w:hint="eastAsia"/>
          <w:sz w:val="24"/>
          <w:szCs w:val="24"/>
        </w:rPr>
        <w:t>），</w:t>
      </w:r>
      <w:r>
        <w:rPr>
          <w:rFonts w:eastAsia="宋体" w:cs="Times New Roman" w:hint="eastAsia"/>
          <w:sz w:val="24"/>
          <w:szCs w:val="24"/>
        </w:rPr>
        <w:t>2022</w:t>
      </w:r>
      <w:r>
        <w:rPr>
          <w:rFonts w:eastAsia="宋体" w:cs="Times New Roman" w:hint="eastAsia"/>
          <w:sz w:val="24"/>
          <w:szCs w:val="24"/>
        </w:rPr>
        <w:t>年预计将达到</w:t>
      </w:r>
      <w:r>
        <w:rPr>
          <w:rFonts w:eastAsia="宋体" w:cs="Times New Roman" w:hint="eastAsia"/>
          <w:sz w:val="24"/>
          <w:szCs w:val="24"/>
        </w:rPr>
        <w:t>3.9%</w:t>
      </w:r>
      <w:r>
        <w:rPr>
          <w:rFonts w:eastAsia="宋体" w:cs="Times New Roman" w:hint="eastAsia"/>
          <w:sz w:val="24"/>
          <w:szCs w:val="24"/>
        </w:rPr>
        <w:t>，高于疫情前</w:t>
      </w:r>
      <w:r>
        <w:rPr>
          <w:rFonts w:eastAsia="宋体" w:cs="Times New Roman" w:hint="eastAsia"/>
          <w:sz w:val="24"/>
          <w:szCs w:val="24"/>
        </w:rPr>
        <w:t>2019</w:t>
      </w:r>
      <w:r>
        <w:rPr>
          <w:rFonts w:eastAsia="宋体" w:cs="Times New Roman" w:hint="eastAsia"/>
          <w:sz w:val="24"/>
          <w:szCs w:val="24"/>
        </w:rPr>
        <w:t>年</w:t>
      </w:r>
      <w:r>
        <w:rPr>
          <w:rFonts w:eastAsia="宋体" w:cs="Times New Roman" w:hint="eastAsia"/>
          <w:sz w:val="24"/>
          <w:szCs w:val="24"/>
        </w:rPr>
        <w:t>2.3%</w:t>
      </w:r>
      <w:r>
        <w:rPr>
          <w:rFonts w:eastAsia="宋体" w:cs="Times New Roman" w:hint="eastAsia"/>
          <w:sz w:val="24"/>
          <w:szCs w:val="24"/>
        </w:rPr>
        <w:t>的经济增速。为了加速提振经济，</w:t>
      </w:r>
      <w:r>
        <w:rPr>
          <w:rFonts w:eastAsia="宋体" w:cs="Times New Roman" w:hint="eastAsia"/>
          <w:sz w:val="24"/>
          <w:szCs w:val="24"/>
        </w:rPr>
        <w:t>2021</w:t>
      </w:r>
      <w:r>
        <w:rPr>
          <w:rFonts w:eastAsia="宋体" w:cs="Times New Roman" w:hint="eastAsia"/>
          <w:sz w:val="24"/>
          <w:szCs w:val="24"/>
        </w:rPr>
        <w:t>年</w:t>
      </w:r>
      <w:r>
        <w:rPr>
          <w:rFonts w:eastAsia="宋体" w:cs="Times New Roman" w:hint="eastAsia"/>
          <w:sz w:val="24"/>
          <w:szCs w:val="24"/>
        </w:rPr>
        <w:t>3</w:t>
      </w:r>
      <w:r>
        <w:rPr>
          <w:rFonts w:eastAsia="宋体" w:cs="Times New Roman" w:hint="eastAsia"/>
          <w:sz w:val="24"/>
          <w:szCs w:val="24"/>
        </w:rPr>
        <w:t>月底，拜登政府宣布了高达</w:t>
      </w:r>
      <w:r>
        <w:rPr>
          <w:rFonts w:eastAsia="宋体" w:cs="Times New Roman" w:hint="eastAsia"/>
          <w:sz w:val="24"/>
          <w:szCs w:val="24"/>
        </w:rPr>
        <w:t>2.34</w:t>
      </w:r>
      <w:r>
        <w:rPr>
          <w:rFonts w:eastAsia="宋体" w:cs="Times New Roman" w:hint="eastAsia"/>
          <w:sz w:val="24"/>
          <w:szCs w:val="24"/>
        </w:rPr>
        <w:t>万亿美元的新一轮财政刺激计划，包含基建和加税两部分，其中，基建计划主要涵盖传统基建、新能源基建和医疗护理基建三部分，占比分别为</w:t>
      </w:r>
      <w:r>
        <w:rPr>
          <w:rFonts w:eastAsia="宋体" w:cs="Times New Roman" w:hint="eastAsia"/>
          <w:sz w:val="24"/>
          <w:szCs w:val="24"/>
        </w:rPr>
        <w:t>37%</w:t>
      </w:r>
      <w:r>
        <w:rPr>
          <w:rFonts w:eastAsia="宋体" w:cs="Times New Roman" w:hint="eastAsia"/>
          <w:sz w:val="24"/>
          <w:szCs w:val="24"/>
        </w:rPr>
        <w:t>、</w:t>
      </w:r>
      <w:r>
        <w:rPr>
          <w:rFonts w:eastAsia="宋体" w:cs="Times New Roman" w:hint="eastAsia"/>
          <w:sz w:val="24"/>
          <w:szCs w:val="24"/>
        </w:rPr>
        <w:t>25%</w:t>
      </w:r>
      <w:r>
        <w:rPr>
          <w:rFonts w:eastAsia="宋体" w:cs="Times New Roman" w:hint="eastAsia"/>
          <w:sz w:val="24"/>
          <w:szCs w:val="24"/>
        </w:rPr>
        <w:t>和</w:t>
      </w:r>
      <w:r>
        <w:rPr>
          <w:rFonts w:eastAsia="宋体" w:cs="Times New Roman" w:hint="eastAsia"/>
          <w:sz w:val="24"/>
          <w:szCs w:val="24"/>
        </w:rPr>
        <w:t>17%</w:t>
      </w:r>
      <w:r>
        <w:rPr>
          <w:rFonts w:eastAsia="宋体" w:cs="Times New Roman" w:hint="eastAsia"/>
          <w:sz w:val="24"/>
          <w:szCs w:val="24"/>
        </w:rPr>
        <w:t>；企业加税计划则将把企业所得税提高至</w:t>
      </w:r>
      <w:r>
        <w:rPr>
          <w:rFonts w:eastAsia="宋体" w:cs="Times New Roman" w:hint="eastAsia"/>
          <w:sz w:val="24"/>
          <w:szCs w:val="24"/>
        </w:rPr>
        <w:t>28%</w:t>
      </w:r>
      <w:r>
        <w:rPr>
          <w:rFonts w:eastAsia="宋体" w:cs="Times New Roman" w:hint="eastAsia"/>
          <w:sz w:val="24"/>
          <w:szCs w:val="24"/>
        </w:rPr>
        <w:t>，而前任特朗普政府曾将这一比例从</w:t>
      </w:r>
      <w:r>
        <w:rPr>
          <w:rFonts w:eastAsia="宋体" w:cs="Times New Roman" w:hint="eastAsia"/>
          <w:sz w:val="24"/>
          <w:szCs w:val="24"/>
        </w:rPr>
        <w:t>35%</w:t>
      </w:r>
      <w:r>
        <w:rPr>
          <w:rFonts w:eastAsia="宋体" w:cs="Times New Roman" w:hint="eastAsia"/>
          <w:sz w:val="24"/>
          <w:szCs w:val="24"/>
        </w:rPr>
        <w:t>降至</w:t>
      </w:r>
      <w:r>
        <w:rPr>
          <w:rFonts w:eastAsia="宋体" w:cs="Times New Roman" w:hint="eastAsia"/>
          <w:sz w:val="24"/>
          <w:szCs w:val="24"/>
        </w:rPr>
        <w:t>21%</w:t>
      </w:r>
      <w:r>
        <w:rPr>
          <w:rFonts w:eastAsia="宋体" w:cs="Times New Roman" w:hint="eastAsia"/>
          <w:sz w:val="24"/>
          <w:szCs w:val="24"/>
        </w:rPr>
        <w:t>。从外资流入情况来看，疫情暴发前，美国一直是全球最大的外资流入国，每年吸引的</w:t>
      </w:r>
      <w:r>
        <w:rPr>
          <w:rFonts w:eastAsia="宋体" w:cs="Times New Roman" w:hint="eastAsia"/>
          <w:sz w:val="24"/>
          <w:szCs w:val="24"/>
        </w:rPr>
        <w:t>FDI</w:t>
      </w:r>
      <w:r>
        <w:rPr>
          <w:rFonts w:eastAsia="宋体" w:cs="Times New Roman" w:hint="eastAsia"/>
          <w:sz w:val="24"/>
          <w:szCs w:val="24"/>
        </w:rPr>
        <w:t>占全球</w:t>
      </w:r>
      <w:r>
        <w:rPr>
          <w:rFonts w:eastAsia="宋体" w:cs="Times New Roman" w:hint="eastAsia"/>
          <w:sz w:val="24"/>
          <w:szCs w:val="24"/>
        </w:rPr>
        <w:t>FDI</w:t>
      </w:r>
      <w:r>
        <w:rPr>
          <w:rFonts w:eastAsia="宋体" w:cs="Times New Roman" w:hint="eastAsia"/>
          <w:sz w:val="24"/>
          <w:szCs w:val="24"/>
        </w:rPr>
        <w:t>总量的近五分之一。</w:t>
      </w:r>
      <w:r>
        <w:rPr>
          <w:rFonts w:eastAsia="宋体" w:cs="Times New Roman" w:hint="eastAsia"/>
          <w:sz w:val="24"/>
          <w:szCs w:val="24"/>
        </w:rPr>
        <w:t>2020</w:t>
      </w:r>
      <w:r>
        <w:rPr>
          <w:rFonts w:eastAsia="宋体" w:cs="Times New Roman" w:hint="eastAsia"/>
          <w:sz w:val="24"/>
          <w:szCs w:val="24"/>
        </w:rPr>
        <w:t>年，美国接受的</w:t>
      </w:r>
      <w:r>
        <w:rPr>
          <w:rFonts w:eastAsia="宋体" w:cs="Times New Roman" w:hint="eastAsia"/>
          <w:sz w:val="24"/>
          <w:szCs w:val="24"/>
        </w:rPr>
        <w:t>FDI</w:t>
      </w:r>
      <w:r>
        <w:rPr>
          <w:rFonts w:eastAsia="宋体" w:cs="Times New Roman" w:hint="eastAsia"/>
          <w:sz w:val="24"/>
          <w:szCs w:val="24"/>
        </w:rPr>
        <w:t>流量约为</w:t>
      </w:r>
      <w:r>
        <w:rPr>
          <w:rFonts w:eastAsia="宋体" w:cs="Times New Roman" w:hint="eastAsia"/>
          <w:sz w:val="24"/>
          <w:szCs w:val="24"/>
        </w:rPr>
        <w:t>1340</w:t>
      </w:r>
      <w:r>
        <w:rPr>
          <w:rFonts w:eastAsia="宋体" w:cs="Times New Roman" w:hint="eastAsia"/>
          <w:sz w:val="24"/>
          <w:szCs w:val="24"/>
        </w:rPr>
        <w:t>亿美元，较前一年的</w:t>
      </w:r>
      <w:r>
        <w:rPr>
          <w:rFonts w:eastAsia="宋体" w:cs="Times New Roman" w:hint="eastAsia"/>
          <w:sz w:val="24"/>
          <w:szCs w:val="24"/>
        </w:rPr>
        <w:t>2460</w:t>
      </w:r>
      <w:r>
        <w:rPr>
          <w:rFonts w:eastAsia="宋体" w:cs="Times New Roman" w:hint="eastAsia"/>
          <w:sz w:val="24"/>
          <w:szCs w:val="24"/>
        </w:rPr>
        <w:t>亿美元缩水近一半</w:t>
      </w:r>
      <w:r>
        <w:rPr>
          <w:rFonts w:eastAsia="宋体" w:cs="Times New Roman" w:hint="eastAsia"/>
          <w:sz w:val="24"/>
          <w:szCs w:val="24"/>
          <w:vertAlign w:val="superscript"/>
        </w:rPr>
        <w:t>[</w:t>
      </w:r>
      <w:r>
        <w:rPr>
          <w:rFonts w:eastAsia="宋体" w:cs="Times New Roman" w:hint="eastAsia"/>
          <w:sz w:val="24"/>
          <w:szCs w:val="24"/>
          <w:vertAlign w:val="superscript"/>
        </w:rPr>
        <w:footnoteReference w:id="26"/>
      </w:r>
      <w:r>
        <w:rPr>
          <w:rFonts w:eastAsia="宋体" w:cs="Times New Roman" w:hint="eastAsia"/>
          <w:sz w:val="24"/>
          <w:szCs w:val="24"/>
          <w:vertAlign w:val="superscript"/>
        </w:rPr>
        <w:t>]</w:t>
      </w:r>
      <w:r>
        <w:rPr>
          <w:rFonts w:eastAsia="宋体" w:cs="Times New Roman" w:hint="eastAsia"/>
          <w:sz w:val="24"/>
          <w:szCs w:val="24"/>
        </w:rPr>
        <w:t>。但是，作为全球最大的发达经济体，面对巨大的财政刺激规模和市场体量，使美国依然成为全球对外资最有吸引力的市场之一。</w:t>
      </w:r>
    </w:p>
    <w:p w14:paraId="09743EDE" w14:textId="77777777" w:rsidR="006B10D9" w:rsidRDefault="00BE6472">
      <w:pPr>
        <w:spacing w:line="360" w:lineRule="auto"/>
        <w:ind w:firstLineChars="0" w:firstLine="0"/>
        <w:jc w:val="center"/>
        <w:rPr>
          <w:rFonts w:eastAsia="宋体" w:cs="Times New Roman"/>
          <w:sz w:val="28"/>
        </w:rPr>
      </w:pPr>
      <w:r>
        <w:rPr>
          <w:rFonts w:eastAsia="宋体" w:cs="Times New Roman" w:hint="eastAsia"/>
          <w:noProof/>
          <w:sz w:val="28"/>
        </w:rPr>
        <w:drawing>
          <wp:inline distT="0" distB="0" distL="114300" distR="114300" wp14:anchorId="356C7557" wp14:editId="1CDE5E01">
            <wp:extent cx="5096510" cy="3171825"/>
            <wp:effectExtent l="0" t="0" r="8890" b="0"/>
            <wp:docPr id="73" name="图片 73" descr="c90dad1945f7775e29ee897485cd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90dad1945f7775e29ee897485cd974"/>
                    <pic:cNvPicPr>
                      <a:picLocks noChangeAspect="1"/>
                    </pic:cNvPicPr>
                  </pic:nvPicPr>
                  <pic:blipFill>
                    <a:blip r:embed="rId30"/>
                    <a:stretch>
                      <a:fillRect/>
                    </a:stretch>
                  </pic:blipFill>
                  <pic:spPr>
                    <a:xfrm>
                      <a:off x="0" y="0"/>
                      <a:ext cx="5125113" cy="3189385"/>
                    </a:xfrm>
                    <a:prstGeom prst="rect">
                      <a:avLst/>
                    </a:prstGeom>
                  </pic:spPr>
                </pic:pic>
              </a:graphicData>
            </a:graphic>
          </wp:inline>
        </w:drawing>
      </w:r>
    </w:p>
    <w:p w14:paraId="4B9C7EA6" w14:textId="77777777" w:rsidR="006B10D9" w:rsidRDefault="00BE6472">
      <w:pPr>
        <w:pStyle w:val="affb"/>
      </w:pPr>
      <w:r>
        <w:rPr>
          <w:rFonts w:hint="eastAsia"/>
        </w:rPr>
        <w:t>图</w:t>
      </w:r>
      <w:r>
        <w:rPr>
          <w:rFonts w:hint="eastAsia"/>
        </w:rPr>
        <w:t>14  2014-2019</w:t>
      </w:r>
      <w:r>
        <w:rPr>
          <w:rFonts w:hint="eastAsia"/>
        </w:rPr>
        <w:t>年美国</w:t>
      </w:r>
      <w:r>
        <w:rPr>
          <w:rFonts w:hint="eastAsia"/>
        </w:rPr>
        <w:t>FDI</w:t>
      </w:r>
      <w:r>
        <w:rPr>
          <w:rFonts w:hint="eastAsia"/>
        </w:rPr>
        <w:t>流入和流出情况</w:t>
      </w:r>
    </w:p>
    <w:p w14:paraId="4DB38264" w14:textId="77777777" w:rsidR="006B10D9" w:rsidRDefault="00BE6472">
      <w:pPr>
        <w:pStyle w:val="afffd"/>
      </w:pPr>
      <w:r>
        <w:rPr>
          <w:rFonts w:hint="eastAsia"/>
        </w:rPr>
        <w:t>资料来源：联合国贸发会议，</w:t>
      </w:r>
      <w:r>
        <w:rPr>
          <w:rFonts w:hint="eastAsia"/>
        </w:rPr>
        <w:t>2020</w:t>
      </w:r>
      <w:r>
        <w:rPr>
          <w:rFonts w:hint="eastAsia"/>
        </w:rPr>
        <w:t>年世界投资报告</w:t>
      </w:r>
    </w:p>
    <w:p w14:paraId="7A9E193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2</w:t>
      </w:r>
      <w:r>
        <w:rPr>
          <w:rFonts w:eastAsia="宋体" w:cs="Times New Roman" w:hint="eastAsia"/>
          <w:sz w:val="24"/>
          <w:szCs w:val="24"/>
        </w:rPr>
        <w:t>）中美关系回暖前景可期</w:t>
      </w:r>
    </w:p>
    <w:p w14:paraId="1E3AE3A6"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自</w:t>
      </w:r>
      <w:r>
        <w:rPr>
          <w:rFonts w:eastAsia="宋体" w:cs="Times New Roman" w:hint="eastAsia"/>
          <w:sz w:val="24"/>
          <w:szCs w:val="24"/>
        </w:rPr>
        <w:t>2018</w:t>
      </w:r>
      <w:r>
        <w:rPr>
          <w:rFonts w:eastAsia="宋体" w:cs="Times New Roman" w:hint="eastAsia"/>
          <w:sz w:val="24"/>
          <w:szCs w:val="24"/>
        </w:rPr>
        <w:t>年特朗普政府挑起中美贸易争端，意图以高关税打压中国出口贸易，但从实际效果来看，</w:t>
      </w:r>
      <w:r>
        <w:rPr>
          <w:rFonts w:eastAsia="宋体" w:cs="Times New Roman" w:hint="eastAsia"/>
          <w:sz w:val="24"/>
          <w:szCs w:val="24"/>
        </w:rPr>
        <w:t>2018-2020</w:t>
      </w:r>
      <w:r>
        <w:rPr>
          <w:rFonts w:eastAsia="宋体" w:cs="Times New Roman" w:hint="eastAsia"/>
          <w:sz w:val="24"/>
          <w:szCs w:val="24"/>
        </w:rPr>
        <w:t>年，美国对华贸易逆差不仅未能缩减，规模还有所扩大。其中，</w:t>
      </w:r>
      <w:r>
        <w:rPr>
          <w:rFonts w:eastAsia="宋体" w:cs="Times New Roman" w:hint="eastAsia"/>
          <w:sz w:val="24"/>
          <w:szCs w:val="24"/>
        </w:rPr>
        <w:t>2020</w:t>
      </w:r>
      <w:r>
        <w:rPr>
          <w:rFonts w:eastAsia="宋体" w:cs="Times New Roman" w:hint="eastAsia"/>
          <w:sz w:val="24"/>
          <w:szCs w:val="24"/>
        </w:rPr>
        <w:t>年中美双边货物贸易总额约为</w:t>
      </w:r>
      <w:r>
        <w:rPr>
          <w:rFonts w:eastAsia="宋体" w:cs="Times New Roman" w:hint="eastAsia"/>
          <w:sz w:val="24"/>
          <w:szCs w:val="24"/>
        </w:rPr>
        <w:t>4.06</w:t>
      </w:r>
      <w:r>
        <w:rPr>
          <w:rFonts w:eastAsia="宋体" w:cs="Times New Roman" w:hint="eastAsia"/>
          <w:sz w:val="24"/>
          <w:szCs w:val="24"/>
        </w:rPr>
        <w:t>万亿元，同比增长</w:t>
      </w:r>
      <w:r>
        <w:rPr>
          <w:rFonts w:eastAsia="宋体" w:cs="Times New Roman" w:hint="eastAsia"/>
          <w:sz w:val="24"/>
          <w:szCs w:val="24"/>
        </w:rPr>
        <w:t>8.8%</w:t>
      </w:r>
      <w:r>
        <w:rPr>
          <w:rFonts w:eastAsia="宋体" w:cs="Times New Roman" w:hint="eastAsia"/>
          <w:sz w:val="24"/>
          <w:szCs w:val="24"/>
        </w:rPr>
        <w:t>；同年，中国前三大贸易伙伴分别为为东盟、欧盟和美国，美中贸易额占中国外贸总额的比重为</w:t>
      </w:r>
      <w:r>
        <w:rPr>
          <w:rFonts w:eastAsia="宋体" w:cs="Times New Roman" w:hint="eastAsia"/>
          <w:sz w:val="24"/>
          <w:szCs w:val="24"/>
        </w:rPr>
        <w:t>12.6%</w:t>
      </w:r>
      <w:r>
        <w:rPr>
          <w:rFonts w:eastAsia="宋体" w:cs="Times New Roman" w:hint="eastAsia"/>
          <w:sz w:val="24"/>
          <w:szCs w:val="24"/>
        </w:rPr>
        <w:t>，而中国凭借农产品和石油贸易超过欧盟，跃升为美国第一大贸易伙伴。拜登政府上台后，尽管将中国视为主要战略竞争对手已经成为美国朝野共识，但相较前任总统特朗普激进且难以预测的政策选择，拜登团队在对华问题上显然更为务实、理性，既要在经济、科技等核心利益上向中国“强硬施压”，与中国开展全方位激烈竞争，也要在诸如全球抗疫、气候变化等共同关切上争取中国的“务实合作”。可以预见，中美双方将在拜登政府施压、竞争、合作的总体基调下，经历一段较长时间以及一定程度上的试探、接触和磨合期。从双方经贸投资趋势来看，预计中美贸易战重燃甚至战火更旺的局面出现概率较小，但是美国仍将延续、甚至进一步强化对中国企业赴美投资的高压审查方式。例如，美国联邦通信委员会（</w:t>
      </w:r>
      <w:r>
        <w:rPr>
          <w:rFonts w:eastAsia="宋体" w:cs="Times New Roman" w:hint="eastAsia"/>
          <w:sz w:val="24"/>
          <w:szCs w:val="24"/>
        </w:rPr>
        <w:t>FCC</w:t>
      </w:r>
      <w:r>
        <w:rPr>
          <w:rFonts w:eastAsia="宋体" w:cs="Times New Roman" w:hint="eastAsia"/>
          <w:sz w:val="24"/>
          <w:szCs w:val="24"/>
        </w:rPr>
        <w:t>）继</w:t>
      </w:r>
      <w:r>
        <w:rPr>
          <w:rFonts w:eastAsia="宋体" w:cs="Times New Roman" w:hint="eastAsia"/>
          <w:sz w:val="24"/>
          <w:szCs w:val="24"/>
        </w:rPr>
        <w:t>2020</w:t>
      </w:r>
      <w:r>
        <w:rPr>
          <w:rFonts w:eastAsia="宋体" w:cs="Times New Roman" w:hint="eastAsia"/>
          <w:sz w:val="24"/>
          <w:szCs w:val="24"/>
        </w:rPr>
        <w:t>年底强制要求美国运营商拆除华为及中兴通讯现有设备后，认定华为、中兴通讯、海能达、海康威视、大华科技五家中国企业生产的部分通讯设备和服务，将对美国国家安全和公民个人隐私带来“不可接受的风险”，并要求在美国境内将其拆除。</w:t>
      </w:r>
    </w:p>
    <w:p w14:paraId="543C0A7B"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）绿地投资有望再获青睐</w:t>
      </w:r>
    </w:p>
    <w:p w14:paraId="1E6AECD9"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从投资模式上看，中国对美直接投资以跨国并购和绿地投资为主。对于大额投资项目，中国企业主要通过收购或兼并现有企业和资产得以进入美国市场，如</w:t>
      </w:r>
      <w:r>
        <w:rPr>
          <w:rFonts w:eastAsia="宋体" w:cs="Times New Roman" w:hint="eastAsia"/>
          <w:sz w:val="24"/>
          <w:szCs w:val="24"/>
        </w:rPr>
        <w:t>2010-2018</w:t>
      </w:r>
      <w:r>
        <w:rPr>
          <w:rFonts w:eastAsia="宋体" w:cs="Times New Roman" w:hint="eastAsia"/>
          <w:sz w:val="24"/>
          <w:szCs w:val="24"/>
        </w:rPr>
        <w:t>年间，中国对美直接投资总额约为</w:t>
      </w:r>
      <w:r>
        <w:rPr>
          <w:rFonts w:eastAsia="宋体" w:cs="Times New Roman" w:hint="eastAsia"/>
          <w:sz w:val="24"/>
          <w:szCs w:val="24"/>
        </w:rPr>
        <w:t>1406</w:t>
      </w:r>
      <w:r>
        <w:rPr>
          <w:rFonts w:eastAsia="宋体" w:cs="Times New Roman" w:hint="eastAsia"/>
          <w:sz w:val="24"/>
          <w:szCs w:val="24"/>
        </w:rPr>
        <w:t>亿美元，其中，跨国并购额约为</w:t>
      </w:r>
      <w:r>
        <w:rPr>
          <w:rFonts w:eastAsia="宋体" w:cs="Times New Roman" w:hint="eastAsia"/>
          <w:sz w:val="24"/>
          <w:szCs w:val="24"/>
        </w:rPr>
        <w:t>1308</w:t>
      </w:r>
      <w:r>
        <w:rPr>
          <w:rFonts w:eastAsia="宋体" w:cs="Times New Roman" w:hint="eastAsia"/>
          <w:sz w:val="24"/>
          <w:szCs w:val="24"/>
        </w:rPr>
        <w:t>亿美元，占比高达</w:t>
      </w:r>
      <w:r>
        <w:rPr>
          <w:rFonts w:eastAsia="宋体" w:cs="Times New Roman" w:hint="eastAsia"/>
          <w:sz w:val="24"/>
          <w:szCs w:val="24"/>
        </w:rPr>
        <w:t>93%</w:t>
      </w:r>
      <w:r>
        <w:rPr>
          <w:rFonts w:eastAsia="宋体" w:cs="Times New Roman" w:hint="eastAsia"/>
          <w:sz w:val="24"/>
          <w:szCs w:val="24"/>
        </w:rPr>
        <w:t>。相比之下，虽然绿地投资的交易数量多，但由于普遍投资规模较小，在对美直接投资总量中占比较低，同期投资总量仅为</w:t>
      </w:r>
      <w:r>
        <w:rPr>
          <w:rFonts w:eastAsia="宋体" w:cs="Times New Roman" w:hint="eastAsia"/>
          <w:sz w:val="24"/>
          <w:szCs w:val="24"/>
        </w:rPr>
        <w:t>98</w:t>
      </w:r>
      <w:r>
        <w:rPr>
          <w:rFonts w:eastAsia="宋体" w:cs="Times New Roman" w:hint="eastAsia"/>
          <w:sz w:val="24"/>
          <w:szCs w:val="24"/>
        </w:rPr>
        <w:t>亿美元。但随着美国政府不断加大对中国企业赴美并购的审查力度，从</w:t>
      </w:r>
      <w:r>
        <w:rPr>
          <w:rFonts w:eastAsia="宋体" w:cs="Times New Roman" w:hint="eastAsia"/>
          <w:sz w:val="24"/>
          <w:szCs w:val="24"/>
        </w:rPr>
        <w:t>2017</w:t>
      </w:r>
      <w:r>
        <w:rPr>
          <w:rFonts w:eastAsia="宋体" w:cs="Times New Roman" w:hint="eastAsia"/>
          <w:sz w:val="24"/>
          <w:szCs w:val="24"/>
        </w:rPr>
        <w:t>年开始，中国对美投资中跨国并购的降幅远超绿地投资。可以预见，虽然美国主流行业和协会多次对美国政府实施的对华高关税政策表示不满，但正如美国贸易代表凯瑟琳·泰所说，“没有一个谈判者会放弃谈判筹码”，因此，拜登政府不会轻易或在短期内取消关税。中国企业如希望绕过关税壁垒投资于美国制造业，必将会带动对美绿地投资的反弹。</w:t>
      </w:r>
    </w:p>
    <w:p w14:paraId="070D0459" w14:textId="77777777" w:rsidR="006B10D9" w:rsidRDefault="00BE6472">
      <w:pPr>
        <w:pStyle w:val="4"/>
      </w:pPr>
      <w:bookmarkStart w:id="79" w:name="_Toc20148"/>
      <w:r>
        <w:rPr>
          <w:rFonts w:hint="eastAsia"/>
        </w:rPr>
        <w:t>4</w:t>
      </w:r>
      <w:r>
        <w:rPr>
          <w:rFonts w:cs="华文楷体" w:hint="eastAsia"/>
        </w:rPr>
        <w:t>.</w:t>
      </w:r>
      <w:r>
        <w:rPr>
          <w:rFonts w:hint="eastAsia"/>
        </w:rPr>
        <w:t>促进中资企业对美投资策略重点</w:t>
      </w:r>
      <w:bookmarkEnd w:id="79"/>
    </w:p>
    <w:p w14:paraId="196C70B3"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1</w:t>
      </w:r>
      <w:r>
        <w:rPr>
          <w:rFonts w:eastAsia="宋体" w:cs="Times New Roman" w:hint="eastAsia"/>
          <w:sz w:val="24"/>
          <w:szCs w:val="24"/>
        </w:rPr>
        <w:t>）推动双边投资协定谈判</w:t>
      </w:r>
    </w:p>
    <w:p w14:paraId="702C3680"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自特朗普政府上任以来，中美双边投资协定谈判（简称“</w:t>
      </w:r>
      <w:r>
        <w:rPr>
          <w:rFonts w:eastAsia="宋体" w:cs="Times New Roman" w:hint="eastAsia"/>
          <w:sz w:val="24"/>
          <w:szCs w:val="24"/>
        </w:rPr>
        <w:t>BIT</w:t>
      </w:r>
      <w:r>
        <w:rPr>
          <w:rFonts w:eastAsia="宋体" w:cs="Times New Roman" w:hint="eastAsia"/>
          <w:sz w:val="24"/>
          <w:szCs w:val="24"/>
        </w:rPr>
        <w:t>”）一直停滞不前，双方宣称在有关国有企业、投资和与东道国争端解决机制（</w:t>
      </w:r>
      <w:r>
        <w:rPr>
          <w:rFonts w:eastAsia="宋体" w:cs="Times New Roman" w:hint="eastAsia"/>
          <w:sz w:val="24"/>
          <w:szCs w:val="24"/>
        </w:rPr>
        <w:t>ISDS</w:t>
      </w:r>
      <w:r>
        <w:rPr>
          <w:rFonts w:eastAsia="宋体" w:cs="Times New Roman" w:hint="eastAsia"/>
          <w:sz w:val="24"/>
          <w:szCs w:val="24"/>
        </w:rPr>
        <w:t>）、知识产权保护等方面存在较大分歧。尽管中美贸易摩擦在短时期内尚未展现和解意向，但从长远和共同经济利益的考量出发，在拜登政府任内重启</w:t>
      </w:r>
      <w:r>
        <w:rPr>
          <w:rFonts w:eastAsia="宋体" w:cs="Times New Roman" w:hint="eastAsia"/>
          <w:sz w:val="24"/>
          <w:szCs w:val="24"/>
        </w:rPr>
        <w:t>BIT</w:t>
      </w:r>
      <w:r>
        <w:rPr>
          <w:rFonts w:eastAsia="宋体" w:cs="Times New Roman" w:hint="eastAsia"/>
          <w:sz w:val="24"/>
          <w:szCs w:val="24"/>
        </w:rPr>
        <w:t>谈判的可能性依然存在。当前，虽然中欧投资协定审议遭遇重大挫折，但最终获得通过的可能性依然存在较大概率。因此，为了保护我在美投资者的经济利益，应考虑继续推进中美投资协定谈判，在磋商中要求美方明确“国家安全”的内涵外延，对有可能危及国家安全的情形进行列举和说明。中国政府应协同各方利益集团，抓住适当机遇推动谈判重启，通过建立新的双边投资规则，为我国企业在美投资营造良好投资和舆论环境。</w:t>
      </w:r>
    </w:p>
    <w:p w14:paraId="6B33C488"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）适时采取审查反制措施</w:t>
      </w:r>
    </w:p>
    <w:p w14:paraId="3C07954F" w14:textId="77777777" w:rsidR="006B10D9" w:rsidRDefault="00BE6472">
      <w:pPr>
        <w:spacing w:line="360" w:lineRule="auto"/>
        <w:ind w:firstLineChars="0"/>
        <w:rPr>
          <w:rFonts w:eastAsia="宋体" w:cs="Times New Roman"/>
          <w:sz w:val="24"/>
          <w:szCs w:val="24"/>
        </w:rPr>
      </w:pPr>
      <w:r>
        <w:rPr>
          <w:rFonts w:eastAsia="宋体" w:cs="Times New Roman" w:hint="eastAsia"/>
          <w:sz w:val="24"/>
          <w:szCs w:val="24"/>
        </w:rPr>
        <w:t>长期以来，与美国自成体系且日臻严密的国家安全审查制度相比，我国仍缺乏健全的国家安全审查法律法规体系。特别是在中国企业受到美审查机构的不公平对待时，我国难以采取对等的反制措施。</w:t>
      </w:r>
      <w:r>
        <w:rPr>
          <w:rFonts w:eastAsia="宋体" w:cs="Times New Roman" w:hint="eastAsia"/>
          <w:sz w:val="24"/>
          <w:szCs w:val="24"/>
        </w:rPr>
        <w:t>2020</w:t>
      </w:r>
      <w:r>
        <w:rPr>
          <w:rFonts w:eastAsia="宋体" w:cs="Times New Roman" w:hint="eastAsia"/>
          <w:sz w:val="24"/>
          <w:szCs w:val="24"/>
        </w:rPr>
        <w:t>年底，国家发改委、商务部联合发布了《外商投资安全审查办法》，该法案以《外商投资法》《国家安全法》为主要法律依据，对外商投资安全审查机构的设置、审查范围、申报机制等做出了较为全面系统的规定，填补了我国在该领域的实操空白。在此基础上，应进一步完善在外资国家安全审查方面的法律体系，从法律层面明确审查机构的职能权限，推动在部分地区开展先行先试，统筹协调保护国家安全和促进外商投资的关系。</w:t>
      </w:r>
    </w:p>
    <w:p w14:paraId="09F7D3F1"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）加强企业层面风险评估</w:t>
      </w:r>
    </w:p>
    <w:p w14:paraId="038A68AC" w14:textId="77777777" w:rsidR="006B10D9" w:rsidRDefault="00BE6472">
      <w:pPr>
        <w:spacing w:line="360" w:lineRule="auto"/>
        <w:ind w:firstLineChars="0"/>
        <w:rPr>
          <w:rFonts w:eastAsia="宋体" w:cs="Times New Roman"/>
          <w:sz w:val="24"/>
          <w:szCs w:val="24"/>
        </w:rPr>
      </w:pPr>
      <w:r>
        <w:rPr>
          <w:rFonts w:eastAsia="宋体" w:cs="Times New Roman" w:hint="eastAsia"/>
          <w:sz w:val="24"/>
          <w:szCs w:val="24"/>
        </w:rPr>
        <w:t>对美投资企业应高度重视投资中潜在的法律风险和监管风险，并以此重新审查企业自身的合规性。对于赴美投资企业，特别是国有企业，要根据企业性质做好投资前的充分评估，做好应对美国国家安全审查的多手准备。同时，在并购项目选择上，要尽量避开所谓安全审查和敏感行业的“红线”，提前将一些可能涉及敏感业务和技术的部分进行剥离。如确需投资如能源、航空航天、新材料等高度敏感和关键行业，需要对可能面临的潜在风险调查做好充足预案和法律上的尽职调查，将法律风险防范机制贯穿在美投资和经营全过程。</w:t>
      </w:r>
    </w:p>
    <w:p w14:paraId="6FDE30B9" w14:textId="77777777" w:rsidR="006B10D9" w:rsidRDefault="00BE6472">
      <w:pPr>
        <w:pStyle w:val="3"/>
        <w:spacing w:before="120" w:after="240"/>
      </w:pPr>
      <w:bookmarkStart w:id="80" w:name="_Toc7561"/>
      <w:bookmarkStart w:id="81" w:name="_Toc93922391"/>
      <w:r>
        <w:rPr>
          <w:rFonts w:hint="eastAsia"/>
        </w:rPr>
        <w:t>（二）中国在欧投资风险评估</w:t>
      </w:r>
      <w:bookmarkEnd w:id="80"/>
      <w:bookmarkEnd w:id="81"/>
    </w:p>
    <w:p w14:paraId="3A0029C9" w14:textId="77777777" w:rsidR="006B10D9" w:rsidRDefault="00BE6472">
      <w:pPr>
        <w:spacing w:line="360" w:lineRule="auto"/>
        <w:ind w:firstLineChars="0" w:firstLine="480"/>
        <w:rPr>
          <w:rFonts w:eastAsia="宋体" w:cs="Times New Roman"/>
          <w:sz w:val="24"/>
          <w:szCs w:val="24"/>
        </w:rPr>
      </w:pPr>
      <w:r>
        <w:rPr>
          <w:rFonts w:eastAsia="宋体" w:cs="Times New Roman" w:hint="eastAsia"/>
          <w:sz w:val="24"/>
          <w:szCs w:val="24"/>
        </w:rPr>
        <w:t>长期以来，欧盟凭借其广阔的市场规模和全球领先的科技研发实力，成为中资企</w:t>
      </w:r>
      <w:r>
        <w:rPr>
          <w:rFonts w:eastAsia="宋体" w:cs="Times New Roman" w:hint="eastAsia"/>
          <w:sz w:val="24"/>
          <w:szCs w:val="24"/>
        </w:rPr>
        <w:lastRenderedPageBreak/>
        <w:t>业投资的重要目的地。</w:t>
      </w:r>
      <w:r>
        <w:rPr>
          <w:rFonts w:eastAsia="宋体" w:cs="Times New Roman" w:hint="eastAsia"/>
          <w:sz w:val="24"/>
          <w:szCs w:val="24"/>
        </w:rPr>
        <w:t>2020</w:t>
      </w:r>
      <w:r>
        <w:rPr>
          <w:rFonts w:eastAsia="宋体" w:cs="Times New Roman" w:hint="eastAsia"/>
          <w:sz w:val="24"/>
          <w:szCs w:val="24"/>
        </w:rPr>
        <w:t>年，中国对欧盟投资流量达到</w:t>
      </w:r>
      <w:r>
        <w:rPr>
          <w:rFonts w:eastAsia="宋体" w:cs="Times New Roman" w:hint="eastAsia"/>
          <w:sz w:val="24"/>
          <w:szCs w:val="24"/>
        </w:rPr>
        <w:t>100.99</w:t>
      </w:r>
      <w:r>
        <w:rPr>
          <w:rFonts w:eastAsia="宋体" w:cs="Times New Roman" w:hint="eastAsia"/>
          <w:sz w:val="24"/>
          <w:szCs w:val="24"/>
        </w:rPr>
        <w:t>亿美元，同比增长</w:t>
      </w:r>
      <w:r>
        <w:rPr>
          <w:rFonts w:eastAsia="宋体" w:cs="Times New Roman" w:hint="eastAsia"/>
          <w:sz w:val="24"/>
          <w:szCs w:val="24"/>
        </w:rPr>
        <w:t>5.2%</w:t>
      </w:r>
      <w:r>
        <w:rPr>
          <w:rFonts w:eastAsia="宋体" w:cs="Times New Roman" w:hint="eastAsia"/>
          <w:sz w:val="24"/>
          <w:szCs w:val="24"/>
        </w:rPr>
        <w:t>。</w:t>
      </w:r>
      <w:r>
        <w:rPr>
          <w:rFonts w:eastAsia="宋体" w:cs="Times New Roman" w:hint="eastAsia"/>
          <w:sz w:val="24"/>
          <w:szCs w:val="24"/>
        </w:rPr>
        <w:t>2020</w:t>
      </w:r>
      <w:r>
        <w:rPr>
          <w:rFonts w:eastAsia="宋体" w:cs="Times New Roman" w:hint="eastAsia"/>
          <w:sz w:val="24"/>
          <w:szCs w:val="24"/>
        </w:rPr>
        <w:t>年末，中国共在欧盟设立直接投资企业近</w:t>
      </w:r>
      <w:r>
        <w:rPr>
          <w:rFonts w:eastAsia="宋体" w:cs="Times New Roman" w:hint="eastAsia"/>
          <w:sz w:val="24"/>
          <w:szCs w:val="24"/>
        </w:rPr>
        <w:t>2800</w:t>
      </w:r>
      <w:r>
        <w:rPr>
          <w:rFonts w:eastAsia="宋体" w:cs="Times New Roman" w:hint="eastAsia"/>
          <w:sz w:val="24"/>
          <w:szCs w:val="24"/>
        </w:rPr>
        <w:t>家，覆盖欧盟的全部</w:t>
      </w:r>
      <w:r>
        <w:rPr>
          <w:rFonts w:eastAsia="宋体" w:cs="Times New Roman" w:hint="eastAsia"/>
          <w:sz w:val="24"/>
          <w:szCs w:val="24"/>
        </w:rPr>
        <w:t>27</w:t>
      </w:r>
      <w:r>
        <w:rPr>
          <w:rFonts w:eastAsia="宋体" w:cs="Times New Roman" w:hint="eastAsia"/>
          <w:sz w:val="24"/>
          <w:szCs w:val="24"/>
        </w:rPr>
        <w:t>个成员国，雇用外方员工近</w:t>
      </w:r>
      <w:r>
        <w:rPr>
          <w:rFonts w:eastAsia="宋体" w:cs="Times New Roman" w:hint="eastAsia"/>
          <w:sz w:val="24"/>
          <w:szCs w:val="24"/>
        </w:rPr>
        <w:t>25</w:t>
      </w:r>
      <w:r>
        <w:rPr>
          <w:rFonts w:eastAsia="宋体" w:cs="Times New Roman" w:hint="eastAsia"/>
          <w:sz w:val="24"/>
          <w:szCs w:val="24"/>
        </w:rPr>
        <w:t>万人。</w:t>
      </w:r>
    </w:p>
    <w:p w14:paraId="334FD22C" w14:textId="77777777" w:rsidR="006B10D9" w:rsidRDefault="00BE6472">
      <w:pPr>
        <w:pStyle w:val="4"/>
      </w:pPr>
      <w:bookmarkStart w:id="82" w:name="_Toc18668"/>
      <w:r>
        <w:rPr>
          <w:rFonts w:hint="eastAsia"/>
        </w:rPr>
        <w:t>1</w:t>
      </w:r>
      <w:r>
        <w:rPr>
          <w:rFonts w:cs="华文楷体" w:hint="eastAsia"/>
        </w:rPr>
        <w:t>.</w:t>
      </w:r>
      <w:r>
        <w:t>2020年中国对欧</w:t>
      </w:r>
      <w:r>
        <w:rPr>
          <w:rFonts w:hint="eastAsia"/>
        </w:rPr>
        <w:t>直接</w:t>
      </w:r>
      <w:r>
        <w:t>投资</w:t>
      </w:r>
      <w:r>
        <w:rPr>
          <w:rFonts w:hint="eastAsia"/>
        </w:rPr>
        <w:t>概况</w:t>
      </w:r>
      <w:bookmarkEnd w:id="82"/>
    </w:p>
    <w:p w14:paraId="183EA6C5" w14:textId="77777777" w:rsidR="006B10D9" w:rsidRDefault="00BE6472">
      <w:pPr>
        <w:spacing w:line="360" w:lineRule="auto"/>
        <w:ind w:firstLineChars="0"/>
        <w:rPr>
          <w:rFonts w:eastAsia="宋体" w:cs="Times New Roman"/>
          <w:sz w:val="24"/>
          <w:szCs w:val="24"/>
        </w:rPr>
      </w:pPr>
      <w:r>
        <w:rPr>
          <w:rFonts w:eastAsia="宋体" w:cs="Times New Roman" w:hint="eastAsia"/>
          <w:b/>
          <w:bCs/>
          <w:sz w:val="24"/>
          <w:szCs w:val="24"/>
        </w:rPr>
        <w:t>一是国企成为对欧投资主力。</w:t>
      </w:r>
      <w:r>
        <w:rPr>
          <w:rFonts w:eastAsia="宋体" w:cs="Times New Roman" w:hint="eastAsia"/>
          <w:sz w:val="24"/>
          <w:szCs w:val="24"/>
        </w:rPr>
        <w:t>2010</w:t>
      </w:r>
      <w:r>
        <w:rPr>
          <w:rFonts w:eastAsia="宋体" w:cs="Times New Roman" w:hint="eastAsia"/>
          <w:sz w:val="24"/>
          <w:szCs w:val="24"/>
        </w:rPr>
        <w:t>年至</w:t>
      </w:r>
      <w:r>
        <w:rPr>
          <w:rFonts w:eastAsia="宋体" w:cs="Times New Roman" w:hint="eastAsia"/>
          <w:sz w:val="24"/>
          <w:szCs w:val="24"/>
        </w:rPr>
        <w:t>2015</w:t>
      </w:r>
      <w:r>
        <w:rPr>
          <w:rFonts w:eastAsia="宋体" w:cs="Times New Roman" w:hint="eastAsia"/>
          <w:sz w:val="24"/>
          <w:szCs w:val="24"/>
        </w:rPr>
        <w:t>年期间，国企占对欧投资总额的比重平均达到</w:t>
      </w:r>
      <w:r>
        <w:rPr>
          <w:rFonts w:eastAsia="宋体" w:cs="Times New Roman" w:hint="eastAsia"/>
          <w:sz w:val="24"/>
          <w:szCs w:val="24"/>
        </w:rPr>
        <w:t>70%</w:t>
      </w:r>
      <w:r>
        <w:rPr>
          <w:rFonts w:eastAsia="宋体" w:cs="Times New Roman" w:hint="eastAsia"/>
          <w:sz w:val="24"/>
          <w:szCs w:val="24"/>
        </w:rPr>
        <w:t>以上，这一局面的打破源自</w:t>
      </w:r>
      <w:r>
        <w:rPr>
          <w:rFonts w:eastAsia="宋体" w:cs="Times New Roman" w:hint="eastAsia"/>
          <w:sz w:val="24"/>
          <w:szCs w:val="24"/>
        </w:rPr>
        <w:t>2014</w:t>
      </w:r>
      <w:r>
        <w:rPr>
          <w:rFonts w:eastAsia="宋体" w:cs="Times New Roman" w:hint="eastAsia"/>
          <w:sz w:val="24"/>
          <w:szCs w:val="24"/>
        </w:rPr>
        <w:t>年出台的《境外投资管理办法》，使得更多私营企业通过备案或核准管理得以扬帆出海。到</w:t>
      </w:r>
      <w:r>
        <w:rPr>
          <w:rFonts w:eastAsia="宋体" w:cs="Times New Roman" w:hint="eastAsia"/>
          <w:sz w:val="24"/>
          <w:szCs w:val="24"/>
        </w:rPr>
        <w:t>2019</w:t>
      </w:r>
      <w:r>
        <w:rPr>
          <w:rFonts w:eastAsia="宋体" w:cs="Times New Roman" w:hint="eastAsia"/>
          <w:sz w:val="24"/>
          <w:szCs w:val="24"/>
        </w:rPr>
        <w:t>年，国企占全部对欧投资的比重仅为</w:t>
      </w:r>
      <w:r>
        <w:rPr>
          <w:rFonts w:eastAsia="宋体" w:cs="Times New Roman" w:hint="eastAsia"/>
          <w:sz w:val="24"/>
          <w:szCs w:val="24"/>
        </w:rPr>
        <w:t>11%</w:t>
      </w:r>
      <w:r>
        <w:rPr>
          <w:rFonts w:eastAsia="宋体" w:cs="Times New Roman" w:hint="eastAsia"/>
          <w:sz w:val="24"/>
          <w:szCs w:val="24"/>
        </w:rPr>
        <w:t>。受疫情影响，</w:t>
      </w:r>
      <w:r>
        <w:rPr>
          <w:rFonts w:eastAsia="宋体" w:cs="Times New Roman" w:hint="eastAsia"/>
          <w:sz w:val="24"/>
          <w:szCs w:val="24"/>
        </w:rPr>
        <w:t>2020</w:t>
      </w:r>
      <w:r>
        <w:rPr>
          <w:rFonts w:eastAsia="宋体" w:cs="Times New Roman" w:hint="eastAsia"/>
          <w:sz w:val="24"/>
          <w:szCs w:val="24"/>
        </w:rPr>
        <w:t>年私营企业对欧投资仅为</w:t>
      </w:r>
      <w:r>
        <w:rPr>
          <w:rFonts w:eastAsia="宋体" w:cs="Times New Roman" w:hint="eastAsia"/>
          <w:sz w:val="24"/>
          <w:szCs w:val="24"/>
        </w:rPr>
        <w:t>53</w:t>
      </w:r>
      <w:r>
        <w:rPr>
          <w:rFonts w:eastAsia="宋体" w:cs="Times New Roman" w:hint="eastAsia"/>
          <w:sz w:val="24"/>
          <w:szCs w:val="24"/>
        </w:rPr>
        <w:t>亿欧元，同比猛跌</w:t>
      </w:r>
      <w:r>
        <w:rPr>
          <w:rFonts w:eastAsia="宋体" w:cs="Times New Roman" w:hint="eastAsia"/>
          <w:sz w:val="24"/>
          <w:szCs w:val="24"/>
        </w:rPr>
        <w:t>49%</w:t>
      </w:r>
      <w:r>
        <w:rPr>
          <w:rFonts w:eastAsia="宋体" w:cs="Times New Roman" w:hint="eastAsia"/>
          <w:sz w:val="24"/>
          <w:szCs w:val="24"/>
        </w:rPr>
        <w:t>，从而使得国企占比升至</w:t>
      </w:r>
      <w:r>
        <w:rPr>
          <w:rFonts w:eastAsia="宋体" w:cs="Times New Roman" w:hint="eastAsia"/>
          <w:sz w:val="24"/>
          <w:szCs w:val="24"/>
        </w:rPr>
        <w:t>18%</w:t>
      </w:r>
      <w:r>
        <w:rPr>
          <w:rFonts w:eastAsia="宋体" w:cs="Times New Roman" w:hint="eastAsia"/>
          <w:sz w:val="24"/>
          <w:szCs w:val="24"/>
        </w:rPr>
        <w:t>。国企对欧的投资领域主要集中在交通、能源和基础设施领域，如中国三峡集团以</w:t>
      </w:r>
      <w:r>
        <w:rPr>
          <w:rFonts w:eastAsia="宋体" w:cs="Times New Roman" w:hint="eastAsia"/>
          <w:sz w:val="24"/>
          <w:szCs w:val="24"/>
        </w:rPr>
        <w:t>2.29</w:t>
      </w:r>
      <w:r>
        <w:rPr>
          <w:rFonts w:eastAsia="宋体" w:cs="Times New Roman" w:hint="eastAsia"/>
          <w:sz w:val="24"/>
          <w:szCs w:val="24"/>
        </w:rPr>
        <w:t>亿欧元增持葡萄牙电力集团（</w:t>
      </w:r>
      <w:r>
        <w:rPr>
          <w:rFonts w:eastAsia="宋体" w:cs="Times New Roman" w:hint="eastAsia"/>
          <w:sz w:val="24"/>
          <w:szCs w:val="24"/>
        </w:rPr>
        <w:t>EDP</w:t>
      </w:r>
      <w:r>
        <w:rPr>
          <w:rFonts w:eastAsia="宋体" w:cs="Times New Roman" w:hint="eastAsia"/>
          <w:sz w:val="24"/>
          <w:szCs w:val="24"/>
        </w:rPr>
        <w:t>）股份；中铁建以</w:t>
      </w:r>
      <w:r>
        <w:rPr>
          <w:rFonts w:eastAsia="宋体" w:cs="Times New Roman" w:hint="eastAsia"/>
          <w:sz w:val="24"/>
          <w:szCs w:val="24"/>
        </w:rPr>
        <w:t>2.42</w:t>
      </w:r>
      <w:r>
        <w:rPr>
          <w:rFonts w:eastAsia="宋体" w:cs="Times New Roman" w:hint="eastAsia"/>
          <w:sz w:val="24"/>
          <w:szCs w:val="24"/>
        </w:rPr>
        <w:t>亿欧元入股西班牙</w:t>
      </w:r>
      <w:r>
        <w:rPr>
          <w:rFonts w:eastAsia="宋体" w:cs="Times New Roman" w:hint="eastAsia"/>
          <w:sz w:val="24"/>
          <w:szCs w:val="24"/>
        </w:rPr>
        <w:t>Aldesa</w:t>
      </w:r>
      <w:r>
        <w:rPr>
          <w:rFonts w:eastAsia="宋体" w:cs="Times New Roman" w:hint="eastAsia"/>
          <w:sz w:val="24"/>
          <w:szCs w:val="24"/>
        </w:rPr>
        <w:t>建筑集团，以及中车株洲以</w:t>
      </w:r>
      <w:r>
        <w:rPr>
          <w:rFonts w:eastAsia="宋体" w:cs="Times New Roman" w:hint="eastAsia"/>
          <w:sz w:val="24"/>
          <w:szCs w:val="24"/>
        </w:rPr>
        <w:t>4400</w:t>
      </w:r>
      <w:r>
        <w:rPr>
          <w:rFonts w:eastAsia="宋体" w:cs="Times New Roman" w:hint="eastAsia"/>
          <w:sz w:val="24"/>
          <w:szCs w:val="24"/>
        </w:rPr>
        <w:t>万欧元收购德国福斯罗机车（</w:t>
      </w:r>
      <w:r>
        <w:rPr>
          <w:rFonts w:eastAsia="宋体" w:cs="Times New Roman" w:hint="eastAsia"/>
          <w:sz w:val="24"/>
          <w:szCs w:val="24"/>
        </w:rPr>
        <w:t>Vossloh Locomotives</w:t>
      </w:r>
      <w:r>
        <w:rPr>
          <w:rFonts w:eastAsia="宋体" w:cs="Times New Roman" w:hint="eastAsia"/>
          <w:sz w:val="24"/>
          <w:szCs w:val="24"/>
        </w:rPr>
        <w:t>）。</w:t>
      </w:r>
    </w:p>
    <w:p w14:paraId="3690A3AA" w14:textId="77777777" w:rsidR="006B10D9" w:rsidRDefault="00BE6472">
      <w:pPr>
        <w:spacing w:line="360" w:lineRule="auto"/>
        <w:ind w:firstLineChars="0" w:firstLine="482"/>
        <w:rPr>
          <w:rFonts w:eastAsia="宋体" w:cs="Times New Roman"/>
          <w:sz w:val="24"/>
          <w:szCs w:val="24"/>
        </w:rPr>
      </w:pPr>
      <w:r>
        <w:rPr>
          <w:rFonts w:eastAsia="宋体" w:cs="Times New Roman" w:hint="eastAsia"/>
          <w:b/>
          <w:bCs/>
          <w:sz w:val="24"/>
          <w:szCs w:val="24"/>
        </w:rPr>
        <w:t>二是对欧投资布局更加均衡。</w:t>
      </w:r>
      <w:r>
        <w:rPr>
          <w:rFonts w:eastAsia="宋体" w:cs="Times New Roman" w:hint="eastAsia"/>
          <w:sz w:val="24"/>
          <w:szCs w:val="24"/>
        </w:rPr>
        <w:t>相较于此前中国对欧投资</w:t>
      </w:r>
      <w:r>
        <w:rPr>
          <w:rFonts w:eastAsia="宋体" w:cs="Times New Roman" w:hint="eastAsia"/>
          <w:sz w:val="24"/>
          <w:szCs w:val="24"/>
        </w:rPr>
        <w:t>70%</w:t>
      </w:r>
      <w:r>
        <w:rPr>
          <w:rFonts w:eastAsia="宋体" w:cs="Times New Roman" w:hint="eastAsia"/>
          <w:sz w:val="24"/>
          <w:szCs w:val="24"/>
        </w:rPr>
        <w:t>以上集中在消费者产品和服务、信息通信（</w:t>
      </w:r>
      <w:r>
        <w:rPr>
          <w:rFonts w:eastAsia="宋体" w:cs="Times New Roman" w:hint="eastAsia"/>
          <w:sz w:val="24"/>
          <w:szCs w:val="24"/>
        </w:rPr>
        <w:t>ICT</w:t>
      </w:r>
      <w:r>
        <w:rPr>
          <w:rFonts w:eastAsia="宋体" w:cs="Times New Roman" w:hint="eastAsia"/>
          <w:sz w:val="24"/>
          <w:szCs w:val="24"/>
        </w:rPr>
        <w:t>）等领域，</w:t>
      </w:r>
      <w:r>
        <w:rPr>
          <w:rFonts w:eastAsia="宋体" w:cs="Times New Roman" w:hint="eastAsia"/>
          <w:sz w:val="24"/>
          <w:szCs w:val="24"/>
        </w:rPr>
        <w:t>2020</w:t>
      </w:r>
      <w:r>
        <w:rPr>
          <w:rFonts w:eastAsia="宋体" w:cs="Times New Roman" w:hint="eastAsia"/>
          <w:sz w:val="24"/>
          <w:szCs w:val="24"/>
        </w:rPr>
        <w:t>年中国对欧投资的行业分布更加均衡。其中，交通、建筑和基础设施领域约占对欧投资总额的四分之一，最大一笔交易来自于从事物流地产行业的普洛斯（</w:t>
      </w:r>
      <w:r>
        <w:rPr>
          <w:rFonts w:eastAsia="宋体" w:cs="Times New Roman" w:hint="eastAsia"/>
          <w:sz w:val="24"/>
          <w:szCs w:val="24"/>
        </w:rPr>
        <w:t>GLP</w:t>
      </w:r>
      <w:r>
        <w:rPr>
          <w:rFonts w:eastAsia="宋体" w:cs="Times New Roman" w:hint="eastAsia"/>
          <w:sz w:val="24"/>
          <w:szCs w:val="24"/>
        </w:rPr>
        <w:t>）公司，以</w:t>
      </w:r>
      <w:r>
        <w:rPr>
          <w:rFonts w:eastAsia="宋体" w:cs="Times New Roman" w:hint="eastAsia"/>
          <w:sz w:val="24"/>
          <w:szCs w:val="24"/>
        </w:rPr>
        <w:t>10</w:t>
      </w:r>
      <w:r>
        <w:rPr>
          <w:rFonts w:eastAsia="宋体" w:cs="Times New Roman" w:hint="eastAsia"/>
          <w:sz w:val="24"/>
          <w:szCs w:val="24"/>
        </w:rPr>
        <w:t>亿欧元收购嘉民集团（</w:t>
      </w:r>
      <w:r>
        <w:rPr>
          <w:rFonts w:eastAsia="宋体" w:cs="Times New Roman" w:hint="eastAsia"/>
          <w:sz w:val="24"/>
          <w:szCs w:val="24"/>
        </w:rPr>
        <w:t>Goodman Group</w:t>
      </w:r>
      <w:r>
        <w:rPr>
          <w:rFonts w:eastAsia="宋体" w:cs="Times New Roman" w:hint="eastAsia"/>
          <w:sz w:val="24"/>
          <w:szCs w:val="24"/>
        </w:rPr>
        <w:t>）在波兰、斯洛伐克、匈牙利、捷克共和国的工厂和仓库，其中仅对波兰的投资就接近</w:t>
      </w:r>
      <w:r>
        <w:rPr>
          <w:rFonts w:eastAsia="宋体" w:cs="Times New Roman" w:hint="eastAsia"/>
          <w:sz w:val="24"/>
          <w:szCs w:val="24"/>
        </w:rPr>
        <w:t>8</w:t>
      </w:r>
      <w:r>
        <w:rPr>
          <w:rFonts w:eastAsia="宋体" w:cs="Times New Roman" w:hint="eastAsia"/>
          <w:sz w:val="24"/>
          <w:szCs w:val="24"/>
        </w:rPr>
        <w:t>亿欧元。</w:t>
      </w:r>
      <w:r>
        <w:rPr>
          <w:rFonts w:eastAsia="宋体" w:cs="Times New Roman" w:hint="eastAsia"/>
          <w:sz w:val="24"/>
          <w:szCs w:val="24"/>
        </w:rPr>
        <w:t>ICT</w:t>
      </w:r>
      <w:r>
        <w:rPr>
          <w:rFonts w:eastAsia="宋体" w:cs="Times New Roman" w:hint="eastAsia"/>
          <w:sz w:val="24"/>
          <w:szCs w:val="24"/>
        </w:rPr>
        <w:t>行业依然是中国企业对欧投资的热点，约占全部投资额的</w:t>
      </w:r>
      <w:r>
        <w:rPr>
          <w:rFonts w:eastAsia="宋体" w:cs="Times New Roman" w:hint="eastAsia"/>
          <w:sz w:val="24"/>
          <w:szCs w:val="24"/>
        </w:rPr>
        <w:t>18%</w:t>
      </w:r>
      <w:r>
        <w:rPr>
          <w:rFonts w:eastAsia="宋体" w:cs="Times New Roman" w:hint="eastAsia"/>
          <w:sz w:val="24"/>
          <w:szCs w:val="24"/>
        </w:rPr>
        <w:t>，如华为在英国和匈牙利设立研发中心，字节跳动在爱尔兰设立抖音（</w:t>
      </w:r>
      <w:r>
        <w:rPr>
          <w:rFonts w:eastAsia="宋体" w:cs="Times New Roman" w:hint="eastAsia"/>
          <w:sz w:val="24"/>
          <w:szCs w:val="24"/>
        </w:rPr>
        <w:t>TikTok</w:t>
      </w:r>
      <w:r>
        <w:rPr>
          <w:rFonts w:eastAsia="宋体" w:cs="Times New Roman" w:hint="eastAsia"/>
          <w:sz w:val="24"/>
          <w:szCs w:val="24"/>
        </w:rPr>
        <w:t>）在欧洲的第一个数据中心等。此外，对欧洲电子行业的投资方兴未艾。环旭电子以</w:t>
      </w:r>
      <w:r>
        <w:rPr>
          <w:rFonts w:eastAsia="宋体" w:cs="Times New Roman" w:hint="eastAsia"/>
          <w:sz w:val="24"/>
          <w:szCs w:val="24"/>
        </w:rPr>
        <w:t>3.95</w:t>
      </w:r>
      <w:r>
        <w:rPr>
          <w:rFonts w:eastAsia="宋体" w:cs="Times New Roman" w:hint="eastAsia"/>
          <w:sz w:val="24"/>
          <w:szCs w:val="24"/>
        </w:rPr>
        <w:t>亿欧元收购法国</w:t>
      </w:r>
      <w:r>
        <w:rPr>
          <w:rFonts w:eastAsia="宋体" w:cs="Times New Roman" w:hint="eastAsia"/>
          <w:sz w:val="24"/>
          <w:szCs w:val="24"/>
        </w:rPr>
        <w:t>Asteelflash</w:t>
      </w:r>
      <w:r>
        <w:rPr>
          <w:rFonts w:eastAsia="宋体" w:cs="Times New Roman" w:hint="eastAsia"/>
          <w:sz w:val="24"/>
          <w:szCs w:val="24"/>
        </w:rPr>
        <w:t>公司，江苏日盈以</w:t>
      </w:r>
      <w:r>
        <w:rPr>
          <w:rFonts w:eastAsia="宋体" w:cs="Times New Roman" w:hint="eastAsia"/>
          <w:sz w:val="24"/>
          <w:szCs w:val="24"/>
        </w:rPr>
        <w:t>1.71</w:t>
      </w:r>
      <w:r>
        <w:rPr>
          <w:rFonts w:eastAsia="宋体" w:cs="Times New Roman" w:hint="eastAsia"/>
          <w:sz w:val="24"/>
          <w:szCs w:val="24"/>
        </w:rPr>
        <w:t>亿欧元收购德国汽车注塑零部件生产厂商</w:t>
      </w:r>
      <w:r>
        <w:rPr>
          <w:rFonts w:eastAsia="宋体" w:cs="Times New Roman" w:hint="eastAsia"/>
          <w:sz w:val="24"/>
          <w:szCs w:val="24"/>
        </w:rPr>
        <w:t>EMS</w:t>
      </w:r>
      <w:r>
        <w:rPr>
          <w:rFonts w:eastAsia="宋体" w:cs="Times New Roman" w:hint="eastAsia"/>
          <w:sz w:val="24"/>
          <w:szCs w:val="24"/>
        </w:rPr>
        <w:t>公司。</w:t>
      </w:r>
    </w:p>
    <w:p w14:paraId="65E39143" w14:textId="77777777" w:rsidR="006B10D9" w:rsidRDefault="00BE6472">
      <w:pPr>
        <w:snapToGrid w:val="0"/>
        <w:spacing w:beforeLines="50" w:before="120" w:afterLines="50" w:after="120" w:line="240" w:lineRule="auto"/>
        <w:ind w:firstLineChars="0" w:firstLine="0"/>
        <w:jc w:val="center"/>
        <w:rPr>
          <w:rFonts w:eastAsia="宋体" w:cs="Times New Roman"/>
          <w:sz w:val="24"/>
          <w:szCs w:val="24"/>
        </w:rPr>
      </w:pPr>
      <w:r>
        <w:rPr>
          <w:rFonts w:eastAsia="宋体" w:cs="Times New Roman" w:hint="eastAsia"/>
          <w:noProof/>
          <w:sz w:val="24"/>
          <w:szCs w:val="24"/>
        </w:rPr>
        <w:lastRenderedPageBreak/>
        <w:drawing>
          <wp:inline distT="0" distB="0" distL="0" distR="0" wp14:anchorId="19C90636" wp14:editId="500001C9">
            <wp:extent cx="5543550" cy="23755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543550" cy="2375535"/>
                    </a:xfrm>
                    <a:prstGeom prst="rect">
                      <a:avLst/>
                    </a:prstGeom>
                  </pic:spPr>
                </pic:pic>
              </a:graphicData>
            </a:graphic>
          </wp:inline>
        </w:drawing>
      </w:r>
    </w:p>
    <w:p w14:paraId="6648B5BE" w14:textId="77777777" w:rsidR="006B10D9" w:rsidRDefault="00BE6472">
      <w:pPr>
        <w:pStyle w:val="affb"/>
      </w:pPr>
      <w:r>
        <w:rPr>
          <w:rFonts w:hint="eastAsia"/>
        </w:rPr>
        <w:t>图</w:t>
      </w:r>
      <w:r>
        <w:rPr>
          <w:rFonts w:hint="eastAsia"/>
        </w:rPr>
        <w:t>15  2000-2020</w:t>
      </w:r>
      <w:r>
        <w:rPr>
          <w:rFonts w:hint="eastAsia"/>
        </w:rPr>
        <w:t>年中国对欧盟</w:t>
      </w:r>
      <w:r>
        <w:rPr>
          <w:rFonts w:hint="eastAsia"/>
        </w:rPr>
        <w:t>27</w:t>
      </w:r>
      <w:r>
        <w:rPr>
          <w:rFonts w:hint="eastAsia"/>
        </w:rPr>
        <w:t>国和英国累计完成投资（单位：亿欧元）</w:t>
      </w:r>
    </w:p>
    <w:p w14:paraId="0E712446" w14:textId="77777777" w:rsidR="006B10D9" w:rsidRDefault="00BE6472">
      <w:pPr>
        <w:pStyle w:val="afffd"/>
      </w:pPr>
      <w:r>
        <w:rPr>
          <w:rFonts w:hint="eastAsia"/>
        </w:rPr>
        <w:t>资料来源：根据相关资料绘制</w:t>
      </w:r>
    </w:p>
    <w:p w14:paraId="25895AA3" w14:textId="77777777" w:rsidR="006B10D9" w:rsidRDefault="006B10D9">
      <w:pPr>
        <w:pStyle w:val="afffb"/>
      </w:pPr>
    </w:p>
    <w:p w14:paraId="2166E473" w14:textId="77777777" w:rsidR="006B10D9" w:rsidRDefault="00BE6472">
      <w:pPr>
        <w:spacing w:line="360" w:lineRule="auto"/>
        <w:ind w:firstLineChars="0" w:firstLine="482"/>
        <w:rPr>
          <w:rFonts w:eastAsia="宋体" w:cs="Times New Roman"/>
          <w:sz w:val="24"/>
          <w:szCs w:val="24"/>
        </w:rPr>
      </w:pPr>
      <w:r>
        <w:rPr>
          <w:rFonts w:eastAsia="宋体" w:cs="Times New Roman" w:hint="eastAsia"/>
          <w:b/>
          <w:bCs/>
          <w:sz w:val="24"/>
          <w:szCs w:val="24"/>
        </w:rPr>
        <w:t>三是面临欧盟更为严格审查。</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10</w:t>
      </w:r>
      <w:r>
        <w:rPr>
          <w:rFonts w:eastAsia="宋体" w:cs="Times New Roman" w:hint="eastAsia"/>
          <w:sz w:val="24"/>
          <w:szCs w:val="24"/>
        </w:rPr>
        <w:t>月，意图强化外资审查力度的欧盟外商直接投资审查条例开始正式实施。该条例明确规定了欧盟委员会与成员国之间在国家审查程序中的“合作机制”，即尽管欧盟成员国对外资并购虽拥有最终决定权，但必须“最大限度地考虑”欧委会的意见，特别是涉及关键基础设施、关键技术和军民两用技术、能源、原材料和粮食供应以及敏感信息和媒体。</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1</w:t>
      </w:r>
      <w:r>
        <w:rPr>
          <w:rFonts w:eastAsia="宋体" w:cs="Times New Roman" w:hint="eastAsia"/>
          <w:sz w:val="24"/>
          <w:szCs w:val="24"/>
        </w:rPr>
        <w:t>月，德国政府也宣布将扩大对高技术领域，包括人工智能、半导体、自动驾驶和航空航天等领域的投资审查。从短期来看，新的投资审查条例无疑会对我对欧投资产生负面影响，尤其是对涉及战略领域的并购，并显著增加投资的不确定性，甚至在交易结束后相当长时间内仍将持续。</w:t>
      </w:r>
    </w:p>
    <w:p w14:paraId="0356E354" w14:textId="77777777" w:rsidR="006B10D9" w:rsidRDefault="00BE6472">
      <w:pPr>
        <w:pStyle w:val="4"/>
      </w:pPr>
      <w:bookmarkStart w:id="83" w:name="_Toc11153"/>
      <w:r>
        <w:rPr>
          <w:rFonts w:hint="eastAsia"/>
        </w:rPr>
        <w:t>2</w:t>
      </w:r>
      <w:r>
        <w:rPr>
          <w:rFonts w:cs="华文楷体" w:hint="eastAsia"/>
        </w:rPr>
        <w:t>.</w:t>
      </w:r>
      <w:r>
        <w:rPr>
          <w:rFonts w:hint="eastAsia"/>
        </w:rPr>
        <w:t>影响中国对欧直接投资的中长期因素</w:t>
      </w:r>
      <w:bookmarkEnd w:id="83"/>
    </w:p>
    <w:p w14:paraId="375BAEEF" w14:textId="77777777" w:rsidR="006B10D9" w:rsidRDefault="00BE6472">
      <w:pPr>
        <w:spacing w:line="360" w:lineRule="auto"/>
        <w:ind w:firstLineChars="0" w:firstLine="480"/>
        <w:rPr>
          <w:rFonts w:eastAsia="宋体" w:cs="Times New Roman"/>
          <w:sz w:val="24"/>
          <w:szCs w:val="24"/>
        </w:rPr>
      </w:pPr>
      <w:r>
        <w:rPr>
          <w:rFonts w:eastAsia="宋体" w:cs="Times New Roman" w:hint="eastAsia"/>
          <w:sz w:val="24"/>
          <w:szCs w:val="24"/>
        </w:rPr>
        <w:t>从当前中欧投资博弈来看，欧盟正视图从多边、双边、单边三个层面制定对华政策措施：从多边层面来看，欧盟加强与美国和其他发达国家的协同，在国际贸易与数字规则制定、国际组织改革等方面加大对华施压；从双边层面来看，中欧投资协定仍将被视为双边投资贸易和经济关系的核心，虽然欧盟有最终批准协定的动机，但势必受制于欧洲政治格局的变化以及美欧关系的复苏程度；从单边层面来看，欧盟积极制定可由其自主实施的应对中国的单边政策工具箱，以维护其核心价值观。具体体现为：</w:t>
      </w:r>
    </w:p>
    <w:p w14:paraId="5352E11D" w14:textId="77777777" w:rsidR="006B10D9" w:rsidRDefault="00BE6472">
      <w:pPr>
        <w:spacing w:line="360" w:lineRule="auto"/>
        <w:ind w:firstLineChars="0"/>
        <w:rPr>
          <w:rFonts w:eastAsia="宋体" w:cs="Times New Roman"/>
          <w:sz w:val="24"/>
          <w:szCs w:val="24"/>
        </w:rPr>
      </w:pPr>
      <w:r>
        <w:rPr>
          <w:rFonts w:eastAsia="宋体" w:cs="Times New Roman" w:hint="eastAsia"/>
          <w:b/>
          <w:bCs/>
          <w:sz w:val="24"/>
          <w:szCs w:val="24"/>
        </w:rPr>
        <w:t>一是欧盟强化对华政策工具箱。</w:t>
      </w:r>
      <w:r>
        <w:rPr>
          <w:rFonts w:eastAsia="宋体" w:cs="Times New Roman" w:hint="eastAsia"/>
          <w:sz w:val="24"/>
          <w:szCs w:val="24"/>
        </w:rPr>
        <w:t>除了实施外资审查条例，欧盟委员会还于</w:t>
      </w:r>
      <w:r>
        <w:rPr>
          <w:rFonts w:eastAsia="宋体" w:cs="Times New Roman" w:hint="eastAsia"/>
          <w:sz w:val="24"/>
          <w:szCs w:val="24"/>
        </w:rPr>
        <w:t>2021</w:t>
      </w:r>
      <w:r>
        <w:rPr>
          <w:rFonts w:eastAsia="宋体" w:cs="Times New Roman" w:hint="eastAsia"/>
          <w:sz w:val="24"/>
          <w:szCs w:val="24"/>
        </w:rPr>
        <w:t>年</w:t>
      </w:r>
      <w:r>
        <w:rPr>
          <w:rFonts w:eastAsia="宋体" w:cs="Times New Roman" w:hint="eastAsia"/>
          <w:sz w:val="24"/>
          <w:szCs w:val="24"/>
        </w:rPr>
        <w:t>5</w:t>
      </w:r>
      <w:r>
        <w:rPr>
          <w:rFonts w:eastAsia="宋体" w:cs="Times New Roman" w:hint="eastAsia"/>
          <w:sz w:val="24"/>
          <w:szCs w:val="24"/>
        </w:rPr>
        <w:t>月发布了针对“扭曲内部市场的外国政府补贴”的条例建议稿，旨在赋予欧盟新</w:t>
      </w:r>
      <w:r>
        <w:rPr>
          <w:rFonts w:eastAsia="宋体" w:cs="Times New Roman" w:hint="eastAsia"/>
          <w:sz w:val="24"/>
          <w:szCs w:val="24"/>
        </w:rPr>
        <w:lastRenderedPageBreak/>
        <w:t>的法律工具，以应对来自外国政府的补贴以及有可能对单一市场造成的扭曲。该草案的规制对象是接受外国政府补贴并在欧盟市场从事经济活动的企业。如果该草案于</w:t>
      </w:r>
      <w:r>
        <w:rPr>
          <w:rFonts w:eastAsia="宋体" w:cs="Times New Roman" w:hint="eastAsia"/>
          <w:sz w:val="24"/>
          <w:szCs w:val="24"/>
        </w:rPr>
        <w:t>2022</w:t>
      </w:r>
      <w:r>
        <w:rPr>
          <w:rFonts w:eastAsia="宋体" w:cs="Times New Roman" w:hint="eastAsia"/>
          <w:sz w:val="24"/>
          <w:szCs w:val="24"/>
        </w:rPr>
        <w:t>年底立项完成，届时中国企业在欧盟开展投资并购，将可能同时面临三类申报义务，即针对政府补贴的申报、欧盟或其成员国层面的反垄断申报，以及欧盟成员国层面的外资审查申报。这无疑将大大增加中国企业对欧投资的交易时间、成本和不确定性。此外，一些欧洲议会议员还在力推“国际采购工具（</w:t>
      </w:r>
      <w:r>
        <w:rPr>
          <w:rFonts w:eastAsia="宋体" w:cs="Times New Roman" w:hint="eastAsia"/>
          <w:sz w:val="24"/>
          <w:szCs w:val="24"/>
        </w:rPr>
        <w:t>IPI</w:t>
      </w:r>
      <w:r>
        <w:rPr>
          <w:rFonts w:eastAsia="宋体" w:cs="Times New Roman" w:hint="eastAsia"/>
          <w:sz w:val="24"/>
          <w:szCs w:val="24"/>
        </w:rPr>
        <w:t>）”，即对那些不开放本国公共采购市场的第三国投标方，也应被排除在欧盟公共招标之外。这一被指为中国量身打造的工具，将使中国企业有可能被排除在欧盟每年高达</w:t>
      </w:r>
      <w:r>
        <w:rPr>
          <w:rFonts w:eastAsia="宋体" w:cs="Times New Roman" w:hint="eastAsia"/>
          <w:sz w:val="24"/>
          <w:szCs w:val="24"/>
        </w:rPr>
        <w:t>2</w:t>
      </w:r>
      <w:r>
        <w:rPr>
          <w:rFonts w:eastAsia="宋体" w:cs="Times New Roman" w:hint="eastAsia"/>
          <w:sz w:val="24"/>
          <w:szCs w:val="24"/>
        </w:rPr>
        <w:t>万亿欧元的公共采购市场之外。</w:t>
      </w:r>
    </w:p>
    <w:p w14:paraId="2D92EAA8" w14:textId="77777777" w:rsidR="006B10D9" w:rsidRDefault="00BE6472">
      <w:pPr>
        <w:spacing w:line="360" w:lineRule="auto"/>
        <w:ind w:firstLine="482"/>
        <w:rPr>
          <w:rFonts w:eastAsia="宋体" w:cs="Times New Roman"/>
          <w:sz w:val="24"/>
          <w:szCs w:val="24"/>
        </w:rPr>
      </w:pPr>
      <w:r>
        <w:rPr>
          <w:rFonts w:eastAsia="宋体" w:cs="Times New Roman" w:hint="eastAsia"/>
          <w:b/>
          <w:bCs/>
          <w:sz w:val="24"/>
          <w:szCs w:val="24"/>
        </w:rPr>
        <w:t>二是中欧投资协定前景尚不明朗。</w:t>
      </w:r>
      <w:r>
        <w:rPr>
          <w:rFonts w:eastAsia="宋体" w:cs="Times New Roman" w:hint="eastAsia"/>
          <w:sz w:val="24"/>
          <w:szCs w:val="24"/>
        </w:rPr>
        <w:t>中欧投资协定关乎中欧经贸关系的长远发展，也事关中国企业赴欧投资的信心。从目前欧委会和欧洲议会对该协定的认知来看，一是认为协定并非欧盟赠予中国的经济大礼，而是要帮助欧洲公司扩大在华市场利益。这种利益诉求是否会促进中欧达成务实解决方案，以缓解当前的紧张关系，主要取决于疫情影响下欧洲经济的复苏进程。二是认为协定的达成符合欧洲战略自主的开放政策。一方面，欧盟认为协定的批准可以使欧盟与其盟国，特别是已与中国达成第一阶段贸易协议的美国，在对华经贸关系上处于某种平等地位，这对于奉行战略自主的欧盟来讲至关重要。另一方面，欧盟希望通过协定向内部对其对华战略持怀疑态度的政治派别表明，相比于美国挥舞“大棒”下达成的贸易协议，其与中国接触的方式更为成功和有效，因为中国同意就公平竞争规则、可持续发展等长期悬而未决的问题做出积极承诺，而这是其他国家从未实现过的目标。由此可见，难以达成中欧投资协定都会影响到中欧双方真正的互利互惠，消磨公众对中国在欧投资的宽容度。特别是随着欧盟将注意力从投资问题转向南海和台湾问题，中欧之间的政治紧张局势有可能进一步恶化。经验显示，与外资审查条例相比，中欧政治关系的全面恶化有可能导致中国对欧投资大幅下降，反作用中国资本涌入美国。因此，中欧关系能否改善将成为影响中国继续在欧投资的关键风险点之一。</w:t>
      </w:r>
    </w:p>
    <w:p w14:paraId="7840EFB1" w14:textId="77777777" w:rsidR="006B10D9" w:rsidRDefault="00BE6472">
      <w:pPr>
        <w:spacing w:line="360" w:lineRule="auto"/>
        <w:ind w:firstLineChars="0"/>
        <w:rPr>
          <w:rFonts w:eastAsia="宋体" w:cs="Times New Roman"/>
          <w:sz w:val="24"/>
          <w:szCs w:val="24"/>
        </w:rPr>
      </w:pPr>
      <w:r>
        <w:rPr>
          <w:rFonts w:eastAsia="宋体" w:cs="Times New Roman" w:hint="eastAsia"/>
          <w:b/>
          <w:bCs/>
          <w:sz w:val="24"/>
          <w:szCs w:val="24"/>
        </w:rPr>
        <w:t>三是重视数据保护问题及其影响。</w:t>
      </w:r>
      <w:r>
        <w:rPr>
          <w:rFonts w:eastAsia="宋体" w:cs="Times New Roman" w:hint="eastAsia"/>
          <w:sz w:val="24"/>
          <w:szCs w:val="24"/>
        </w:rPr>
        <w:t>欧盟议会于</w:t>
      </w:r>
      <w:r>
        <w:rPr>
          <w:rFonts w:eastAsia="宋体" w:cs="Times New Roman" w:hint="eastAsia"/>
          <w:sz w:val="24"/>
          <w:szCs w:val="24"/>
        </w:rPr>
        <w:t>2018</w:t>
      </w:r>
      <w:r>
        <w:rPr>
          <w:rFonts w:eastAsia="宋体" w:cs="Times New Roman" w:hint="eastAsia"/>
          <w:sz w:val="24"/>
          <w:szCs w:val="24"/>
        </w:rPr>
        <w:t>年</w:t>
      </w:r>
      <w:r>
        <w:rPr>
          <w:rFonts w:eastAsia="宋体" w:cs="Times New Roman" w:hint="eastAsia"/>
          <w:sz w:val="24"/>
          <w:szCs w:val="24"/>
        </w:rPr>
        <w:t>5</w:t>
      </w:r>
      <w:r>
        <w:rPr>
          <w:rFonts w:eastAsia="宋体" w:cs="Times New Roman" w:hint="eastAsia"/>
          <w:sz w:val="24"/>
          <w:szCs w:val="24"/>
        </w:rPr>
        <w:t>月制定了《通用数据保护条例》，并在</w:t>
      </w:r>
      <w:r>
        <w:rPr>
          <w:rFonts w:eastAsia="宋体" w:cs="Times New Roman" w:hint="eastAsia"/>
          <w:sz w:val="24"/>
          <w:szCs w:val="24"/>
        </w:rPr>
        <w:t>2</w:t>
      </w:r>
      <w:r>
        <w:rPr>
          <w:rFonts w:eastAsia="宋体" w:cs="Times New Roman" w:hint="eastAsia"/>
          <w:sz w:val="24"/>
          <w:szCs w:val="24"/>
        </w:rPr>
        <w:t>年过渡期满后正式生效，旨在促进数据流通的同时加强对个人数据的有效保护，为欧洲用户创造更为安全的个人数据传输与存储保护。该条例的出台也有助于欧盟为本地企业营造良好法律环境，推动欧盟向一体化“数字市场”迈进。</w:t>
      </w:r>
      <w:r>
        <w:rPr>
          <w:rFonts w:eastAsia="宋体" w:cs="Times New Roman" w:hint="eastAsia"/>
          <w:sz w:val="24"/>
          <w:szCs w:val="24"/>
        </w:rPr>
        <w:lastRenderedPageBreak/>
        <w:t>但是，条例的出台也显著增加了企业在数据保护、传输及隐私保护上的成本支出，一旦违规将受到最高为</w:t>
      </w:r>
      <w:r>
        <w:rPr>
          <w:rFonts w:eastAsia="宋体" w:cs="Times New Roman" w:hint="eastAsia"/>
          <w:sz w:val="24"/>
          <w:szCs w:val="24"/>
        </w:rPr>
        <w:t>2000</w:t>
      </w:r>
      <w:r>
        <w:rPr>
          <w:rFonts w:eastAsia="宋体" w:cs="Times New Roman" w:hint="eastAsia"/>
          <w:sz w:val="24"/>
          <w:szCs w:val="24"/>
        </w:rPr>
        <w:t>万欧元的处罚。目前来看，许多中国在欧投资企业尚不能达到条例的合规性要求，包括华为、中兴通讯、小米在内的通讯类、互联网及金融类企业仍需要更多数据上的支持与服务。此外，英国作为非欧盟成员国，于</w:t>
      </w:r>
      <w:r>
        <w:rPr>
          <w:rFonts w:eastAsia="宋体" w:cs="Times New Roman" w:hint="eastAsia"/>
          <w:sz w:val="24"/>
          <w:szCs w:val="24"/>
        </w:rPr>
        <w:t>2020</w:t>
      </w:r>
      <w:r>
        <w:rPr>
          <w:rFonts w:eastAsia="宋体" w:cs="Times New Roman" w:hint="eastAsia"/>
          <w:sz w:val="24"/>
          <w:szCs w:val="24"/>
        </w:rPr>
        <w:t>年</w:t>
      </w:r>
      <w:r>
        <w:rPr>
          <w:rFonts w:eastAsia="宋体" w:cs="Times New Roman" w:hint="eastAsia"/>
          <w:sz w:val="24"/>
          <w:szCs w:val="24"/>
        </w:rPr>
        <w:t>7</w:t>
      </w:r>
      <w:r>
        <w:rPr>
          <w:rFonts w:eastAsia="宋体" w:cs="Times New Roman" w:hint="eastAsia"/>
          <w:sz w:val="24"/>
          <w:szCs w:val="24"/>
        </w:rPr>
        <w:t>月在风险评估的基础上决定，</w:t>
      </w:r>
      <w:r>
        <w:rPr>
          <w:rFonts w:eastAsia="宋体" w:cs="Times New Roman" w:hint="eastAsia"/>
          <w:sz w:val="24"/>
          <w:szCs w:val="24"/>
        </w:rPr>
        <w:t>2021</w:t>
      </w:r>
      <w:r>
        <w:rPr>
          <w:rFonts w:eastAsia="宋体" w:cs="Times New Roman" w:hint="eastAsia"/>
          <w:sz w:val="24"/>
          <w:szCs w:val="24"/>
        </w:rPr>
        <w:t>年后将不再购买华为</w:t>
      </w:r>
      <w:r>
        <w:rPr>
          <w:rFonts w:eastAsia="宋体" w:cs="Times New Roman" w:hint="eastAsia"/>
          <w:sz w:val="24"/>
          <w:szCs w:val="24"/>
        </w:rPr>
        <w:t>5G</w:t>
      </w:r>
      <w:r>
        <w:rPr>
          <w:rFonts w:eastAsia="宋体" w:cs="Times New Roman" w:hint="eastAsia"/>
          <w:sz w:val="24"/>
          <w:szCs w:val="24"/>
        </w:rPr>
        <w:t>设备，</w:t>
      </w:r>
      <w:r>
        <w:rPr>
          <w:rFonts w:eastAsia="宋体" w:cs="Times New Roman" w:hint="eastAsia"/>
          <w:sz w:val="24"/>
          <w:szCs w:val="24"/>
        </w:rPr>
        <w:t>2027</w:t>
      </w:r>
      <w:r>
        <w:rPr>
          <w:rFonts w:eastAsia="宋体" w:cs="Times New Roman" w:hint="eastAsia"/>
          <w:sz w:val="24"/>
          <w:szCs w:val="24"/>
        </w:rPr>
        <w:t>年前移除所使用的的全部华为</w:t>
      </w:r>
      <w:r>
        <w:rPr>
          <w:rFonts w:eastAsia="宋体" w:cs="Times New Roman" w:hint="eastAsia"/>
          <w:sz w:val="24"/>
          <w:szCs w:val="24"/>
        </w:rPr>
        <w:t>5G</w:t>
      </w:r>
      <w:r>
        <w:rPr>
          <w:rFonts w:eastAsia="宋体" w:cs="Times New Roman" w:hint="eastAsia"/>
          <w:sz w:val="24"/>
          <w:szCs w:val="24"/>
        </w:rPr>
        <w:t>设备。英国的这一决定是否会在其他国家形成示范效应还有待观察，但欧盟已经谋求把</w:t>
      </w:r>
      <w:r>
        <w:rPr>
          <w:rFonts w:eastAsia="宋体" w:cs="Times New Roman" w:hint="eastAsia"/>
          <w:sz w:val="24"/>
          <w:szCs w:val="24"/>
        </w:rPr>
        <w:t>5G</w:t>
      </w:r>
      <w:r>
        <w:rPr>
          <w:rFonts w:eastAsia="宋体" w:cs="Times New Roman" w:hint="eastAsia"/>
          <w:sz w:val="24"/>
          <w:szCs w:val="24"/>
        </w:rPr>
        <w:t>设备列为“关键基础设施”，并通过加强对政府采购的相关规制来降低风险。</w:t>
      </w:r>
    </w:p>
    <w:p w14:paraId="6E385022" w14:textId="77777777" w:rsidR="006B10D9" w:rsidRDefault="00BE6472">
      <w:pPr>
        <w:pStyle w:val="4"/>
      </w:pPr>
      <w:bookmarkStart w:id="84" w:name="_Toc4068"/>
      <w:r>
        <w:rPr>
          <w:rFonts w:hint="eastAsia"/>
        </w:rPr>
        <w:t>3</w:t>
      </w:r>
      <w:r>
        <w:rPr>
          <w:rFonts w:cs="华文楷体" w:hint="eastAsia"/>
        </w:rPr>
        <w:t>.</w:t>
      </w:r>
      <w:r>
        <w:rPr>
          <w:rFonts w:hint="eastAsia"/>
        </w:rPr>
        <w:t>促进中资企业对欧投资策略重点</w:t>
      </w:r>
      <w:bookmarkEnd w:id="84"/>
    </w:p>
    <w:p w14:paraId="01672BDB" w14:textId="77777777" w:rsidR="006B10D9" w:rsidRDefault="00BE6472">
      <w:pPr>
        <w:spacing w:line="360" w:lineRule="auto"/>
        <w:ind w:firstLine="482"/>
        <w:rPr>
          <w:rFonts w:eastAsia="宋体" w:cs="Times New Roman"/>
          <w:sz w:val="24"/>
          <w:szCs w:val="30"/>
        </w:rPr>
      </w:pPr>
      <w:r>
        <w:rPr>
          <w:rFonts w:eastAsia="宋体" w:cs="Times New Roman" w:hint="eastAsia"/>
          <w:b/>
          <w:bCs/>
          <w:sz w:val="24"/>
          <w:szCs w:val="30"/>
        </w:rPr>
        <w:t>一是继续推进《中欧全面投资协定》。</w:t>
      </w:r>
      <w:r>
        <w:rPr>
          <w:rFonts w:eastAsia="宋体" w:cs="Times New Roman" w:hint="eastAsia"/>
          <w:sz w:val="24"/>
          <w:szCs w:val="30"/>
        </w:rPr>
        <w:t>中欧经贸关系相较于中美关系而言可博弈空间更大，不应也不会成为中美紧张局势下的战场。因此，应牢牢把握中欧经贸关系的主流，着眼大局和长远，加快推进协定的签署与实施，扩大双方投资贸易空间。特别是在中国有一定优势的数字经济、新能源、环保等领域，中方应利用谈判机遇争取中资（尤其是国有企业）在欧洲的公平竞争地位，并对等利用自身技术和资源优势，为中企对欧投资强化政策保障与确定性。尽管作为欧洲方面缔结协定最重要的推动力——德、法两国现任领导人面临换届和大选连任的压力，从而为欧盟内部的反华势力以及美国的游说提供了活动空间，但欧盟从大方向上依然寻求务实而非激烈对抗的接触方式，中欧双方在气候变化、环境保护、绿色能源以及可持续发展等方面具有积极对话和合作空间，并承诺加强在吸引投资与保护环境和劳动者权益之间的合作，避免将劳工和环境标准强加于投资门槛之上，从而减少欧方利用绿色隐性壁垒将中国投资拒之门外的可能。</w:t>
      </w:r>
    </w:p>
    <w:p w14:paraId="6E0A1BA4" w14:textId="77777777" w:rsidR="006B10D9" w:rsidRDefault="00BE6472">
      <w:pPr>
        <w:spacing w:line="360" w:lineRule="auto"/>
        <w:ind w:firstLine="482"/>
        <w:rPr>
          <w:rFonts w:eastAsia="宋体" w:cs="Times New Roman"/>
          <w:sz w:val="24"/>
          <w:szCs w:val="30"/>
        </w:rPr>
      </w:pPr>
      <w:r>
        <w:rPr>
          <w:rFonts w:eastAsia="宋体" w:cs="Times New Roman" w:hint="eastAsia"/>
          <w:b/>
          <w:bCs/>
          <w:sz w:val="24"/>
          <w:szCs w:val="30"/>
        </w:rPr>
        <w:t>二是适时完善国家境外投资扶持策略</w:t>
      </w:r>
      <w:r>
        <w:rPr>
          <w:rFonts w:eastAsia="宋体" w:cs="Times New Roman" w:hint="eastAsia"/>
          <w:sz w:val="24"/>
          <w:szCs w:val="30"/>
        </w:rPr>
        <w:t>。要结合我国当前对外投资实际，抓紧完善《企业境外投资管理办法》（国家发展和改革委员会令第</w:t>
      </w:r>
      <w:r>
        <w:rPr>
          <w:rFonts w:eastAsia="宋体" w:cs="Times New Roman" w:hint="eastAsia"/>
          <w:sz w:val="24"/>
          <w:szCs w:val="30"/>
        </w:rPr>
        <w:t>11</w:t>
      </w:r>
      <w:r>
        <w:rPr>
          <w:rFonts w:eastAsia="宋体" w:cs="Times New Roman" w:hint="eastAsia"/>
          <w:sz w:val="24"/>
          <w:szCs w:val="30"/>
        </w:rPr>
        <w:t>号），充分展现我国实行更高水平对外开放和解决其他国家要求“对等开放”的决心和能力，提高对境外投资监管的认识与把握。要认识到欧盟仍是全球最为开放的经济体之一，拥有庞大的市场潜力和全球领先的前沿科技研究能力，在贸易、投资、数字经济、能源、气候变化等领域双方仍存在巨大的合作潜力空间。同时，要依托行业协会等第三方机构，整合行业内和行业之间的投资贸易信息，探索建立企业对欧投资贸易风险磋商机制，提高对外投资的整体抗风险能力。</w:t>
      </w:r>
    </w:p>
    <w:p w14:paraId="14D34D6E" w14:textId="77777777" w:rsidR="006B10D9" w:rsidRDefault="00BE6472">
      <w:pPr>
        <w:spacing w:line="360" w:lineRule="auto"/>
        <w:ind w:firstLine="482"/>
        <w:rPr>
          <w:rFonts w:eastAsia="宋体" w:cs="Times New Roman"/>
          <w:szCs w:val="30"/>
        </w:rPr>
      </w:pPr>
      <w:r>
        <w:rPr>
          <w:rFonts w:eastAsia="宋体" w:cs="Times New Roman" w:hint="eastAsia"/>
          <w:b/>
          <w:bCs/>
          <w:sz w:val="24"/>
          <w:szCs w:val="30"/>
        </w:rPr>
        <w:lastRenderedPageBreak/>
        <w:t>三是中资企业提前做好投资风险评估。</w:t>
      </w:r>
      <w:r>
        <w:rPr>
          <w:rFonts w:eastAsia="宋体" w:cs="Times New Roman" w:hint="eastAsia"/>
          <w:sz w:val="24"/>
          <w:szCs w:val="30"/>
        </w:rPr>
        <w:t>随着欧盟不断丰富对华政策工具箱，陆续还会推动包括全球人权制裁制度、阻止和反制非欧盟国家贸易胁迫机制、可持续公司治理立法提案等措施，加大对中国对欧投资的限制与约束。对于中国企业而言，这意味着欧洲的投资大门虽然敞开，但是在欧洲的任何现存和未来投资都将受到越来越多的政治审查、政策监管和公众监督。拟在欧洲投资和运营的中国企业须在进入欧盟市场前做好充足的宏观政策与行业政策的尽职调查，如对于拟在</w:t>
      </w:r>
      <w:r>
        <w:rPr>
          <w:rFonts w:eastAsia="宋体" w:cs="Times New Roman" w:hint="eastAsia"/>
          <w:sz w:val="24"/>
          <w:szCs w:val="30"/>
        </w:rPr>
        <w:t>2022</w:t>
      </w:r>
      <w:r>
        <w:rPr>
          <w:rFonts w:eastAsia="宋体" w:cs="Times New Roman" w:hint="eastAsia"/>
          <w:sz w:val="24"/>
          <w:szCs w:val="30"/>
        </w:rPr>
        <w:t>年后在欧盟进行并购和大额公共采购项目投标的中国企业，尤要谨慎评估所涉及的特定政府基金的融资安排；对于在欧盟并购和投标较为频繁的企业，应对自身获取政府补贴的情况进行定期统计和梳理，对于重要的支持性文件和材料要做好留存和应对准备。</w:t>
      </w:r>
    </w:p>
    <w:p w14:paraId="094E34BB" w14:textId="77777777" w:rsidR="006B10D9" w:rsidRDefault="00BE6472">
      <w:pPr>
        <w:pStyle w:val="3"/>
        <w:spacing w:before="120" w:after="240"/>
      </w:pPr>
      <w:bookmarkStart w:id="85" w:name="_Toc19985"/>
      <w:bookmarkStart w:id="86" w:name="_Toc93922392"/>
      <w:r>
        <w:rPr>
          <w:rFonts w:hint="eastAsia"/>
        </w:rPr>
        <w:t>（三）中国在东盟投资风险评估</w:t>
      </w:r>
      <w:bookmarkEnd w:id="85"/>
      <w:bookmarkEnd w:id="86"/>
    </w:p>
    <w:p w14:paraId="18498D27"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随着</w:t>
      </w:r>
      <w:r>
        <w:rPr>
          <w:rFonts w:eastAsia="宋体" w:cs="Times New Roman" w:hint="eastAsia"/>
          <w:sz w:val="24"/>
          <w:szCs w:val="30"/>
        </w:rPr>
        <w:t>2010</w:t>
      </w:r>
      <w:r>
        <w:rPr>
          <w:rFonts w:eastAsia="宋体" w:cs="Times New Roman" w:hint="eastAsia"/>
          <w:sz w:val="24"/>
          <w:szCs w:val="30"/>
        </w:rPr>
        <w:t>年中国—东盟自由贸易区建成，双边经贸投资更加频繁紧密，投资合作规模不断扩大，东盟逐渐成为中国最主要的对外投资目的地和外商直接投资来源地之一。</w:t>
      </w:r>
      <w:r>
        <w:rPr>
          <w:rFonts w:eastAsia="宋体" w:cs="Times New Roman" w:hint="eastAsia"/>
          <w:sz w:val="24"/>
          <w:szCs w:val="30"/>
        </w:rPr>
        <w:t>2020</w:t>
      </w:r>
      <w:r>
        <w:rPr>
          <w:rFonts w:eastAsia="宋体" w:cs="Times New Roman" w:hint="eastAsia"/>
          <w:sz w:val="24"/>
          <w:szCs w:val="30"/>
        </w:rPr>
        <w:t>年，尽管受到新冠肺炎疫情影响，但相邻的地理位置、不断提高的消费水平、持续改善的基础设施以及广阔的市场前景使得东盟成为中国企业出海投资的首选地区之一。预计中长期东盟仍是中国最重要的贸易伙伴和投资目的地，构建完善的保障体系以及优化企业在东盟的产业链投资，将使得中国企业对东盟的直接投资风险得以控制和分散。</w:t>
      </w:r>
    </w:p>
    <w:p w14:paraId="58B8D2E1" w14:textId="77777777" w:rsidR="006B10D9" w:rsidRDefault="00BE6472">
      <w:pPr>
        <w:pStyle w:val="4"/>
      </w:pPr>
      <w:bookmarkStart w:id="87" w:name="_Toc25160"/>
      <w:r>
        <w:rPr>
          <w:rFonts w:hint="eastAsia"/>
        </w:rPr>
        <w:t>1</w:t>
      </w:r>
      <w:r>
        <w:rPr>
          <w:rFonts w:cs="华文楷体" w:hint="eastAsia"/>
        </w:rPr>
        <w:t>.</w:t>
      </w:r>
      <w:r>
        <w:rPr>
          <w:rFonts w:hint="eastAsia"/>
        </w:rPr>
        <w:t>2020年</w:t>
      </w:r>
      <w:r>
        <w:t>中国对东盟直接投资概况</w:t>
      </w:r>
      <w:bookmarkEnd w:id="87"/>
    </w:p>
    <w:p w14:paraId="457EE70B"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）投资额不断上升</w:t>
      </w:r>
    </w:p>
    <w:p w14:paraId="30725AA7"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自</w:t>
      </w:r>
      <w:r>
        <w:rPr>
          <w:rFonts w:eastAsia="宋体" w:cs="Times New Roman" w:hint="eastAsia"/>
          <w:sz w:val="24"/>
          <w:szCs w:val="30"/>
        </w:rPr>
        <w:t>2009</w:t>
      </w:r>
      <w:r>
        <w:rPr>
          <w:rFonts w:eastAsia="宋体" w:cs="Times New Roman" w:hint="eastAsia"/>
          <w:sz w:val="24"/>
          <w:szCs w:val="30"/>
        </w:rPr>
        <w:t>年《中国—东盟自贸区投资协议》实施以来，中国对东盟投资呈高速增长态势。</w:t>
      </w:r>
      <w:r>
        <w:rPr>
          <w:rFonts w:eastAsia="宋体" w:cs="Times New Roman" w:hint="eastAsia"/>
          <w:sz w:val="24"/>
          <w:szCs w:val="30"/>
        </w:rPr>
        <w:t>2020</w:t>
      </w:r>
      <w:r>
        <w:rPr>
          <w:rFonts w:eastAsia="宋体" w:cs="Times New Roman" w:hint="eastAsia"/>
          <w:sz w:val="24"/>
          <w:szCs w:val="30"/>
        </w:rPr>
        <w:t>年，在疫情蔓延导致贸易下行压力加大的背景下，中国对东盟投资逆势增长。</w:t>
      </w:r>
      <w:r>
        <w:rPr>
          <w:rFonts w:eastAsia="宋体" w:cs="Times New Roman" w:hint="eastAsia"/>
          <w:sz w:val="24"/>
          <w:szCs w:val="30"/>
        </w:rPr>
        <w:t>2020</w:t>
      </w:r>
      <w:r>
        <w:rPr>
          <w:rFonts w:eastAsia="宋体" w:cs="Times New Roman" w:hint="eastAsia"/>
          <w:sz w:val="24"/>
          <w:szCs w:val="30"/>
        </w:rPr>
        <w:t>年，对东盟直接投资流量为</w:t>
      </w:r>
      <w:r>
        <w:rPr>
          <w:rFonts w:eastAsia="宋体" w:cs="Times New Roman" w:hint="eastAsia"/>
          <w:sz w:val="24"/>
          <w:szCs w:val="30"/>
        </w:rPr>
        <w:t>160.63</w:t>
      </w:r>
      <w:r>
        <w:rPr>
          <w:rFonts w:eastAsia="宋体" w:cs="Times New Roman" w:hint="eastAsia"/>
          <w:sz w:val="24"/>
          <w:szCs w:val="30"/>
        </w:rPr>
        <w:t>亿美元，同比增长</w:t>
      </w:r>
      <w:r>
        <w:rPr>
          <w:rFonts w:eastAsia="宋体" w:cs="Times New Roman" w:hint="eastAsia"/>
          <w:sz w:val="24"/>
          <w:szCs w:val="30"/>
        </w:rPr>
        <w:t>23.3</w:t>
      </w:r>
      <w:r>
        <w:rPr>
          <w:rFonts w:eastAsia="宋体" w:cs="Times New Roman" w:hint="eastAsia"/>
          <w:sz w:val="24"/>
          <w:szCs w:val="30"/>
        </w:rPr>
        <w:t>％，高于中国同期对外直接投资增速。从投资存量的空间分布来看，新加坡占到中国对东盟直接投资总存量的</w:t>
      </w:r>
      <w:r>
        <w:rPr>
          <w:rFonts w:eastAsia="宋体" w:cs="Times New Roman" w:hint="eastAsia"/>
          <w:sz w:val="24"/>
          <w:szCs w:val="30"/>
        </w:rPr>
        <w:t>46.9%</w:t>
      </w:r>
      <w:r>
        <w:rPr>
          <w:rFonts w:eastAsia="宋体" w:cs="Times New Roman" w:hint="eastAsia"/>
          <w:sz w:val="24"/>
          <w:szCs w:val="30"/>
        </w:rPr>
        <w:t>，其次是印度尼西亚和马来西亚等。</w:t>
      </w:r>
    </w:p>
    <w:p w14:paraId="2E0C815A" w14:textId="77777777" w:rsidR="006B10D9" w:rsidRDefault="00BE6472">
      <w:pPr>
        <w:spacing w:line="360" w:lineRule="auto"/>
        <w:ind w:firstLineChars="0" w:firstLine="0"/>
        <w:jc w:val="center"/>
        <w:rPr>
          <w:rFonts w:eastAsia="宋体" w:cs="Times New Roman"/>
          <w:szCs w:val="30"/>
        </w:rPr>
      </w:pPr>
      <w:r>
        <w:rPr>
          <w:rFonts w:eastAsia="宋体" w:cs="Times New Roman"/>
          <w:noProof/>
          <w:szCs w:val="30"/>
        </w:rPr>
        <w:lastRenderedPageBreak/>
        <w:drawing>
          <wp:inline distT="0" distB="0" distL="114300" distR="114300" wp14:anchorId="2B515064" wp14:editId="6985D408">
            <wp:extent cx="3924300" cy="236220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32"/>
                    <a:stretch>
                      <a:fillRect/>
                    </a:stretch>
                  </pic:blipFill>
                  <pic:spPr>
                    <a:xfrm>
                      <a:off x="0" y="0"/>
                      <a:ext cx="3930930" cy="2366397"/>
                    </a:xfrm>
                    <a:prstGeom prst="rect">
                      <a:avLst/>
                    </a:prstGeom>
                    <a:noFill/>
                    <a:ln>
                      <a:noFill/>
                    </a:ln>
                  </pic:spPr>
                </pic:pic>
              </a:graphicData>
            </a:graphic>
          </wp:inline>
        </w:drawing>
      </w:r>
    </w:p>
    <w:p w14:paraId="30CB1484" w14:textId="77777777" w:rsidR="006B10D9" w:rsidRDefault="00BE6472">
      <w:pPr>
        <w:pStyle w:val="affb"/>
        <w:rPr>
          <w:szCs w:val="30"/>
        </w:rPr>
      </w:pPr>
      <w:r>
        <w:rPr>
          <w:rFonts w:hint="eastAsia"/>
        </w:rPr>
        <w:t>图</w:t>
      </w:r>
      <w:r>
        <w:rPr>
          <w:rFonts w:hint="eastAsia"/>
        </w:rPr>
        <w:t>16  2009-2020</w:t>
      </w:r>
      <w:r>
        <w:rPr>
          <w:rFonts w:hint="eastAsia"/>
        </w:rPr>
        <w:t>年中国对东盟</w:t>
      </w:r>
      <w:r>
        <w:rPr>
          <w:rFonts w:hint="eastAsia"/>
        </w:rPr>
        <w:t>FDI</w:t>
      </w:r>
      <w:r>
        <w:rPr>
          <w:rFonts w:hint="eastAsia"/>
        </w:rPr>
        <w:t>流量</w:t>
      </w:r>
    </w:p>
    <w:p w14:paraId="79DED5FB" w14:textId="77777777" w:rsidR="006B10D9" w:rsidRDefault="00BE6472">
      <w:pPr>
        <w:pStyle w:val="afffd"/>
      </w:pPr>
      <w:r>
        <w:rPr>
          <w:rFonts w:hint="eastAsia"/>
        </w:rPr>
        <w:t>资料来源：</w:t>
      </w:r>
      <w:r>
        <w:rPr>
          <w:rFonts w:hint="eastAsia"/>
        </w:rPr>
        <w:t>2020</w:t>
      </w:r>
      <w:r>
        <w:rPr>
          <w:rFonts w:hint="eastAsia"/>
        </w:rPr>
        <w:t>年度中国对外直接投资统计公报</w:t>
      </w:r>
    </w:p>
    <w:p w14:paraId="74C3E9B4"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w:t>
      </w:r>
      <w:r>
        <w:rPr>
          <w:rFonts w:eastAsia="宋体" w:cs="Times New Roman" w:hint="eastAsia"/>
          <w:sz w:val="24"/>
          <w:szCs w:val="30"/>
        </w:rPr>
        <w:t>2</w:t>
      </w:r>
      <w:r>
        <w:rPr>
          <w:rFonts w:eastAsia="宋体" w:cs="Times New Roman" w:hint="eastAsia"/>
          <w:sz w:val="24"/>
          <w:szCs w:val="30"/>
        </w:rPr>
        <w:t>）投资较为集中，产业分布较广</w:t>
      </w:r>
    </w:p>
    <w:p w14:paraId="1AE99168"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我国对东盟各国直接投资的空间布局不平衡，投资目的地较为集中。具体来说，中国对东盟直接投资超过半数都流入了如新加坡、印度尼西亚这些在东盟地区经济水平较为发达的国家，而对菲律宾、文莱等国的投资流入较少，国别分布严重不均。</w:t>
      </w:r>
    </w:p>
    <w:p w14:paraId="0D7C15BB"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从投资存量的行业分布来看，制造业是中国对东盟投资的第一大行业，占比达到</w:t>
      </w:r>
      <w:r>
        <w:rPr>
          <w:rFonts w:eastAsia="宋体" w:cs="Times New Roman" w:hint="eastAsia"/>
          <w:sz w:val="24"/>
          <w:szCs w:val="30"/>
        </w:rPr>
        <w:t>25.4%</w:t>
      </w:r>
      <w:r>
        <w:rPr>
          <w:rFonts w:eastAsia="宋体" w:cs="Times New Roman" w:hint="eastAsia"/>
          <w:sz w:val="24"/>
          <w:szCs w:val="30"/>
        </w:rPr>
        <w:t>；租赁和商业服务业是第二大投资行业，占比达到</w:t>
      </w:r>
      <w:r>
        <w:rPr>
          <w:rFonts w:eastAsia="宋体" w:cs="Times New Roman" w:hint="eastAsia"/>
          <w:sz w:val="24"/>
          <w:szCs w:val="30"/>
        </w:rPr>
        <w:t>15.7%</w:t>
      </w:r>
      <w:r>
        <w:rPr>
          <w:rFonts w:eastAsia="宋体" w:cs="Times New Roman" w:hint="eastAsia"/>
          <w:sz w:val="24"/>
          <w:szCs w:val="30"/>
        </w:rPr>
        <w:t>。但是，租赁和商业服务业的对外投资主要为后续投资服务，一般不涉及雇佣、生产等实体经济活动，只负责相关企业的重大决策、资产管理、协调管理下属各机构等活动。由于新加坡具有良好的投资环境和宽松的监管政策，此类投资主要投向新加坡。</w:t>
      </w:r>
    </w:p>
    <w:p w14:paraId="6C5A5D54" w14:textId="77777777" w:rsidR="006B10D9" w:rsidRDefault="00BE6472">
      <w:pPr>
        <w:spacing w:line="360" w:lineRule="auto"/>
        <w:ind w:firstLineChars="0" w:firstLine="0"/>
        <w:jc w:val="center"/>
        <w:rPr>
          <w:rFonts w:eastAsia="宋体" w:cs="Times New Roman"/>
          <w:szCs w:val="30"/>
        </w:rPr>
      </w:pPr>
      <w:r>
        <w:rPr>
          <w:rFonts w:eastAsia="宋体" w:cs="Times New Roman"/>
          <w:noProof/>
          <w:szCs w:val="30"/>
        </w:rPr>
        <w:lastRenderedPageBreak/>
        <w:drawing>
          <wp:inline distT="0" distB="0" distL="114300" distR="114300" wp14:anchorId="4E243097" wp14:editId="5D68EA18">
            <wp:extent cx="4596765" cy="3038475"/>
            <wp:effectExtent l="0" t="0" r="0" b="0"/>
            <wp:docPr id="76" name="图片 76" descr="3c8459fddba998435b70456c1c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c8459fddba998435b70456c1c14974"/>
                    <pic:cNvPicPr>
                      <a:picLocks noChangeAspect="1"/>
                    </pic:cNvPicPr>
                  </pic:nvPicPr>
                  <pic:blipFill>
                    <a:blip r:embed="rId33"/>
                    <a:srcRect l="2920" r="8305"/>
                    <a:stretch>
                      <a:fillRect/>
                    </a:stretch>
                  </pic:blipFill>
                  <pic:spPr>
                    <a:xfrm>
                      <a:off x="0" y="0"/>
                      <a:ext cx="4598329" cy="3039334"/>
                    </a:xfrm>
                    <a:prstGeom prst="rect">
                      <a:avLst/>
                    </a:prstGeom>
                    <a:ln>
                      <a:noFill/>
                    </a:ln>
                  </pic:spPr>
                </pic:pic>
              </a:graphicData>
            </a:graphic>
          </wp:inline>
        </w:drawing>
      </w:r>
    </w:p>
    <w:p w14:paraId="61BB5AC5" w14:textId="77777777" w:rsidR="006B10D9" w:rsidRDefault="00BE6472">
      <w:pPr>
        <w:pStyle w:val="affb"/>
      </w:pPr>
      <w:r>
        <w:rPr>
          <w:rFonts w:hint="eastAsia"/>
        </w:rPr>
        <w:t>图</w:t>
      </w:r>
      <w:r>
        <w:rPr>
          <w:rFonts w:hint="eastAsia"/>
        </w:rPr>
        <w:t>17  2020</w:t>
      </w:r>
      <w:r>
        <w:rPr>
          <w:rFonts w:hint="eastAsia"/>
        </w:rPr>
        <w:t>年末中国对东盟</w:t>
      </w:r>
      <w:r>
        <w:rPr>
          <w:rFonts w:hint="eastAsia"/>
        </w:rPr>
        <w:t>10</w:t>
      </w:r>
      <w:r>
        <w:rPr>
          <w:rFonts w:hint="eastAsia"/>
        </w:rPr>
        <w:t>国直接投资存量情况</w:t>
      </w:r>
    </w:p>
    <w:p w14:paraId="6B963020" w14:textId="77777777" w:rsidR="006B10D9" w:rsidRDefault="00BE6472">
      <w:pPr>
        <w:pStyle w:val="afffd"/>
      </w:pPr>
      <w:r>
        <w:rPr>
          <w:rFonts w:hint="eastAsia"/>
        </w:rPr>
        <w:t>资料来源：</w:t>
      </w:r>
      <w:r>
        <w:rPr>
          <w:rFonts w:hint="eastAsia"/>
        </w:rPr>
        <w:t>2020</w:t>
      </w:r>
      <w:r>
        <w:rPr>
          <w:rFonts w:hint="eastAsia"/>
        </w:rPr>
        <w:t>年度中国对外直接投资统计公报</w:t>
      </w:r>
    </w:p>
    <w:p w14:paraId="7BC11F6D" w14:textId="77777777" w:rsidR="006B10D9" w:rsidRDefault="006B10D9">
      <w:pPr>
        <w:pStyle w:val="afffb"/>
      </w:pPr>
    </w:p>
    <w:p w14:paraId="3ADF96B4"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从投资的价值链分布来看，中国企业在东盟的直接投资以销售及其他服务和加工制造为主，两者占比超过</w:t>
      </w:r>
      <w:r>
        <w:rPr>
          <w:rFonts w:eastAsia="宋体" w:cs="Times New Roman" w:hint="eastAsia"/>
          <w:sz w:val="24"/>
          <w:szCs w:val="30"/>
        </w:rPr>
        <w:t>80%</w:t>
      </w:r>
      <w:r>
        <w:rPr>
          <w:rFonts w:eastAsia="宋体" w:cs="Times New Roman" w:hint="eastAsia"/>
          <w:sz w:val="24"/>
          <w:szCs w:val="30"/>
        </w:rPr>
        <w:t>，而研发类投资只占很小比重。从国别来看，中国企业对新加坡投资的价值链环节与其他东盟国家差异明显，特别是销售及其他服务、研发环节投资的比重均远远超过其他东盟国家，而加工制造环节投资的比重远低于其他东盟国家。</w:t>
      </w:r>
    </w:p>
    <w:p w14:paraId="2EA545D8" w14:textId="77777777" w:rsidR="006B10D9" w:rsidRDefault="00BE6472">
      <w:pPr>
        <w:pStyle w:val="4"/>
      </w:pPr>
      <w:bookmarkStart w:id="88" w:name="_Toc18654"/>
      <w:r>
        <w:rPr>
          <w:rFonts w:hint="eastAsia"/>
        </w:rPr>
        <w:t>2</w:t>
      </w:r>
      <w:r>
        <w:rPr>
          <w:rFonts w:cs="华文楷体" w:hint="eastAsia"/>
        </w:rPr>
        <w:t>.</w:t>
      </w:r>
      <w:r>
        <w:rPr>
          <w:rFonts w:hint="eastAsia"/>
        </w:rPr>
        <w:t>影响中国对东盟直接投资的因素分析</w:t>
      </w:r>
      <w:bookmarkEnd w:id="88"/>
    </w:p>
    <w:p w14:paraId="157529C4"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sz w:val="24"/>
          <w:szCs w:val="24"/>
        </w:rPr>
        <w:t>（</w:t>
      </w:r>
      <w:r>
        <w:rPr>
          <w:rFonts w:eastAsia="宋体" w:cs="Times New Roman" w:hint="eastAsia"/>
          <w:sz w:val="24"/>
          <w:szCs w:val="24"/>
        </w:rPr>
        <w:t>1</w:t>
      </w:r>
      <w:r>
        <w:rPr>
          <w:rFonts w:eastAsia="宋体" w:cs="Times New Roman"/>
          <w:sz w:val="24"/>
          <w:szCs w:val="24"/>
        </w:rPr>
        <w:t>）</w:t>
      </w:r>
      <w:r>
        <w:rPr>
          <w:rFonts w:eastAsia="宋体" w:cs="Times New Roman" w:hint="eastAsia"/>
          <w:sz w:val="24"/>
          <w:szCs w:val="24"/>
        </w:rPr>
        <w:t>政治因素：分歧和争端对投资产生不利影响</w:t>
      </w:r>
    </w:p>
    <w:p w14:paraId="4AD003D1"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近年来东南亚国家政治局势风波不断，日益成为潜在的投资风险因素。虽然一直倡导“搁置争议、共同开发”，但菲律宾、越南、马来西亚等与中国的南海争端始终存在。根据《中国企业国际化报告》显示，</w:t>
      </w:r>
      <w:r>
        <w:rPr>
          <w:rFonts w:eastAsia="宋体" w:cs="Times New Roman" w:hint="eastAsia"/>
          <w:sz w:val="24"/>
          <w:szCs w:val="30"/>
        </w:rPr>
        <w:t>2005-2017</w:t>
      </w:r>
      <w:r>
        <w:rPr>
          <w:rFonts w:eastAsia="宋体" w:cs="Times New Roman" w:hint="eastAsia"/>
          <w:sz w:val="24"/>
          <w:szCs w:val="30"/>
        </w:rPr>
        <w:t>年，对东盟投资失败案例中，政治原因导致占比超</w:t>
      </w:r>
      <w:r>
        <w:rPr>
          <w:rFonts w:eastAsia="宋体" w:cs="Times New Roman" w:hint="eastAsia"/>
          <w:sz w:val="24"/>
          <w:szCs w:val="30"/>
        </w:rPr>
        <w:t>40%</w:t>
      </w:r>
      <w:r>
        <w:rPr>
          <w:rFonts w:eastAsia="宋体" w:cs="Times New Roman" w:hint="eastAsia"/>
          <w:sz w:val="24"/>
          <w:szCs w:val="30"/>
        </w:rPr>
        <w:t>，审批环节、政治派别斗争等原因导致占比超</w:t>
      </w:r>
      <w:r>
        <w:rPr>
          <w:rFonts w:eastAsia="宋体" w:cs="Times New Roman" w:hint="eastAsia"/>
          <w:sz w:val="24"/>
          <w:szCs w:val="30"/>
        </w:rPr>
        <w:t>10%</w:t>
      </w:r>
      <w:r>
        <w:rPr>
          <w:rFonts w:eastAsia="宋体" w:cs="Times New Roman" w:hint="eastAsia"/>
          <w:sz w:val="24"/>
          <w:szCs w:val="30"/>
        </w:rPr>
        <w:t>，东道国政府更替、政治动荡等原因导致占比超</w:t>
      </w:r>
      <w:r>
        <w:rPr>
          <w:rFonts w:eastAsia="宋体" w:cs="Times New Roman" w:hint="eastAsia"/>
          <w:sz w:val="24"/>
          <w:szCs w:val="30"/>
        </w:rPr>
        <w:t>20%</w:t>
      </w:r>
      <w:r>
        <w:rPr>
          <w:rFonts w:eastAsia="宋体" w:cs="Times New Roman" w:hint="eastAsia"/>
          <w:sz w:val="24"/>
          <w:szCs w:val="30"/>
        </w:rPr>
        <w:t>，这些均涉及到东道国政治因素。南海主权争端问题阻碍了中国企业在东盟地区的投资和发展，给中国在该地区的投资带来不确定性因素。</w:t>
      </w:r>
    </w:p>
    <w:p w14:paraId="292F4AEF" w14:textId="77777777" w:rsidR="006B10D9" w:rsidRDefault="00BE6472">
      <w:pPr>
        <w:spacing w:line="360" w:lineRule="auto"/>
        <w:ind w:firstLine="480"/>
        <w:rPr>
          <w:rFonts w:eastAsia="宋体" w:cs="Times New Roman"/>
          <w:sz w:val="24"/>
          <w:szCs w:val="30"/>
        </w:rPr>
      </w:pPr>
      <w:r>
        <w:rPr>
          <w:rFonts w:eastAsia="宋体" w:cs="Times New Roman" w:hint="eastAsia"/>
          <w:sz w:val="24"/>
          <w:szCs w:val="30"/>
        </w:rPr>
        <w:t>与此同时，美国日益视中国为最大战略竞争对手，遏制打压力度不断强化，推动自身及其盟友与中国经济强行“脱钩”或“去中国化”。具体措施：</w:t>
      </w:r>
      <w:r>
        <w:rPr>
          <w:rFonts w:eastAsia="宋体" w:cs="Times New Roman" w:hint="eastAsia"/>
          <w:b/>
          <w:bCs/>
          <w:sz w:val="24"/>
          <w:szCs w:val="30"/>
        </w:rPr>
        <w:t>一是</w:t>
      </w:r>
      <w:r>
        <w:rPr>
          <w:rFonts w:eastAsia="宋体" w:cs="Times New Roman" w:hint="eastAsia"/>
          <w:sz w:val="24"/>
          <w:szCs w:val="30"/>
        </w:rPr>
        <w:t>通过推进“重</w:t>
      </w:r>
      <w:r>
        <w:rPr>
          <w:rFonts w:eastAsia="宋体" w:cs="Times New Roman" w:hint="eastAsia"/>
          <w:sz w:val="24"/>
          <w:szCs w:val="30"/>
        </w:rPr>
        <w:lastRenderedPageBreak/>
        <w:t>返亚太”和“印太战略”，强化其东亚盟友与中国的政治安全对立，以“政治互疑”弱化“经济互利”，以安全对抗阻挠经济合作；</w:t>
      </w:r>
      <w:r>
        <w:rPr>
          <w:rFonts w:eastAsia="宋体" w:cs="Times New Roman" w:hint="eastAsia"/>
          <w:b/>
          <w:bCs/>
          <w:sz w:val="24"/>
          <w:szCs w:val="30"/>
        </w:rPr>
        <w:t>二是</w:t>
      </w:r>
      <w:r>
        <w:rPr>
          <w:rFonts w:eastAsia="宋体" w:cs="Times New Roman" w:hint="eastAsia"/>
          <w:sz w:val="24"/>
          <w:szCs w:val="30"/>
        </w:rPr>
        <w:t>直接诱导甚至逼迫其东亚盟友弱化对中国的经济依赖，尤其是阻挠东亚盟友国家的企业与中国企业在高科技领域（如</w:t>
      </w:r>
      <w:r>
        <w:rPr>
          <w:rFonts w:eastAsia="宋体" w:cs="Times New Roman" w:hint="eastAsia"/>
          <w:sz w:val="24"/>
          <w:szCs w:val="30"/>
        </w:rPr>
        <w:t>5G</w:t>
      </w:r>
      <w:r>
        <w:rPr>
          <w:rFonts w:eastAsia="宋体" w:cs="Times New Roman" w:hint="eastAsia"/>
          <w:sz w:val="24"/>
          <w:szCs w:val="30"/>
        </w:rPr>
        <w:t>）的合作，这势必对中国对东盟投资产生不利影响。</w:t>
      </w:r>
    </w:p>
    <w:p w14:paraId="165A7CC8"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）经济因素：东盟经济增长的基本面仍在</w:t>
      </w:r>
    </w:p>
    <w:p w14:paraId="2871C2D9" w14:textId="77777777" w:rsidR="006B10D9" w:rsidRDefault="00BE6472">
      <w:pPr>
        <w:widowControl/>
        <w:spacing w:line="360" w:lineRule="auto"/>
        <w:ind w:firstLine="480"/>
        <w:rPr>
          <w:rFonts w:eastAsia="宋体" w:cs="Times New Roman"/>
          <w:sz w:val="24"/>
          <w:szCs w:val="30"/>
        </w:rPr>
      </w:pPr>
      <w:r>
        <w:rPr>
          <w:rFonts w:eastAsia="宋体" w:cs="Times New Roman" w:hint="eastAsia"/>
          <w:sz w:val="24"/>
          <w:szCs w:val="30"/>
        </w:rPr>
        <w:t>东盟各国正在顽强抗疫中致力经济复苏。</w:t>
      </w:r>
      <w:r>
        <w:rPr>
          <w:rFonts w:eastAsia="宋体" w:cs="Times New Roman" w:hint="eastAsia"/>
          <w:sz w:val="24"/>
          <w:szCs w:val="30"/>
        </w:rPr>
        <w:t>2021</w:t>
      </w:r>
      <w:r>
        <w:rPr>
          <w:rFonts w:eastAsia="宋体" w:cs="Times New Roman" w:hint="eastAsia"/>
          <w:sz w:val="24"/>
          <w:szCs w:val="30"/>
        </w:rPr>
        <w:t>年，新加坡</w:t>
      </w:r>
      <w:r>
        <w:rPr>
          <w:rFonts w:eastAsia="宋体" w:cs="Times New Roman" w:hint="eastAsia"/>
          <w:sz w:val="24"/>
          <w:szCs w:val="30"/>
        </w:rPr>
        <w:t>6</w:t>
      </w:r>
      <w:r>
        <w:rPr>
          <w:rFonts w:eastAsia="宋体" w:cs="Times New Roman" w:hint="eastAsia"/>
          <w:sz w:val="24"/>
          <w:szCs w:val="30"/>
        </w:rPr>
        <w:t>月份采购经理指数（</w:t>
      </w:r>
      <w:r>
        <w:rPr>
          <w:rFonts w:eastAsia="宋体" w:cs="Times New Roman" w:hint="eastAsia"/>
          <w:sz w:val="24"/>
          <w:szCs w:val="30"/>
        </w:rPr>
        <w:t>PMI</w:t>
      </w:r>
      <w:r>
        <w:rPr>
          <w:rFonts w:eastAsia="宋体" w:cs="Times New Roman" w:hint="eastAsia"/>
          <w:sz w:val="24"/>
          <w:szCs w:val="30"/>
        </w:rPr>
        <w:t>）从</w:t>
      </w:r>
      <w:r>
        <w:rPr>
          <w:rFonts w:eastAsia="宋体" w:cs="Times New Roman" w:hint="eastAsia"/>
          <w:sz w:val="24"/>
          <w:szCs w:val="30"/>
        </w:rPr>
        <w:t>50.7</w:t>
      </w:r>
      <w:r>
        <w:rPr>
          <w:rFonts w:eastAsia="宋体" w:cs="Times New Roman" w:hint="eastAsia"/>
          <w:sz w:val="24"/>
          <w:szCs w:val="30"/>
        </w:rPr>
        <w:t>攀高至</w:t>
      </w:r>
      <w:r>
        <w:rPr>
          <w:rFonts w:eastAsia="宋体" w:cs="Times New Roman" w:hint="eastAsia"/>
          <w:sz w:val="24"/>
          <w:szCs w:val="30"/>
        </w:rPr>
        <w:t>50.8</w:t>
      </w:r>
      <w:r>
        <w:rPr>
          <w:rFonts w:eastAsia="宋体" w:cs="Times New Roman" w:hint="eastAsia"/>
          <w:sz w:val="24"/>
          <w:szCs w:val="30"/>
        </w:rPr>
        <w:t>；印尼制造业</w:t>
      </w:r>
      <w:r>
        <w:rPr>
          <w:rFonts w:eastAsia="宋体" w:cs="Times New Roman" w:hint="eastAsia"/>
          <w:sz w:val="24"/>
          <w:szCs w:val="30"/>
        </w:rPr>
        <w:t>6</w:t>
      </w:r>
      <w:r>
        <w:rPr>
          <w:rFonts w:eastAsia="宋体" w:cs="Times New Roman" w:hint="eastAsia"/>
          <w:sz w:val="24"/>
          <w:szCs w:val="30"/>
        </w:rPr>
        <w:t>月份</w:t>
      </w:r>
      <w:r>
        <w:rPr>
          <w:rFonts w:eastAsia="宋体" w:cs="Times New Roman" w:hint="eastAsia"/>
          <w:sz w:val="24"/>
          <w:szCs w:val="30"/>
        </w:rPr>
        <w:t>PMI</w:t>
      </w:r>
      <w:r>
        <w:rPr>
          <w:rFonts w:eastAsia="宋体" w:cs="Times New Roman" w:hint="eastAsia"/>
          <w:sz w:val="24"/>
          <w:szCs w:val="30"/>
        </w:rPr>
        <w:t>连续第</w:t>
      </w:r>
      <w:r>
        <w:rPr>
          <w:rFonts w:eastAsia="宋体" w:cs="Times New Roman" w:hint="eastAsia"/>
          <w:sz w:val="24"/>
          <w:szCs w:val="30"/>
        </w:rPr>
        <w:t>8</w:t>
      </w:r>
      <w:r>
        <w:rPr>
          <w:rFonts w:eastAsia="宋体" w:cs="Times New Roman" w:hint="eastAsia"/>
          <w:sz w:val="24"/>
          <w:szCs w:val="30"/>
        </w:rPr>
        <w:t>个月高于</w:t>
      </w:r>
      <w:r>
        <w:rPr>
          <w:rFonts w:eastAsia="宋体" w:cs="Times New Roman" w:hint="eastAsia"/>
          <w:sz w:val="24"/>
          <w:szCs w:val="30"/>
        </w:rPr>
        <w:t>50</w:t>
      </w:r>
      <w:r>
        <w:rPr>
          <w:rFonts w:eastAsia="宋体" w:cs="Times New Roman" w:hint="eastAsia"/>
          <w:sz w:val="24"/>
          <w:szCs w:val="30"/>
        </w:rPr>
        <w:t>点；菲律宾制造业</w:t>
      </w:r>
      <w:r>
        <w:rPr>
          <w:rFonts w:eastAsia="宋体" w:cs="Times New Roman" w:hint="eastAsia"/>
          <w:sz w:val="24"/>
          <w:szCs w:val="30"/>
        </w:rPr>
        <w:t>6</w:t>
      </w:r>
      <w:r>
        <w:rPr>
          <w:rFonts w:eastAsia="宋体" w:cs="Times New Roman" w:hint="eastAsia"/>
          <w:sz w:val="24"/>
          <w:szCs w:val="30"/>
        </w:rPr>
        <w:t>月份</w:t>
      </w:r>
      <w:r>
        <w:rPr>
          <w:rFonts w:eastAsia="宋体" w:cs="Times New Roman" w:hint="eastAsia"/>
          <w:sz w:val="24"/>
          <w:szCs w:val="30"/>
        </w:rPr>
        <w:t>PMI</w:t>
      </w:r>
      <w:r>
        <w:rPr>
          <w:rFonts w:eastAsia="宋体" w:cs="Times New Roman" w:hint="eastAsia"/>
          <w:sz w:val="24"/>
          <w:szCs w:val="30"/>
        </w:rPr>
        <w:t>指数则在近</w:t>
      </w:r>
      <w:r>
        <w:rPr>
          <w:rFonts w:eastAsia="宋体" w:cs="Times New Roman" w:hint="eastAsia"/>
          <w:sz w:val="24"/>
          <w:szCs w:val="30"/>
        </w:rPr>
        <w:t>3</w:t>
      </w:r>
      <w:r>
        <w:rPr>
          <w:rFonts w:eastAsia="宋体" w:cs="Times New Roman" w:hint="eastAsia"/>
          <w:sz w:val="24"/>
          <w:szCs w:val="30"/>
        </w:rPr>
        <w:t>个月内首次高于</w:t>
      </w:r>
      <w:r>
        <w:rPr>
          <w:rFonts w:eastAsia="宋体" w:cs="Times New Roman" w:hint="eastAsia"/>
          <w:sz w:val="24"/>
          <w:szCs w:val="30"/>
        </w:rPr>
        <w:t>50</w:t>
      </w:r>
      <w:r>
        <w:rPr>
          <w:rFonts w:eastAsia="宋体" w:cs="Times New Roman" w:hint="eastAsia"/>
          <w:sz w:val="24"/>
          <w:szCs w:val="30"/>
        </w:rPr>
        <w:t>点；泰国制造业</w:t>
      </w:r>
      <w:r>
        <w:rPr>
          <w:rFonts w:eastAsia="宋体" w:cs="Times New Roman" w:hint="eastAsia"/>
          <w:sz w:val="24"/>
          <w:szCs w:val="30"/>
        </w:rPr>
        <w:t>6</w:t>
      </w:r>
      <w:r>
        <w:rPr>
          <w:rFonts w:eastAsia="宋体" w:cs="Times New Roman" w:hint="eastAsia"/>
          <w:sz w:val="24"/>
          <w:szCs w:val="30"/>
        </w:rPr>
        <w:t>月份</w:t>
      </w:r>
      <w:r>
        <w:rPr>
          <w:rFonts w:eastAsia="宋体" w:cs="Times New Roman" w:hint="eastAsia"/>
          <w:sz w:val="24"/>
          <w:szCs w:val="30"/>
        </w:rPr>
        <w:t>PMI</w:t>
      </w:r>
      <w:r>
        <w:rPr>
          <w:rFonts w:eastAsia="宋体" w:cs="Times New Roman" w:hint="eastAsia"/>
          <w:sz w:val="24"/>
          <w:szCs w:val="30"/>
        </w:rPr>
        <w:t>指数从</w:t>
      </w:r>
      <w:r>
        <w:rPr>
          <w:rFonts w:eastAsia="宋体" w:cs="Times New Roman" w:hint="eastAsia"/>
          <w:sz w:val="24"/>
          <w:szCs w:val="30"/>
        </w:rPr>
        <w:t>5</w:t>
      </w:r>
      <w:r>
        <w:rPr>
          <w:rFonts w:eastAsia="宋体" w:cs="Times New Roman" w:hint="eastAsia"/>
          <w:sz w:val="24"/>
          <w:szCs w:val="30"/>
        </w:rPr>
        <w:t>月份的</w:t>
      </w:r>
      <w:r>
        <w:rPr>
          <w:rFonts w:eastAsia="宋体" w:cs="Times New Roman" w:hint="eastAsia"/>
          <w:sz w:val="24"/>
          <w:szCs w:val="30"/>
        </w:rPr>
        <w:t>47.8</w:t>
      </w:r>
      <w:r>
        <w:rPr>
          <w:rFonts w:eastAsia="宋体" w:cs="Times New Roman" w:hint="eastAsia"/>
          <w:sz w:val="24"/>
          <w:szCs w:val="30"/>
        </w:rPr>
        <w:t>升至</w:t>
      </w:r>
      <w:r>
        <w:rPr>
          <w:rFonts w:eastAsia="宋体" w:cs="Times New Roman" w:hint="eastAsia"/>
          <w:sz w:val="24"/>
          <w:szCs w:val="30"/>
        </w:rPr>
        <w:t>49.5</w:t>
      </w:r>
      <w:r>
        <w:rPr>
          <w:rFonts w:eastAsia="宋体" w:cs="Times New Roman" w:hint="eastAsia"/>
          <w:sz w:val="24"/>
          <w:szCs w:val="30"/>
        </w:rPr>
        <w:t>。预计</w:t>
      </w:r>
      <w:r>
        <w:rPr>
          <w:rFonts w:eastAsia="宋体" w:cs="Times New Roman" w:hint="eastAsia"/>
          <w:sz w:val="24"/>
          <w:szCs w:val="30"/>
        </w:rPr>
        <w:t>2021</w:t>
      </w:r>
      <w:r>
        <w:rPr>
          <w:rFonts w:eastAsia="宋体" w:cs="Times New Roman" w:hint="eastAsia"/>
          <w:sz w:val="24"/>
          <w:szCs w:val="30"/>
        </w:rPr>
        <w:t>年东盟增长将接近疫情前水平，达到</w:t>
      </w:r>
      <w:r>
        <w:rPr>
          <w:rFonts w:eastAsia="宋体" w:cs="Times New Roman" w:hint="eastAsia"/>
          <w:sz w:val="24"/>
          <w:szCs w:val="30"/>
        </w:rPr>
        <w:t>4.4%</w:t>
      </w:r>
      <w:r>
        <w:rPr>
          <w:rFonts w:eastAsia="宋体" w:cs="Times New Roman" w:hint="eastAsia"/>
          <w:sz w:val="24"/>
          <w:szCs w:val="30"/>
        </w:rPr>
        <w:t>，</w:t>
      </w:r>
      <w:r>
        <w:rPr>
          <w:rFonts w:eastAsia="宋体" w:cs="Times New Roman" w:hint="eastAsia"/>
          <w:sz w:val="24"/>
          <w:szCs w:val="30"/>
        </w:rPr>
        <w:t>2022</w:t>
      </w:r>
      <w:r>
        <w:rPr>
          <w:rFonts w:eastAsia="宋体" w:cs="Times New Roman" w:hint="eastAsia"/>
          <w:sz w:val="24"/>
          <w:szCs w:val="30"/>
        </w:rPr>
        <w:t>年可达</w:t>
      </w:r>
      <w:r>
        <w:rPr>
          <w:rFonts w:eastAsia="宋体" w:cs="Times New Roman" w:hint="eastAsia"/>
          <w:sz w:val="24"/>
          <w:szCs w:val="30"/>
        </w:rPr>
        <w:t>5.1%</w:t>
      </w:r>
      <w:r>
        <w:rPr>
          <w:rFonts w:eastAsia="宋体" w:cs="Times New Roman" w:hint="eastAsia"/>
          <w:sz w:val="24"/>
          <w:szCs w:val="30"/>
        </w:rPr>
        <w:t>。除缅甸外的东盟九国今年和明年均可实现正增长。</w:t>
      </w:r>
    </w:p>
    <w:p w14:paraId="2F4CCF88" w14:textId="77777777" w:rsidR="006B10D9" w:rsidRDefault="00BE6472">
      <w:pPr>
        <w:widowControl/>
        <w:spacing w:line="360" w:lineRule="auto"/>
        <w:ind w:firstLine="480"/>
        <w:rPr>
          <w:rFonts w:eastAsia="宋体" w:cs="Times New Roman"/>
          <w:sz w:val="24"/>
          <w:szCs w:val="30"/>
        </w:rPr>
      </w:pPr>
      <w:r>
        <w:rPr>
          <w:rFonts w:eastAsia="宋体" w:cs="Times New Roman" w:hint="eastAsia"/>
          <w:sz w:val="24"/>
          <w:szCs w:val="30"/>
        </w:rPr>
        <w:t>2021</w:t>
      </w:r>
      <w:r>
        <w:rPr>
          <w:rFonts w:eastAsia="宋体" w:cs="Times New Roman" w:hint="eastAsia"/>
          <w:sz w:val="24"/>
          <w:szCs w:val="30"/>
        </w:rPr>
        <w:t>年</w:t>
      </w:r>
      <w:r>
        <w:rPr>
          <w:rFonts w:eastAsia="宋体" w:cs="Times New Roman" w:hint="eastAsia"/>
          <w:sz w:val="24"/>
          <w:szCs w:val="30"/>
        </w:rPr>
        <w:t>1-5</w:t>
      </w:r>
      <w:r>
        <w:rPr>
          <w:rFonts w:eastAsia="宋体" w:cs="Times New Roman" w:hint="eastAsia"/>
          <w:sz w:val="24"/>
          <w:szCs w:val="30"/>
        </w:rPr>
        <w:t>月，中国企业在“一带一路”沿线对</w:t>
      </w:r>
      <w:r>
        <w:rPr>
          <w:rFonts w:eastAsia="宋体" w:cs="Times New Roman" w:hint="eastAsia"/>
          <w:sz w:val="24"/>
          <w:szCs w:val="30"/>
        </w:rPr>
        <w:t>55</w:t>
      </w:r>
      <w:r>
        <w:rPr>
          <w:rFonts w:eastAsia="宋体" w:cs="Times New Roman" w:hint="eastAsia"/>
          <w:sz w:val="24"/>
          <w:szCs w:val="30"/>
        </w:rPr>
        <w:t>个国家非金融类直接投资的前十大国家中，有</w:t>
      </w:r>
      <w:r>
        <w:rPr>
          <w:rFonts w:eastAsia="宋体" w:cs="Times New Roman" w:hint="eastAsia"/>
          <w:sz w:val="24"/>
          <w:szCs w:val="30"/>
        </w:rPr>
        <w:t>6</w:t>
      </w:r>
      <w:r>
        <w:rPr>
          <w:rFonts w:eastAsia="宋体" w:cs="Times New Roman" w:hint="eastAsia"/>
          <w:sz w:val="24"/>
          <w:szCs w:val="30"/>
        </w:rPr>
        <w:t>个是东盟国家，即新加坡、印度尼西亚、越南、老挝、泰国、马来西亚。</w:t>
      </w:r>
      <w:r>
        <w:rPr>
          <w:rFonts w:eastAsia="宋体" w:cs="Times New Roman" w:hint="eastAsia"/>
          <w:sz w:val="24"/>
          <w:szCs w:val="30"/>
        </w:rPr>
        <w:t>2021</w:t>
      </w:r>
      <w:r>
        <w:rPr>
          <w:rFonts w:eastAsia="宋体" w:cs="Times New Roman" w:hint="eastAsia"/>
          <w:sz w:val="24"/>
          <w:szCs w:val="30"/>
        </w:rPr>
        <w:t>年上半年，中国在柬埔寨投资约</w:t>
      </w:r>
      <w:r>
        <w:rPr>
          <w:rFonts w:eastAsia="宋体" w:cs="Times New Roman" w:hint="eastAsia"/>
          <w:sz w:val="24"/>
          <w:szCs w:val="30"/>
        </w:rPr>
        <w:t>20</w:t>
      </w:r>
      <w:r>
        <w:rPr>
          <w:rFonts w:eastAsia="宋体" w:cs="Times New Roman" w:hint="eastAsia"/>
          <w:sz w:val="24"/>
          <w:szCs w:val="30"/>
        </w:rPr>
        <w:t>亿美元，占柬总投资额的</w:t>
      </w:r>
      <w:r>
        <w:rPr>
          <w:rFonts w:eastAsia="宋体" w:cs="Times New Roman" w:hint="eastAsia"/>
          <w:sz w:val="24"/>
          <w:szCs w:val="30"/>
        </w:rPr>
        <w:t>69%</w:t>
      </w:r>
      <w:r>
        <w:rPr>
          <w:rFonts w:eastAsia="宋体" w:cs="Times New Roman" w:hint="eastAsia"/>
          <w:sz w:val="24"/>
          <w:szCs w:val="30"/>
        </w:rPr>
        <w:t>，是柬埔寨最大的投资来源国。以此可见，中国对东盟投资仍具有较大空间和潜力。</w:t>
      </w:r>
    </w:p>
    <w:p w14:paraId="30C25FEF"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）社会因素：新冠疫情催生新的投资方向和领域</w:t>
      </w:r>
    </w:p>
    <w:p w14:paraId="2BE73143" w14:textId="77777777" w:rsidR="006B10D9" w:rsidRDefault="00BE6472">
      <w:pPr>
        <w:widowControl/>
        <w:spacing w:line="360" w:lineRule="auto"/>
        <w:ind w:firstLine="480"/>
        <w:rPr>
          <w:rFonts w:eastAsia="宋体" w:cs="Times New Roman"/>
          <w:sz w:val="24"/>
          <w:szCs w:val="30"/>
        </w:rPr>
      </w:pPr>
      <w:r>
        <w:rPr>
          <w:rFonts w:eastAsia="宋体" w:cs="Times New Roman" w:hint="eastAsia"/>
          <w:sz w:val="24"/>
          <w:szCs w:val="30"/>
        </w:rPr>
        <w:t>新冠疫情的冲击让中国与欧美市场之间的经贸往来因货运与人员流动受限而下滑，东盟作为中国周边最具活力的增长区域，成为中国复工复产、经济复苏后发展红利溢出的直接受益者。中国正在积极推动形成国内国际双循环相互促进的新发展格局，“十四五”期间将继续深化改革、扩大开放，这将为东盟各国发展繁荣带来更多更大的机遇。</w:t>
      </w:r>
    </w:p>
    <w:p w14:paraId="5F599E38" w14:textId="77777777" w:rsidR="006B10D9" w:rsidRDefault="00BE6472">
      <w:pPr>
        <w:widowControl/>
        <w:spacing w:line="360" w:lineRule="auto"/>
        <w:ind w:firstLine="480"/>
        <w:rPr>
          <w:rFonts w:eastAsia="宋体" w:cs="Times New Roman"/>
          <w:sz w:val="24"/>
          <w:szCs w:val="30"/>
        </w:rPr>
      </w:pPr>
      <w:r>
        <w:rPr>
          <w:rFonts w:eastAsia="宋体" w:cs="Times New Roman" w:hint="eastAsia"/>
          <w:sz w:val="24"/>
          <w:szCs w:val="30"/>
        </w:rPr>
        <w:t>疫情催生了新模式、新业态，特别是数字经济的飞速发展。中国和东盟贸易中机电产品占一半以上，疫情期间电子产品贸易增长迅猛，这种势头料将长期保持。疫情过后，健康旅游产业、生物医疗产业有望成为下一个投资新风口，中国与新加坡、马来西亚、泰国等都有很大的合作潜力与空间；在线教育、在线体验式购物等领域也将涌现出大量的商机；智慧城市建设中智能交通、智能医疗等都为中国—东盟企业合作提供了新的投资机遇。</w:t>
      </w:r>
    </w:p>
    <w:p w14:paraId="0C17C41B" w14:textId="77777777" w:rsidR="006B10D9" w:rsidRDefault="00BE6472">
      <w:pPr>
        <w:pStyle w:val="4"/>
        <w:rPr>
          <w:szCs w:val="30"/>
        </w:rPr>
      </w:pPr>
      <w:bookmarkStart w:id="89" w:name="_Toc15650"/>
      <w:r>
        <w:rPr>
          <w:rFonts w:hint="eastAsia"/>
        </w:rPr>
        <w:t>3</w:t>
      </w:r>
      <w:r>
        <w:rPr>
          <w:rFonts w:cs="华文楷体" w:hint="eastAsia"/>
        </w:rPr>
        <w:t>.</w:t>
      </w:r>
      <w:r>
        <w:rPr>
          <w:rFonts w:hint="eastAsia"/>
        </w:rPr>
        <w:t>促进中资企业对东盟投资策略重点</w:t>
      </w:r>
      <w:bookmarkEnd w:id="89"/>
    </w:p>
    <w:p w14:paraId="06CAF9A8"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lastRenderedPageBreak/>
        <w:t>（</w:t>
      </w:r>
      <w:r>
        <w:rPr>
          <w:rFonts w:eastAsia="宋体" w:cs="Times New Roman" w:hint="eastAsia"/>
          <w:sz w:val="24"/>
          <w:szCs w:val="24"/>
        </w:rPr>
        <w:t>1</w:t>
      </w:r>
      <w:r>
        <w:rPr>
          <w:rFonts w:eastAsia="宋体" w:cs="Times New Roman" w:hint="eastAsia"/>
          <w:sz w:val="24"/>
          <w:szCs w:val="24"/>
        </w:rPr>
        <w:t>）利用</w:t>
      </w:r>
      <w:r>
        <w:rPr>
          <w:rFonts w:eastAsia="宋体" w:cs="Times New Roman" w:hint="eastAsia"/>
          <w:sz w:val="24"/>
          <w:szCs w:val="24"/>
        </w:rPr>
        <w:t>RCEP</w:t>
      </w:r>
      <w:r>
        <w:rPr>
          <w:rFonts w:eastAsia="宋体" w:cs="Times New Roman" w:hint="eastAsia"/>
          <w:sz w:val="24"/>
          <w:szCs w:val="24"/>
        </w:rPr>
        <w:t>协定提升投资自由化和便利化</w:t>
      </w:r>
    </w:p>
    <w:p w14:paraId="33D85E33" w14:textId="77777777" w:rsidR="006B10D9" w:rsidRDefault="00BE6472">
      <w:pPr>
        <w:widowControl/>
        <w:spacing w:line="360" w:lineRule="auto"/>
        <w:ind w:firstLine="480"/>
        <w:rPr>
          <w:rFonts w:eastAsia="宋体" w:cs="Times New Roman"/>
          <w:sz w:val="24"/>
          <w:szCs w:val="30"/>
        </w:rPr>
      </w:pPr>
      <w:r>
        <w:rPr>
          <w:rFonts w:eastAsia="宋体" w:cs="Times New Roman" w:hint="eastAsia"/>
          <w:sz w:val="24"/>
          <w:szCs w:val="30"/>
        </w:rPr>
        <w:t>2019</w:t>
      </w:r>
      <w:r>
        <w:rPr>
          <w:rFonts w:eastAsia="宋体" w:cs="Times New Roman" w:hint="eastAsia"/>
          <w:sz w:val="24"/>
          <w:szCs w:val="30"/>
        </w:rPr>
        <w:t>年</w:t>
      </w:r>
      <w:r>
        <w:rPr>
          <w:rFonts w:eastAsia="宋体" w:cs="Times New Roman" w:hint="eastAsia"/>
          <w:sz w:val="24"/>
          <w:szCs w:val="30"/>
        </w:rPr>
        <w:t>10</w:t>
      </w:r>
      <w:r>
        <w:rPr>
          <w:rFonts w:eastAsia="宋体" w:cs="Times New Roman" w:hint="eastAsia"/>
          <w:sz w:val="24"/>
          <w:szCs w:val="30"/>
        </w:rPr>
        <w:t>月，中国－东盟自贸区升级《议定书》全面生效。</w:t>
      </w:r>
      <w:r>
        <w:rPr>
          <w:rFonts w:eastAsia="宋体" w:cs="Times New Roman" w:hint="eastAsia"/>
          <w:sz w:val="24"/>
          <w:szCs w:val="30"/>
        </w:rPr>
        <w:t>2021</w:t>
      </w:r>
      <w:r>
        <w:rPr>
          <w:rFonts w:eastAsia="宋体" w:cs="Times New Roman" w:hint="eastAsia"/>
          <w:sz w:val="24"/>
          <w:szCs w:val="30"/>
        </w:rPr>
        <w:t>年</w:t>
      </w:r>
      <w:r>
        <w:rPr>
          <w:rFonts w:eastAsia="宋体" w:cs="Times New Roman" w:hint="eastAsia"/>
          <w:sz w:val="24"/>
          <w:szCs w:val="30"/>
        </w:rPr>
        <w:t>3</w:t>
      </w:r>
      <w:r>
        <w:rPr>
          <w:rFonts w:eastAsia="宋体" w:cs="Times New Roman" w:hint="eastAsia"/>
          <w:sz w:val="24"/>
          <w:szCs w:val="30"/>
        </w:rPr>
        <w:t>月，中国已经率先完成</w:t>
      </w:r>
      <w:r>
        <w:rPr>
          <w:rFonts w:eastAsia="宋体" w:cs="Times New Roman" w:hint="eastAsia"/>
          <w:sz w:val="24"/>
          <w:szCs w:val="30"/>
        </w:rPr>
        <w:t>RCEP</w:t>
      </w:r>
      <w:r>
        <w:rPr>
          <w:rFonts w:eastAsia="宋体" w:cs="Times New Roman" w:hint="eastAsia"/>
          <w:sz w:val="24"/>
          <w:szCs w:val="30"/>
        </w:rPr>
        <w:t>的核准。随着中国、新加坡、泰国、日本先后完成</w:t>
      </w:r>
      <w:r>
        <w:rPr>
          <w:rFonts w:eastAsia="宋体" w:cs="Times New Roman" w:hint="eastAsia"/>
          <w:sz w:val="24"/>
          <w:szCs w:val="30"/>
        </w:rPr>
        <w:t>RCEP</w:t>
      </w:r>
      <w:r>
        <w:rPr>
          <w:rFonts w:eastAsia="宋体" w:cs="Times New Roman" w:hint="eastAsia"/>
          <w:sz w:val="24"/>
          <w:szCs w:val="30"/>
        </w:rPr>
        <w:t>批准程序，该协议将于</w:t>
      </w:r>
      <w:r>
        <w:rPr>
          <w:rFonts w:eastAsia="宋体" w:cs="Times New Roman" w:hint="eastAsia"/>
          <w:sz w:val="24"/>
          <w:szCs w:val="30"/>
        </w:rPr>
        <w:t>2022</w:t>
      </w:r>
      <w:r>
        <w:rPr>
          <w:rFonts w:eastAsia="宋体" w:cs="Times New Roman" w:hint="eastAsia"/>
          <w:sz w:val="24"/>
          <w:szCs w:val="30"/>
        </w:rPr>
        <w:t>年</w:t>
      </w:r>
      <w:r>
        <w:rPr>
          <w:rFonts w:eastAsia="宋体" w:cs="Times New Roman" w:hint="eastAsia"/>
          <w:sz w:val="24"/>
          <w:szCs w:val="30"/>
        </w:rPr>
        <w:t>1</w:t>
      </w:r>
      <w:r>
        <w:rPr>
          <w:rFonts w:eastAsia="宋体" w:cs="Times New Roman" w:hint="eastAsia"/>
          <w:sz w:val="24"/>
          <w:szCs w:val="30"/>
        </w:rPr>
        <w:t>月</w:t>
      </w:r>
      <w:r>
        <w:rPr>
          <w:rFonts w:eastAsia="宋体" w:cs="Times New Roman" w:hint="eastAsia"/>
          <w:sz w:val="24"/>
          <w:szCs w:val="30"/>
        </w:rPr>
        <w:t>1</w:t>
      </w:r>
      <w:r>
        <w:rPr>
          <w:rFonts w:eastAsia="宋体" w:cs="Times New Roman" w:hint="eastAsia"/>
          <w:sz w:val="24"/>
          <w:szCs w:val="30"/>
        </w:rPr>
        <w:t>日正式生效实施。其中，</w:t>
      </w:r>
      <w:r>
        <w:rPr>
          <w:rFonts w:eastAsia="宋体" w:cs="Times New Roman" w:hint="eastAsia"/>
          <w:sz w:val="24"/>
          <w:szCs w:val="30"/>
        </w:rPr>
        <w:t>RCEP</w:t>
      </w:r>
      <w:r>
        <w:rPr>
          <w:rFonts w:eastAsia="宋体" w:cs="Times New Roman" w:hint="eastAsia"/>
          <w:sz w:val="24"/>
          <w:szCs w:val="30"/>
        </w:rPr>
        <w:t>投资章对原“东盟</w:t>
      </w:r>
      <w:r>
        <w:rPr>
          <w:rFonts w:eastAsia="宋体" w:cs="Times New Roman" w:hint="eastAsia"/>
          <w:sz w:val="24"/>
          <w:szCs w:val="30"/>
        </w:rPr>
        <w:t>10+1</w:t>
      </w:r>
      <w:r>
        <w:rPr>
          <w:rFonts w:eastAsia="宋体" w:cs="Times New Roman" w:hint="eastAsia"/>
          <w:sz w:val="24"/>
          <w:szCs w:val="30"/>
        </w:rPr>
        <w:t>自由贸易协定”投资规则进行整合升级，在投资市场准入和投资保护等方面作出了全面、平衡的投资安排，实质上形成了当前亚洲地区规模最大的投资协定，有助于营造更加稳定、开放、便利的区域投资环境。</w:t>
      </w:r>
    </w:p>
    <w:p w14:paraId="0EA29EE6" w14:textId="77777777" w:rsidR="006B10D9" w:rsidRDefault="00BE6472">
      <w:pPr>
        <w:widowControl/>
        <w:spacing w:line="360" w:lineRule="auto"/>
        <w:ind w:firstLine="482"/>
        <w:rPr>
          <w:rFonts w:eastAsia="宋体" w:cs="Times New Roman"/>
          <w:sz w:val="24"/>
          <w:szCs w:val="30"/>
        </w:rPr>
      </w:pPr>
      <w:r>
        <w:rPr>
          <w:rFonts w:eastAsia="宋体" w:cs="Times New Roman" w:hint="eastAsia"/>
          <w:b/>
          <w:bCs/>
          <w:sz w:val="24"/>
          <w:szCs w:val="30"/>
        </w:rPr>
        <w:t>对政府来说</w:t>
      </w:r>
      <w:r>
        <w:rPr>
          <w:rFonts w:eastAsia="宋体" w:cs="Times New Roman" w:hint="eastAsia"/>
          <w:sz w:val="24"/>
          <w:szCs w:val="30"/>
        </w:rPr>
        <w:t>，各成员国均采用负面清单模式做出承诺。对我国来说，这是首次在国际协定中纳入非服务业投资负面清单，对制造业、农业、林业、渔业、采矿业</w:t>
      </w:r>
      <w:r>
        <w:rPr>
          <w:rFonts w:eastAsia="宋体" w:cs="Times New Roman" w:hint="eastAsia"/>
          <w:sz w:val="24"/>
          <w:szCs w:val="30"/>
        </w:rPr>
        <w:t>5</w:t>
      </w:r>
      <w:r>
        <w:rPr>
          <w:rFonts w:eastAsia="宋体" w:cs="Times New Roman" w:hint="eastAsia"/>
          <w:sz w:val="24"/>
          <w:szCs w:val="30"/>
        </w:rPr>
        <w:t>个领域作出高水平自由化承诺，大大扩展了清单内涵，提升了投资政策透明度。要加快落实投资负面清单承诺，加强部门间协同配合，加快完成国内核准程序；推进货物贸易、服务贸易、投资、自然人移动等领域开放；推进在贸易投资自由化便利化、知识产权保护、贸易救济、电子商务、政府采购、中小企业和经济技术合作等方面实行更高标准规则。</w:t>
      </w:r>
    </w:p>
    <w:p w14:paraId="0FB6A544" w14:textId="77777777" w:rsidR="006B10D9" w:rsidRDefault="00BE6472">
      <w:pPr>
        <w:widowControl/>
        <w:spacing w:line="360" w:lineRule="auto"/>
        <w:ind w:firstLine="482"/>
        <w:rPr>
          <w:rFonts w:eastAsia="宋体" w:cs="Times New Roman"/>
          <w:sz w:val="24"/>
          <w:szCs w:val="30"/>
        </w:rPr>
      </w:pPr>
      <w:r>
        <w:rPr>
          <w:rFonts w:eastAsia="宋体" w:cs="Times New Roman" w:hint="eastAsia"/>
          <w:b/>
          <w:bCs/>
          <w:sz w:val="24"/>
          <w:szCs w:val="30"/>
        </w:rPr>
        <w:t>对企业来说</w:t>
      </w:r>
      <w:r>
        <w:rPr>
          <w:rFonts w:eastAsia="宋体" w:cs="Times New Roman" w:hint="eastAsia"/>
          <w:sz w:val="24"/>
          <w:szCs w:val="30"/>
        </w:rPr>
        <w:t>，要抓住</w:t>
      </w:r>
      <w:r>
        <w:rPr>
          <w:rFonts w:eastAsia="宋体" w:cs="Times New Roman" w:hint="eastAsia"/>
          <w:sz w:val="24"/>
          <w:szCs w:val="30"/>
        </w:rPr>
        <w:t>RCEP</w:t>
      </w:r>
      <w:r>
        <w:rPr>
          <w:rFonts w:eastAsia="宋体" w:cs="Times New Roman" w:hint="eastAsia"/>
          <w:sz w:val="24"/>
          <w:szCs w:val="30"/>
        </w:rPr>
        <w:t>带来的投资机遇，要仔细研究协定内容，在资金方面，投资准入相关政策的落实有助于吸引投资。利用区域累积原产地规则，合理安排生产布局，提升产品附加值；利用海关便利化协定和电子商务规则，高效促进产品跨境流动，服务东亚和东南亚市场；此外，可利用日本在</w:t>
      </w:r>
      <w:r>
        <w:rPr>
          <w:rFonts w:eastAsia="宋体" w:cs="Times New Roman" w:hint="eastAsia"/>
          <w:sz w:val="24"/>
          <w:szCs w:val="30"/>
        </w:rPr>
        <w:t>RCEP</w:t>
      </w:r>
      <w:r>
        <w:rPr>
          <w:rFonts w:eastAsia="宋体" w:cs="Times New Roman" w:hint="eastAsia"/>
          <w:sz w:val="24"/>
          <w:szCs w:val="30"/>
        </w:rPr>
        <w:t>下作出的高于</w:t>
      </w:r>
      <w:r>
        <w:rPr>
          <w:rFonts w:eastAsia="宋体" w:cs="Times New Roman" w:hint="eastAsia"/>
          <w:sz w:val="24"/>
          <w:szCs w:val="30"/>
        </w:rPr>
        <w:t>WTO</w:t>
      </w:r>
      <w:r>
        <w:rPr>
          <w:rFonts w:eastAsia="宋体" w:cs="Times New Roman" w:hint="eastAsia"/>
          <w:sz w:val="24"/>
          <w:szCs w:val="30"/>
        </w:rPr>
        <w:t>项下承诺，积极拓展日本市场等。</w:t>
      </w:r>
    </w:p>
    <w:p w14:paraId="6CEECEA8"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）优化中资企业在东盟优势产业布局</w:t>
      </w:r>
    </w:p>
    <w:p w14:paraId="207B02A3" w14:textId="77777777" w:rsidR="006B10D9" w:rsidRDefault="00BE6472">
      <w:pPr>
        <w:widowControl/>
        <w:spacing w:line="360" w:lineRule="auto"/>
        <w:ind w:firstLine="480"/>
        <w:rPr>
          <w:rFonts w:eastAsia="宋体" w:cs="Times New Roman"/>
          <w:sz w:val="24"/>
          <w:szCs w:val="30"/>
        </w:rPr>
      </w:pPr>
      <w:r>
        <w:rPr>
          <w:rFonts w:eastAsia="宋体" w:cs="Times New Roman" w:hint="eastAsia"/>
          <w:sz w:val="24"/>
          <w:szCs w:val="30"/>
        </w:rPr>
        <w:t>在后续的投资进程中，应进一步探索东盟各成员国的潜在投资增长点，有效利用当地的比较优势资源开展投资活动，合理安排对东盟各国投资的空间布局。</w:t>
      </w:r>
    </w:p>
    <w:p w14:paraId="2A20E794" w14:textId="77777777" w:rsidR="006B10D9" w:rsidRDefault="00BE6472">
      <w:pPr>
        <w:widowControl/>
        <w:spacing w:line="360" w:lineRule="auto"/>
        <w:ind w:firstLine="482"/>
        <w:rPr>
          <w:rFonts w:eastAsia="宋体" w:cs="Times New Roman"/>
          <w:sz w:val="24"/>
          <w:szCs w:val="30"/>
        </w:rPr>
      </w:pPr>
      <w:r>
        <w:rPr>
          <w:rFonts w:eastAsia="宋体" w:cs="Times New Roman" w:hint="eastAsia"/>
          <w:b/>
          <w:bCs/>
          <w:sz w:val="24"/>
          <w:szCs w:val="30"/>
        </w:rPr>
        <w:t>一是</w:t>
      </w:r>
      <w:r>
        <w:rPr>
          <w:rFonts w:eastAsia="宋体" w:cs="Times New Roman" w:hint="eastAsia"/>
          <w:sz w:val="24"/>
          <w:szCs w:val="30"/>
        </w:rPr>
        <w:t>重点考虑对新加坡开展知识密集型、技术导向型投资；</w:t>
      </w:r>
      <w:r>
        <w:rPr>
          <w:rFonts w:eastAsia="宋体" w:cs="Times New Roman" w:hint="eastAsia"/>
          <w:b/>
          <w:bCs/>
          <w:sz w:val="24"/>
          <w:szCs w:val="30"/>
        </w:rPr>
        <w:t>二是</w:t>
      </w:r>
      <w:r>
        <w:rPr>
          <w:rFonts w:eastAsia="宋体" w:cs="Times New Roman" w:hint="eastAsia"/>
          <w:sz w:val="24"/>
          <w:szCs w:val="30"/>
        </w:rPr>
        <w:t>重点考虑对印度尼西亚、泰国、马来西亚开展市场导向型投资。可以通过绿地投资、跨国并购等方式将具体的生产模式落地东道国，并以此进入东盟大市场；</w:t>
      </w:r>
      <w:r>
        <w:rPr>
          <w:rFonts w:eastAsia="宋体" w:cs="Times New Roman" w:hint="eastAsia"/>
          <w:b/>
          <w:bCs/>
          <w:sz w:val="24"/>
          <w:szCs w:val="30"/>
        </w:rPr>
        <w:t>三是</w:t>
      </w:r>
      <w:r>
        <w:rPr>
          <w:rFonts w:eastAsia="宋体" w:cs="Times New Roman" w:hint="eastAsia"/>
          <w:sz w:val="24"/>
          <w:szCs w:val="30"/>
        </w:rPr>
        <w:t>重点考虑对越南、老挝、缅甸、柬埔寨开展产能转移型投资。东盟新四国经济发展较为落后，劳动力等生产要素成本较低，且各国政府均具有经济转型和工业化发展的现实需求，具备承接中国边际产业及富余产能转移的要素条件和现实基础。</w:t>
      </w:r>
      <w:r>
        <w:rPr>
          <w:rFonts w:eastAsia="宋体" w:cs="Times New Roman" w:hint="eastAsia"/>
          <w:b/>
          <w:bCs/>
          <w:sz w:val="24"/>
          <w:szCs w:val="30"/>
        </w:rPr>
        <w:t>四是</w:t>
      </w:r>
      <w:r>
        <w:rPr>
          <w:rFonts w:eastAsia="宋体" w:cs="Times New Roman" w:hint="eastAsia"/>
          <w:sz w:val="24"/>
          <w:szCs w:val="30"/>
        </w:rPr>
        <w:t>加大对东盟电力、铁路、港口等重点领域的基础设施投资。除了已进入发达国家行列的新加坡和文莱，以及相对发达</w:t>
      </w:r>
      <w:r>
        <w:rPr>
          <w:rFonts w:eastAsia="宋体" w:cs="Times New Roman" w:hint="eastAsia"/>
          <w:sz w:val="24"/>
          <w:szCs w:val="30"/>
        </w:rPr>
        <w:lastRenderedPageBreak/>
        <w:t>的马来西亚以外，东盟其他国家的基础设施相对薄弱，吸引外资投入本国基础设施建设是最直接有效的方式。中国企业应加大对东盟国家的电力、道路（城市道路和高速公路）、高铁、港口、机场、供水等六个关键领域的基础设施投资。</w:t>
      </w:r>
      <w:r>
        <w:rPr>
          <w:rFonts w:eastAsia="宋体" w:cs="Times New Roman" w:hint="eastAsia"/>
          <w:b/>
          <w:bCs/>
          <w:sz w:val="24"/>
          <w:szCs w:val="30"/>
        </w:rPr>
        <w:t>五是</w:t>
      </w:r>
      <w:r>
        <w:rPr>
          <w:rFonts w:eastAsia="宋体" w:cs="Times New Roman" w:hint="eastAsia"/>
          <w:sz w:val="24"/>
          <w:szCs w:val="30"/>
        </w:rPr>
        <w:t>应注意及时获取东道国政策信息，特别是东盟各国应对新冠肺炎疫情的政策，以及海关检疫、签证、航空等方面的管制信息，加强对疫情影响的分析研判和风险评估，积极与东道国相关部门进行沟通，采取针对性措施降低风险。</w:t>
      </w:r>
    </w:p>
    <w:p w14:paraId="4B60F3BA" w14:textId="77777777" w:rsidR="006B10D9" w:rsidRDefault="00BE6472">
      <w:pPr>
        <w:keepNext/>
        <w:keepLines/>
        <w:spacing w:line="360" w:lineRule="auto"/>
        <w:ind w:firstLine="480"/>
        <w:outlineLvl w:val="3"/>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）完善中资企业在东盟投资保障体系</w:t>
      </w:r>
    </w:p>
    <w:p w14:paraId="6173140A" w14:textId="77777777" w:rsidR="006B10D9" w:rsidRDefault="00BE6472">
      <w:pPr>
        <w:widowControl/>
        <w:spacing w:line="360" w:lineRule="auto"/>
        <w:ind w:firstLine="482"/>
        <w:rPr>
          <w:rFonts w:eastAsia="宋体" w:cs="Times New Roman"/>
          <w:sz w:val="24"/>
          <w:szCs w:val="30"/>
        </w:rPr>
      </w:pPr>
      <w:r>
        <w:rPr>
          <w:rFonts w:eastAsia="宋体" w:cs="Times New Roman" w:hint="eastAsia"/>
          <w:b/>
          <w:bCs/>
          <w:sz w:val="24"/>
          <w:szCs w:val="30"/>
        </w:rPr>
        <w:t>一是</w:t>
      </w:r>
      <w:r>
        <w:rPr>
          <w:rFonts w:eastAsia="宋体" w:cs="Times New Roman" w:hint="eastAsia"/>
          <w:sz w:val="24"/>
          <w:szCs w:val="30"/>
        </w:rPr>
        <w:t>完善法规制度保障中国企业在东盟的投资。比如海外投资保险制度，能有力保障合法权益，规避政治风险；</w:t>
      </w:r>
      <w:r>
        <w:rPr>
          <w:rFonts w:eastAsia="宋体" w:cs="Times New Roman" w:hint="eastAsia"/>
          <w:b/>
          <w:bCs/>
          <w:sz w:val="24"/>
          <w:szCs w:val="30"/>
        </w:rPr>
        <w:t>二是</w:t>
      </w:r>
      <w:r>
        <w:rPr>
          <w:rFonts w:eastAsia="宋体" w:cs="Times New Roman" w:hint="eastAsia"/>
          <w:sz w:val="24"/>
          <w:szCs w:val="30"/>
        </w:rPr>
        <w:t>在东盟有关国家设立中国商务服务中心。为当地企业提供走进中国、开发中国市场的商务咨询，协助中国企业“走出去”，避免走弯路，提高贸易、投资效率。及时向投资东盟地区的中国企业提供东盟各国实时的企业行业动态和政策变化；</w:t>
      </w:r>
      <w:r>
        <w:rPr>
          <w:rFonts w:eastAsia="宋体" w:cs="Times New Roman" w:hint="eastAsia"/>
          <w:b/>
          <w:bCs/>
          <w:sz w:val="24"/>
          <w:szCs w:val="30"/>
        </w:rPr>
        <w:t>三是</w:t>
      </w:r>
      <w:r>
        <w:rPr>
          <w:rFonts w:eastAsia="宋体" w:cs="Times New Roman" w:hint="eastAsia"/>
          <w:sz w:val="24"/>
          <w:szCs w:val="30"/>
        </w:rPr>
        <w:t>增强中国企业对东盟投资的各项支持力度，为中国海外投资企业提供财政补助，减免税收等优惠；</w:t>
      </w:r>
      <w:r>
        <w:rPr>
          <w:rFonts w:eastAsia="宋体" w:cs="Times New Roman" w:hint="eastAsia"/>
          <w:b/>
          <w:bCs/>
          <w:sz w:val="24"/>
          <w:szCs w:val="30"/>
        </w:rPr>
        <w:t>四是</w:t>
      </w:r>
      <w:r>
        <w:rPr>
          <w:rFonts w:eastAsia="宋体" w:cs="Times New Roman" w:hint="eastAsia"/>
          <w:sz w:val="24"/>
          <w:szCs w:val="30"/>
        </w:rPr>
        <w:t>构建多重合作机制，以“一带一路”建设为契机，与东盟国家签订高质量的双边投资协定，营造良好的政策支持环境；</w:t>
      </w:r>
      <w:r>
        <w:rPr>
          <w:rFonts w:eastAsia="宋体" w:cs="Times New Roman" w:hint="eastAsia"/>
          <w:b/>
          <w:bCs/>
          <w:sz w:val="24"/>
          <w:szCs w:val="30"/>
        </w:rPr>
        <w:t>五是</w:t>
      </w:r>
      <w:r>
        <w:rPr>
          <w:rFonts w:eastAsia="宋体" w:cs="Times New Roman" w:hint="eastAsia"/>
          <w:sz w:val="24"/>
          <w:szCs w:val="30"/>
        </w:rPr>
        <w:t>深化文化互信，开展多元文化交流合作。推进中华文化与东盟国家多元文化间的交流与沟通，为中国企业在东盟投资营造良好的文化沟通氛围；</w:t>
      </w:r>
      <w:r>
        <w:rPr>
          <w:rFonts w:eastAsia="宋体" w:cs="Times New Roman" w:hint="eastAsia"/>
          <w:b/>
          <w:bCs/>
          <w:sz w:val="24"/>
          <w:szCs w:val="30"/>
        </w:rPr>
        <w:t>六是</w:t>
      </w:r>
      <w:r>
        <w:rPr>
          <w:rFonts w:eastAsia="宋体" w:cs="Times New Roman" w:hint="eastAsia"/>
          <w:sz w:val="24"/>
          <w:szCs w:val="30"/>
        </w:rPr>
        <w:t>加强跟踪监测，为重点项目、关键人员出入境提供便利，防范重要投资项目因疫情而带来的一系列风险。</w:t>
      </w:r>
    </w:p>
    <w:p w14:paraId="16D4ABF0" w14:textId="77777777" w:rsidR="006B10D9" w:rsidRDefault="00BE6472">
      <w:pPr>
        <w:pStyle w:val="2"/>
        <w:ind w:firstLine="480"/>
      </w:pPr>
      <w:bookmarkStart w:id="90" w:name="_Toc93922393"/>
      <w:bookmarkStart w:id="91" w:name="_Toc93846696"/>
      <w:bookmarkStart w:id="92" w:name="_Toc29491"/>
      <w:r>
        <w:t>五、后疫情时代中国企业</w:t>
      </w:r>
      <w:r>
        <w:rPr>
          <w:rFonts w:hint="eastAsia"/>
        </w:rPr>
        <w:t>“</w:t>
      </w:r>
      <w:r>
        <w:t>走出去</w:t>
      </w:r>
      <w:r>
        <w:rPr>
          <w:rFonts w:hint="eastAsia"/>
        </w:rPr>
        <w:t>”</w:t>
      </w:r>
      <w:r>
        <w:t>风险应对策略</w:t>
      </w:r>
      <w:bookmarkEnd w:id="90"/>
      <w:bookmarkEnd w:id="91"/>
      <w:bookmarkEnd w:id="92"/>
    </w:p>
    <w:p w14:paraId="77D4C3AA"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为推动后疫情时代我国企业“走出去”行稳致远，发挥对外投资对国内“双循环”格局下对外开放融合发展的促进作用，强化中资企业的风险防范和应对意识，应从风险规避、管控、缓释、共担和转移等维度做好“走出去”风险应对策略。</w:t>
      </w:r>
    </w:p>
    <w:p w14:paraId="38635AC7" w14:textId="77777777" w:rsidR="006B10D9" w:rsidRDefault="00BE6472">
      <w:pPr>
        <w:pStyle w:val="3"/>
        <w:spacing w:before="120" w:after="240"/>
      </w:pPr>
      <w:bookmarkStart w:id="93" w:name="_Toc93922394"/>
      <w:bookmarkStart w:id="94" w:name="_Toc14228"/>
      <w:r>
        <w:rPr>
          <w:rFonts w:hint="eastAsia"/>
        </w:rPr>
        <w:t>（一）做好风险规避——构建以我为主的区域价值链治理体系</w:t>
      </w:r>
      <w:bookmarkEnd w:id="93"/>
      <w:bookmarkEnd w:id="94"/>
    </w:p>
    <w:p w14:paraId="569E4E3F" w14:textId="77777777" w:rsidR="006B10D9" w:rsidRDefault="00BE6472">
      <w:pPr>
        <w:numPr>
          <w:ilvl w:val="255"/>
          <w:numId w:val="0"/>
        </w:numPr>
        <w:spacing w:line="360" w:lineRule="auto"/>
        <w:ind w:firstLineChars="200" w:firstLine="480"/>
        <w:jc w:val="left"/>
        <w:rPr>
          <w:rFonts w:eastAsia="宋体" w:cs="Times New Roman"/>
          <w:sz w:val="24"/>
          <w:szCs w:val="24"/>
        </w:rPr>
      </w:pPr>
      <w:r>
        <w:rPr>
          <w:rFonts w:eastAsia="宋体" w:cs="Times New Roman" w:hint="eastAsia"/>
          <w:sz w:val="24"/>
          <w:szCs w:val="24"/>
        </w:rPr>
        <w:t>为了应对疫情导致的全球供应链“断链”风险，要统筹考虑欧美国家局部收缩产业链供应链、加大对我境外投资审查力度的现实，重点监测</w:t>
      </w:r>
      <w:r>
        <w:rPr>
          <w:rFonts w:eastAsia="宋体" w:cs="Times New Roman" w:hint="eastAsia"/>
          <w:sz w:val="24"/>
          <w:szCs w:val="24"/>
        </w:rPr>
        <w:t>2020</w:t>
      </w:r>
      <w:r>
        <w:rPr>
          <w:rFonts w:eastAsia="宋体" w:cs="Times New Roman" w:hint="eastAsia"/>
          <w:sz w:val="24"/>
          <w:szCs w:val="24"/>
        </w:rPr>
        <w:t>年综合得分在</w:t>
      </w:r>
      <w:r>
        <w:rPr>
          <w:rFonts w:eastAsia="宋体" w:cs="Times New Roman" w:hint="eastAsia"/>
          <w:sz w:val="24"/>
          <w:szCs w:val="24"/>
        </w:rPr>
        <w:t>30</w:t>
      </w:r>
      <w:r>
        <w:rPr>
          <w:rFonts w:eastAsia="宋体" w:cs="Times New Roman" w:hint="eastAsia"/>
          <w:sz w:val="24"/>
          <w:szCs w:val="24"/>
        </w:rPr>
        <w:t>分及以下国家，在该国中企要做好供应链和产业链上下游管理。加强与东盟及“一带一路”沿线国家的产业合作，促进区域经济开放和循环，构建以我为主的区域价值链治理体系。</w:t>
      </w:r>
      <w:r>
        <w:rPr>
          <w:rFonts w:eastAsia="宋体" w:cs="Times New Roman" w:hint="eastAsia"/>
          <w:b/>
          <w:bCs/>
          <w:sz w:val="24"/>
          <w:szCs w:val="24"/>
        </w:rPr>
        <w:t>一是</w:t>
      </w:r>
      <w:r>
        <w:rPr>
          <w:rFonts w:eastAsia="宋体" w:cs="Times New Roman" w:hint="eastAsia"/>
          <w:sz w:val="24"/>
          <w:szCs w:val="24"/>
        </w:rPr>
        <w:t>鼓励企业“走出去”，充分开发发展中国家的劳动力、土地和自然资源，建立契合我国市场标准的境外农林矿产资源生产基地、加工利用基</w:t>
      </w:r>
      <w:r>
        <w:rPr>
          <w:rFonts w:eastAsia="宋体" w:cs="Times New Roman" w:hint="eastAsia"/>
          <w:sz w:val="24"/>
          <w:szCs w:val="24"/>
        </w:rPr>
        <w:lastRenderedPageBreak/>
        <w:t>地等。通过产业链上游的合作，确保我国获取基础产业资源的安全性和可靠性。</w:t>
      </w:r>
      <w:r>
        <w:rPr>
          <w:rFonts w:eastAsia="宋体" w:cs="Times New Roman" w:hint="eastAsia"/>
          <w:b/>
          <w:bCs/>
          <w:sz w:val="24"/>
          <w:szCs w:val="24"/>
        </w:rPr>
        <w:t>二是</w:t>
      </w:r>
      <w:r>
        <w:rPr>
          <w:rFonts w:eastAsia="宋体" w:cs="Times New Roman" w:hint="eastAsia"/>
          <w:sz w:val="24"/>
          <w:szCs w:val="24"/>
        </w:rPr>
        <w:t>结合不同产业链对要素和资源的需求，鼓励企业在东盟、“一带一路”等相关国家建立产销加工基地和园区，以我国具有比较优势的制造业产业，如钢铁、汽车、家电、高铁等为主导，形成植根国内、面向全球的产业链和供应链。</w:t>
      </w:r>
      <w:r>
        <w:rPr>
          <w:rFonts w:eastAsia="宋体" w:cs="Times New Roman" w:hint="eastAsia"/>
          <w:b/>
          <w:bCs/>
          <w:sz w:val="24"/>
          <w:szCs w:val="24"/>
        </w:rPr>
        <w:t>三是</w:t>
      </w:r>
      <w:r>
        <w:rPr>
          <w:rFonts w:eastAsia="宋体" w:cs="Times New Roman" w:hint="eastAsia"/>
          <w:sz w:val="24"/>
          <w:szCs w:val="24"/>
        </w:rPr>
        <w:t>鼓励高技术类企业在发达国家、创新大国以及</w:t>
      </w:r>
      <w:r>
        <w:rPr>
          <w:rFonts w:eastAsia="宋体" w:cs="Times New Roman" w:hint="eastAsia"/>
          <w:sz w:val="24"/>
          <w:szCs w:val="24"/>
        </w:rPr>
        <w:t>2020</w:t>
      </w:r>
      <w:r>
        <w:rPr>
          <w:rFonts w:eastAsia="宋体" w:cs="Times New Roman" w:hint="eastAsia"/>
          <w:sz w:val="24"/>
          <w:szCs w:val="24"/>
        </w:rPr>
        <w:t>年综合得分在</w:t>
      </w:r>
      <w:r>
        <w:rPr>
          <w:rFonts w:eastAsia="宋体" w:cs="Times New Roman" w:hint="eastAsia"/>
          <w:sz w:val="24"/>
          <w:szCs w:val="24"/>
        </w:rPr>
        <w:t>40</w:t>
      </w:r>
      <w:r>
        <w:rPr>
          <w:rFonts w:eastAsia="宋体" w:cs="Times New Roman" w:hint="eastAsia"/>
          <w:sz w:val="24"/>
          <w:szCs w:val="24"/>
        </w:rPr>
        <w:t>分国家建立研发中心、实验室、科技园区、孵化器等载体，充分利用境外创新资源和人才优势提高自身研发和技术实力。</w:t>
      </w:r>
    </w:p>
    <w:p w14:paraId="122CAB72" w14:textId="77777777" w:rsidR="006B10D9" w:rsidRDefault="00BE6472">
      <w:pPr>
        <w:pStyle w:val="3"/>
        <w:spacing w:before="120" w:after="240"/>
      </w:pPr>
      <w:bookmarkStart w:id="95" w:name="_Toc93922395"/>
      <w:bookmarkStart w:id="96" w:name="_Toc6431"/>
      <w:r>
        <w:rPr>
          <w:rFonts w:hint="eastAsia"/>
        </w:rPr>
        <w:t>（二）强化风险管控——提高企业风险防范意识</w:t>
      </w:r>
      <w:bookmarkEnd w:id="95"/>
      <w:bookmarkEnd w:id="96"/>
    </w:p>
    <w:p w14:paraId="56B9DEBF" w14:textId="77777777" w:rsidR="006B10D9" w:rsidRDefault="00BE6472">
      <w:pPr>
        <w:spacing w:line="360" w:lineRule="auto"/>
        <w:ind w:firstLine="480"/>
        <w:rPr>
          <w:rFonts w:eastAsia="宋体" w:cs="Times New Roman"/>
          <w:sz w:val="24"/>
          <w:szCs w:val="24"/>
        </w:rPr>
      </w:pPr>
      <w:r>
        <w:rPr>
          <w:rFonts w:eastAsia="宋体" w:cs="Times New Roman" w:hint="eastAsia"/>
          <w:sz w:val="24"/>
          <w:szCs w:val="24"/>
        </w:rPr>
        <w:t>对于境外投资企业而言，风险防控贯穿于从投资到经营的全过程。在投资前要全面做好市场调研、法律尽职调查等，深入掌握有可能遇到的投资审查风险及对项目可能产生的影响，充分考虑投资目的国的政治、经济、法律等风险，对投资收益进行精准测算，对资金流、汇率风险、贸易走势等易波动因素等做好提前准备。在投资过程，要注意对市场策略、投资方向、生产选址、技术应用、劳动力素质等多方面因素的考量，宣传和推广我先进技术和经营理念，树立良好品牌形象。同时，在投资和经营过程中，还要特别尊重投资目的国的公序良俗、宗教信仰、文化传承等，高度重视对当地生态环境和生物多样性的保护，主动减少对高碳、高污染项目的投资，不再新建火力发电站项目。例如，要推动中资企业按照境外项目生态环境保护有关要求开展生态环境风险防范工作，采取合理、必要措施降低或减缓投资可能产生的不良生态环境影响，制定环境事故和突发事件应急处置预案。投资项目如已对生物多样性或当地环境产生不良影响，应依法或按照国际管理做好生态环境保护和修复。受疫情影响，中国企业要在做好疫情防控工作的同时，主动担当企业的社会责任，为当地居民创造更多就业岗位，加强对接种疫苗和养成良好卫生习惯的宣传，积极寻求当地社区和主流社会的认同。</w:t>
      </w:r>
    </w:p>
    <w:p w14:paraId="33A33747" w14:textId="77777777" w:rsidR="006B10D9" w:rsidRDefault="00BE6472">
      <w:pPr>
        <w:pStyle w:val="3"/>
        <w:spacing w:before="120" w:after="240"/>
      </w:pPr>
      <w:bookmarkStart w:id="97" w:name="_Toc93922396"/>
      <w:bookmarkStart w:id="98" w:name="_Toc291"/>
      <w:r>
        <w:rPr>
          <w:rFonts w:hint="eastAsia"/>
        </w:rPr>
        <w:t>（三）构建风险缓释——加强规划指引和政策扶持</w:t>
      </w:r>
      <w:bookmarkEnd w:id="97"/>
      <w:bookmarkEnd w:id="98"/>
    </w:p>
    <w:p w14:paraId="178C7C3B" w14:textId="77777777" w:rsidR="006B10D9" w:rsidRDefault="00BE6472">
      <w:pPr>
        <w:widowControl/>
        <w:numPr>
          <w:ilvl w:val="255"/>
          <w:numId w:val="0"/>
        </w:numPr>
        <w:spacing w:line="360" w:lineRule="auto"/>
        <w:ind w:firstLineChars="200" w:firstLine="480"/>
        <w:jc w:val="left"/>
        <w:rPr>
          <w:rFonts w:eastAsia="宋体" w:cs="Times New Roman"/>
          <w:sz w:val="24"/>
          <w:szCs w:val="24"/>
        </w:rPr>
      </w:pPr>
      <w:r>
        <w:rPr>
          <w:rFonts w:eastAsia="宋体" w:cs="Times New Roman" w:hint="eastAsia"/>
          <w:sz w:val="24"/>
          <w:szCs w:val="24"/>
        </w:rPr>
        <w:t>通过经贸规划指引和政策支持，形成合理布局、协同支撑的格局，从而构建预防性、分散性和补救性的风险缓释策略和机制。</w:t>
      </w:r>
      <w:r>
        <w:rPr>
          <w:rFonts w:eastAsia="宋体" w:cs="Times New Roman" w:hint="eastAsia"/>
          <w:b/>
          <w:bCs/>
          <w:sz w:val="24"/>
          <w:szCs w:val="24"/>
        </w:rPr>
        <w:t>一是</w:t>
      </w:r>
      <w:r>
        <w:rPr>
          <w:rFonts w:eastAsia="宋体" w:cs="Times New Roman" w:hint="eastAsia"/>
          <w:sz w:val="24"/>
          <w:szCs w:val="24"/>
        </w:rPr>
        <w:t>要完善政策扶持体系。进一步统筹制定我国企业境外投资的总体战略、重点方向和主要措施，引导企业根据国家战略，围绕重点国家和地区、重点领域、重点项目理性开展对外投资。同时，推动</w:t>
      </w:r>
      <w:r>
        <w:rPr>
          <w:rFonts w:eastAsia="宋体" w:cs="Times New Roman" w:hint="eastAsia"/>
          <w:sz w:val="24"/>
          <w:szCs w:val="24"/>
        </w:rPr>
        <w:lastRenderedPageBreak/>
        <w:t>企业境外投资立法进程，简化境外投资管理办法，进一步压缩审批范围和时间，适当利用财税政策等对境外投资企业进行奖励和补助。二是要完善服务促进体系。推动国家级金融机构加强对境外投资企业的支持，降低信贷门槛，合理确定还款期限和利率水平，采取包括中长期商业贷款、境外上市以及发债等多种方式，解决企业“走出去”的融资难问题。三是要完善风险防控体系。筹备组建由政府部门、信用保险企业、金融机构、法律中介机构等多方参与的国内企业境外投资风险防控服务平台，建立境外投资风险评估体系、监测评价体系、风险防控体系、应急处理体系等机制，规范企业境外经营行为，切实保障企业境外合法经营收益。</w:t>
      </w:r>
    </w:p>
    <w:p w14:paraId="0386AA52" w14:textId="77777777" w:rsidR="006B10D9" w:rsidRDefault="00BE6472">
      <w:pPr>
        <w:pStyle w:val="3"/>
        <w:spacing w:before="120" w:after="240"/>
      </w:pPr>
      <w:bookmarkStart w:id="99" w:name="_Toc93922397"/>
      <w:bookmarkStart w:id="100" w:name="_Toc6426"/>
      <w:r>
        <w:rPr>
          <w:rFonts w:hint="eastAsia"/>
        </w:rPr>
        <w:t>（四）实现风险共担——形成政府协调长效机制</w:t>
      </w:r>
      <w:bookmarkEnd w:id="99"/>
      <w:bookmarkEnd w:id="100"/>
    </w:p>
    <w:p w14:paraId="6040B8D2" w14:textId="77777777" w:rsidR="006B10D9" w:rsidRDefault="00BE6472">
      <w:pPr>
        <w:numPr>
          <w:ilvl w:val="255"/>
          <w:numId w:val="0"/>
        </w:numPr>
        <w:spacing w:line="360" w:lineRule="auto"/>
        <w:ind w:firstLine="480"/>
        <w:jc w:val="left"/>
        <w:rPr>
          <w:rFonts w:eastAsia="宋体" w:cs="Times New Roman"/>
          <w:sz w:val="24"/>
          <w:szCs w:val="24"/>
        </w:rPr>
      </w:pPr>
      <w:r>
        <w:rPr>
          <w:rFonts w:eastAsia="宋体" w:cs="Times New Roman" w:hint="eastAsia"/>
          <w:sz w:val="24"/>
          <w:szCs w:val="24"/>
        </w:rPr>
        <w:t>通过完善多边、双边经贸机制，有利于形成中方与东道国之间的政府协调长效机制，从而最大限度地保障我境外投资企业的合法利益。</w:t>
      </w:r>
      <w:r>
        <w:rPr>
          <w:rFonts w:eastAsia="宋体" w:cs="Times New Roman" w:hint="eastAsia"/>
          <w:b/>
          <w:bCs/>
          <w:sz w:val="24"/>
          <w:szCs w:val="24"/>
        </w:rPr>
        <w:t>一是</w:t>
      </w:r>
      <w:r>
        <w:rPr>
          <w:rFonts w:eastAsia="宋体" w:cs="Times New Roman" w:hint="eastAsia"/>
          <w:sz w:val="24"/>
          <w:szCs w:val="24"/>
        </w:rPr>
        <w:t>加快推进我与主要投资目的国的双边协定。一方面，根据形势变化，对已签署的双边投资协定（</w:t>
      </w:r>
      <w:r>
        <w:rPr>
          <w:rFonts w:eastAsia="宋体" w:cs="Times New Roman" w:hint="eastAsia"/>
          <w:sz w:val="24"/>
          <w:szCs w:val="24"/>
        </w:rPr>
        <w:t>BIT</w:t>
      </w:r>
      <w:r>
        <w:rPr>
          <w:rFonts w:eastAsia="宋体" w:cs="Times New Roman" w:hint="eastAsia"/>
          <w:sz w:val="24"/>
          <w:szCs w:val="24"/>
        </w:rPr>
        <w:t>）进行更新和细化，在削减投资壁垒、降低投资门槛、保护投资者利益以及争端解决机制等方面形成于我有利的条款和表述；另一方面，对于尚未达成一致或正式签订的双边协定，如中欧投资协定、中日韩自贸系协定、中国和海合会以及和以色列、挪威等的自贸协定，要加快推进磋商谈判。二是参与全球多边对话机制。</w:t>
      </w:r>
      <w:r>
        <w:rPr>
          <w:rFonts w:eastAsia="宋体" w:cs="Times New Roman" w:hint="eastAsia"/>
          <w:sz w:val="24"/>
          <w:szCs w:val="24"/>
        </w:rPr>
        <w:t>2021</w:t>
      </w:r>
      <w:r>
        <w:rPr>
          <w:rFonts w:eastAsia="宋体" w:cs="Times New Roman" w:hint="eastAsia"/>
          <w:sz w:val="24"/>
          <w:szCs w:val="24"/>
        </w:rPr>
        <w:t>年</w:t>
      </w:r>
      <w:r>
        <w:rPr>
          <w:rFonts w:eastAsia="宋体" w:cs="Times New Roman" w:hint="eastAsia"/>
          <w:sz w:val="24"/>
          <w:szCs w:val="24"/>
        </w:rPr>
        <w:t>9</w:t>
      </w:r>
      <w:r>
        <w:rPr>
          <w:rFonts w:eastAsia="宋体" w:cs="Times New Roman" w:hint="eastAsia"/>
          <w:sz w:val="24"/>
          <w:szCs w:val="24"/>
        </w:rPr>
        <w:t>月</w:t>
      </w:r>
      <w:r>
        <w:rPr>
          <w:rFonts w:eastAsia="宋体" w:cs="Times New Roman" w:hint="eastAsia"/>
          <w:sz w:val="24"/>
          <w:szCs w:val="24"/>
        </w:rPr>
        <w:t>16</w:t>
      </w:r>
      <w:r>
        <w:rPr>
          <w:rFonts w:eastAsia="宋体" w:cs="Times New Roman" w:hint="eastAsia"/>
          <w:sz w:val="24"/>
          <w:szCs w:val="24"/>
        </w:rPr>
        <w:t>日，中国已正式申请加入《全面与进步跨太平洋伙伴关系协定》（</w:t>
      </w:r>
      <w:r>
        <w:rPr>
          <w:rFonts w:eastAsia="宋体" w:cs="Times New Roman" w:hint="eastAsia"/>
          <w:sz w:val="24"/>
          <w:szCs w:val="24"/>
        </w:rPr>
        <w:t>CPTPP</w:t>
      </w:r>
      <w:r>
        <w:rPr>
          <w:rFonts w:eastAsia="宋体" w:cs="Times New Roman" w:hint="eastAsia"/>
          <w:sz w:val="24"/>
          <w:szCs w:val="24"/>
        </w:rPr>
        <w:t>），如得到批准，将有助于促进亚太地区的贸易、投资和经济增长，符合我参与区域自由贸易安排的利益。此外，要以推动投资规则多边化为目的，积极发起和参与适应新规则、新条件、新标准的多边投资谈判，推动在数字贸易、数据流通等新议题的谈判，力争在多边投资政策领域实现突破。</w:t>
      </w:r>
      <w:r>
        <w:rPr>
          <w:rFonts w:eastAsia="宋体" w:cs="Times New Roman" w:hint="eastAsia"/>
          <w:b/>
          <w:bCs/>
          <w:sz w:val="24"/>
          <w:szCs w:val="24"/>
        </w:rPr>
        <w:t>三是</w:t>
      </w:r>
      <w:r>
        <w:rPr>
          <w:rFonts w:eastAsia="宋体" w:cs="Times New Roman" w:hint="eastAsia"/>
          <w:sz w:val="24"/>
          <w:szCs w:val="24"/>
        </w:rPr>
        <w:t>推动第三方市场合作。第三方市场合作有助于将我国的产能潜力、发达国家的领先技术和发展中国家的切身需求高效对接，要加快与更多“一带一路”沿线国家签署第三方市场协议，推动落实已达成的第三方合作协定。同时，要协调三国政府、行业协会、企业、金融机构等力量，定期分享第三方市场合作动态和市场信息，增进相互了解和信任。</w:t>
      </w:r>
    </w:p>
    <w:p w14:paraId="2DFF3080" w14:textId="77777777" w:rsidR="006B10D9" w:rsidRDefault="00BE6472">
      <w:pPr>
        <w:pStyle w:val="3"/>
        <w:spacing w:before="120" w:after="240"/>
      </w:pPr>
      <w:bookmarkStart w:id="101" w:name="_Toc93922398"/>
      <w:bookmarkStart w:id="102" w:name="_Toc16224"/>
      <w:r>
        <w:rPr>
          <w:rFonts w:hint="eastAsia"/>
        </w:rPr>
        <w:t>（五）推动风险转移——嵌入跨国公司全球供应链产业链</w:t>
      </w:r>
      <w:bookmarkEnd w:id="101"/>
      <w:bookmarkEnd w:id="102"/>
    </w:p>
    <w:p w14:paraId="31F45AAB" w14:textId="77777777" w:rsidR="006B10D9" w:rsidRDefault="00BE6472">
      <w:pPr>
        <w:numPr>
          <w:ilvl w:val="255"/>
          <w:numId w:val="0"/>
        </w:numPr>
        <w:spacing w:line="360" w:lineRule="auto"/>
        <w:ind w:firstLineChars="200" w:firstLine="480"/>
        <w:jc w:val="left"/>
        <w:rPr>
          <w:rFonts w:eastAsia="宋体" w:cs="Times New Roman"/>
          <w:sz w:val="24"/>
          <w:szCs w:val="24"/>
        </w:rPr>
      </w:pPr>
      <w:r>
        <w:rPr>
          <w:rFonts w:eastAsia="宋体" w:cs="Times New Roman" w:hint="eastAsia"/>
          <w:sz w:val="24"/>
          <w:szCs w:val="24"/>
        </w:rPr>
        <w:t>在稳定外资流入、持续优化国内营商环境的基础上，要推动我具有制造业比较优势的企业和高新企业主动“走出去”，深度参与全球分工和价值链，在后疫情时</w:t>
      </w:r>
      <w:r>
        <w:rPr>
          <w:rFonts w:eastAsia="宋体" w:cs="Times New Roman" w:hint="eastAsia"/>
          <w:sz w:val="24"/>
          <w:szCs w:val="24"/>
        </w:rPr>
        <w:lastRenderedPageBreak/>
        <w:t>代通过嵌入跨国公司全球供应链产业链，来转移或降低风险发生概率。</w:t>
      </w:r>
      <w:r>
        <w:rPr>
          <w:rFonts w:eastAsia="宋体" w:cs="Times New Roman" w:hint="eastAsia"/>
          <w:b/>
          <w:bCs/>
          <w:sz w:val="24"/>
          <w:szCs w:val="24"/>
        </w:rPr>
        <w:t>一是</w:t>
      </w:r>
      <w:r>
        <w:rPr>
          <w:rFonts w:eastAsia="宋体" w:cs="Times New Roman" w:hint="eastAsia"/>
          <w:sz w:val="24"/>
          <w:szCs w:val="24"/>
        </w:rPr>
        <w:t>加强对跨国公司运营模式、供应方式和全球布局的调研跟踪，适当引导其落户在我具备一定产业生产和配套能力的境外产业园区或经贸合作区，实现与我境外交通运输和生产项目的协同发展。</w:t>
      </w:r>
      <w:r>
        <w:rPr>
          <w:rFonts w:eastAsia="宋体" w:cs="Times New Roman" w:hint="eastAsia"/>
          <w:b/>
          <w:bCs/>
          <w:sz w:val="24"/>
          <w:szCs w:val="24"/>
        </w:rPr>
        <w:t>二是</w:t>
      </w:r>
      <w:r>
        <w:rPr>
          <w:rFonts w:eastAsia="宋体" w:cs="Times New Roman" w:hint="eastAsia"/>
          <w:sz w:val="24"/>
          <w:szCs w:val="24"/>
        </w:rPr>
        <w:t>积极参加跨国公司组织或相关的技术咨询、会展招商、培训交流、分销承包等活动，支持国内供应链上下游企业密切“跟随”跨国企业需求，为跨国公司的海外供应链提供保障和配套，深度嵌入其全球供应链重组格局。</w:t>
      </w:r>
      <w:r>
        <w:rPr>
          <w:rFonts w:eastAsia="宋体" w:cs="Times New Roman" w:hint="eastAsia"/>
          <w:b/>
          <w:bCs/>
          <w:sz w:val="24"/>
          <w:szCs w:val="24"/>
        </w:rPr>
        <w:t>三是</w:t>
      </w:r>
      <w:r>
        <w:rPr>
          <w:rFonts w:eastAsia="宋体" w:cs="Times New Roman" w:hint="eastAsia"/>
          <w:sz w:val="24"/>
          <w:szCs w:val="24"/>
        </w:rPr>
        <w:t>鼓励国内企业从仅提供产品向提供“产品</w:t>
      </w:r>
      <w:r>
        <w:rPr>
          <w:rFonts w:eastAsia="宋体" w:cs="Times New Roman" w:hint="eastAsia"/>
          <w:sz w:val="24"/>
          <w:szCs w:val="24"/>
        </w:rPr>
        <w:t>+</w:t>
      </w:r>
      <w:r>
        <w:rPr>
          <w:rFonts w:eastAsia="宋体" w:cs="Times New Roman" w:hint="eastAsia"/>
          <w:sz w:val="24"/>
          <w:szCs w:val="24"/>
        </w:rPr>
        <w:t>服务</w:t>
      </w:r>
      <w:r>
        <w:rPr>
          <w:rFonts w:eastAsia="宋体" w:cs="Times New Roman" w:hint="eastAsia"/>
          <w:sz w:val="24"/>
          <w:szCs w:val="24"/>
        </w:rPr>
        <w:t>+</w:t>
      </w:r>
      <w:r>
        <w:rPr>
          <w:rFonts w:eastAsia="宋体" w:cs="Times New Roman" w:hint="eastAsia"/>
          <w:sz w:val="24"/>
          <w:szCs w:val="24"/>
        </w:rPr>
        <w:t>技术</w:t>
      </w:r>
      <w:r>
        <w:rPr>
          <w:rFonts w:eastAsia="宋体" w:cs="Times New Roman" w:hint="eastAsia"/>
          <w:sz w:val="24"/>
          <w:szCs w:val="24"/>
        </w:rPr>
        <w:t>+</w:t>
      </w:r>
      <w:r>
        <w:rPr>
          <w:rFonts w:eastAsia="宋体" w:cs="Times New Roman" w:hint="eastAsia"/>
          <w:sz w:val="24"/>
          <w:szCs w:val="24"/>
        </w:rPr>
        <w:t>品牌”方向嵌入，从分销、分包向总包、联合体承包等方向迈进，积极承建和融入跨国公司的海外服务和分销网络、海外仓等，实现从加工制造向联合研发、共同设计、市场营销、品牌打造等价值链中高端延伸，显著增强服务跨国公司的供应链韧性。</w:t>
      </w:r>
    </w:p>
    <w:p w14:paraId="0647267F" w14:textId="77777777" w:rsidR="006B10D9" w:rsidRDefault="00BE6472">
      <w:pPr>
        <w:pStyle w:val="2"/>
        <w:ind w:firstLine="480"/>
      </w:pPr>
      <w:bookmarkStart w:id="103" w:name="_Toc93922399"/>
      <w:bookmarkStart w:id="104" w:name="_Toc93846697"/>
      <w:bookmarkStart w:id="105" w:name="_Toc10111"/>
      <w:r>
        <w:t>参考文献</w:t>
      </w:r>
      <w:bookmarkEnd w:id="103"/>
      <w:bookmarkEnd w:id="104"/>
      <w:bookmarkEnd w:id="105"/>
    </w:p>
    <w:p w14:paraId="729C777A" w14:textId="77777777" w:rsidR="006B10D9" w:rsidRDefault="00BE6472">
      <w:pPr>
        <w:pStyle w:val="aff6"/>
        <w:numPr>
          <w:ilvl w:val="0"/>
          <w:numId w:val="3"/>
        </w:numPr>
        <w:adjustRightInd w:val="0"/>
        <w:spacing w:line="360" w:lineRule="auto"/>
        <w:ind w:firstLineChars="0"/>
        <w:jc w:val="left"/>
        <w:rPr>
          <w:rFonts w:ascii="Times New Roman" w:hAnsi="Times New Roman"/>
          <w:color w:val="000000" w:themeColor="text1"/>
          <w:szCs w:val="21"/>
        </w:rPr>
      </w:pPr>
      <w:r>
        <w:rPr>
          <w:rFonts w:ascii="Times New Roman" w:hAnsi="Times New Roman" w:hint="eastAsia"/>
          <w:color w:val="000000" w:themeColor="text1"/>
          <w:szCs w:val="21"/>
        </w:rPr>
        <w:t>Committee on Foreign Investment In the United States(CFIUS). Annual Report to Congress Report Period:CY2020[R/OL].2021:[2021-11-01]. https://home.treasury.gov/system/files/206/CFIUS-Public-Annual-Report-CY-2020.pdf.</w:t>
      </w:r>
    </w:p>
    <w:p w14:paraId="77A07D00"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Hanemann T, Rosen D H,Witzke M,et al. Two-Way Street: 2021 Update US-China Investment Trends[R/OL]. 2021:[2021-11-01]. https://rhg.com/wp-content/uploads/2021/05/RHG_TWS-2021_Full-Report_Final.pdf.</w:t>
      </w:r>
    </w:p>
    <w:p w14:paraId="62E8689A"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OECD. OECD Economic Outlook, Interim Report September 2021: Keeping the Recovery on Track[R/OL]. Paris: OECD Publishing, 2021: (2021-09) [2021-11-01]. https://fondazionecerm.it/wp-content/uploads/2021/09/OECD-Economic-Outlook-Interim-Report-September-2021.pdf. https://doi.org/10.1787/490d4832-en.</w:t>
      </w:r>
    </w:p>
    <w:p w14:paraId="0901C2AD" w14:textId="77777777" w:rsidR="006B10D9" w:rsidRDefault="00BE6472">
      <w:pPr>
        <w:pStyle w:val="aff6"/>
        <w:numPr>
          <w:ilvl w:val="0"/>
          <w:numId w:val="3"/>
        </w:numPr>
        <w:adjustRightInd w:val="0"/>
        <w:spacing w:line="360" w:lineRule="auto"/>
        <w:ind w:firstLineChars="0"/>
        <w:jc w:val="left"/>
        <w:rPr>
          <w:rFonts w:ascii="Times New Roman" w:hAnsi="Times New Roman"/>
          <w:color w:val="000000" w:themeColor="text1"/>
          <w:szCs w:val="21"/>
        </w:rPr>
      </w:pPr>
      <w:r>
        <w:rPr>
          <w:rFonts w:ascii="Times New Roman" w:hAnsi="Times New Roman" w:hint="eastAsia"/>
          <w:color w:val="000000" w:themeColor="text1"/>
          <w:szCs w:val="21"/>
        </w:rPr>
        <w:t>UNCTAD. World Investment Report 2020: International Production Beyond the Pandemic[R/OL]. Geneva: United Nations Publication, 2020: (2020-06) [2021-11-01]. https://unctad.org/system/files/official-document/wir2020_en.pdf.</w:t>
      </w:r>
    </w:p>
    <w:p w14:paraId="23961B73"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陈菁泉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王永玲</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丝绸之路经济带</w:t>
      </w:r>
      <w:r>
        <w:rPr>
          <w:rFonts w:ascii="Times New Roman" w:hAnsi="Times New Roman" w:hint="eastAsia"/>
          <w:color w:val="000000" w:themeColor="text1"/>
          <w:szCs w:val="21"/>
        </w:rPr>
        <w:t>”</w:t>
      </w:r>
      <w:r>
        <w:rPr>
          <w:rFonts w:ascii="Times New Roman" w:hAnsi="Times New Roman"/>
          <w:color w:val="000000" w:themeColor="text1"/>
          <w:szCs w:val="21"/>
        </w:rPr>
        <w:t>沿线国国家风险评级与对策研究</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经济理论与经济管理</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2020(07):73-87.</w:t>
      </w:r>
    </w:p>
    <w:p w14:paraId="50A7D1E2"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陈璞</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魏本权</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基于嵌入性理论的创新驱动机制研究——以江苏省科技镇长团制度为例</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国家行政学院学报</w:t>
      </w:r>
      <w:r>
        <w:rPr>
          <w:rFonts w:ascii="Times New Roman" w:hAnsi="Times New Roman" w:hint="eastAsia"/>
          <w:color w:val="000000" w:themeColor="text1"/>
          <w:szCs w:val="21"/>
        </w:rPr>
        <w:t>, 2018(5):82-86.</w:t>
      </w:r>
    </w:p>
    <w:p w14:paraId="512BB367"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丛书编写组</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学习贯彻习近平新时代中国特色社会主义经济思想</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做好“十四五”规划编制和发展改革工作系列之建设更高水平开放型经济新体制</w:t>
      </w:r>
      <w:r>
        <w:rPr>
          <w:rFonts w:ascii="Times New Roman" w:hAnsi="Times New Roman" w:hint="eastAsia"/>
          <w:color w:val="000000" w:themeColor="text1"/>
          <w:szCs w:val="21"/>
        </w:rPr>
        <w:t xml:space="preserve">[M]. </w:t>
      </w:r>
      <w:r>
        <w:rPr>
          <w:rFonts w:ascii="Times New Roman" w:hAnsi="Times New Roman" w:hint="eastAsia"/>
          <w:color w:val="000000" w:themeColor="text1"/>
          <w:szCs w:val="21"/>
        </w:rPr>
        <w:t>中国计划出版社</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中国市场出版社</w:t>
      </w:r>
      <w:r>
        <w:rPr>
          <w:rFonts w:ascii="Times New Roman" w:hAnsi="Times New Roman" w:hint="eastAsia"/>
          <w:color w:val="000000" w:themeColor="text1"/>
          <w:szCs w:val="21"/>
        </w:rPr>
        <w:t>, 2020.</w:t>
      </w:r>
    </w:p>
    <w:p w14:paraId="148E4A44"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丁志帆</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孙根紧</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背景下中国对外直接投资空间格局重塑</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四川师范大学学</w:t>
      </w:r>
      <w:r>
        <w:rPr>
          <w:rFonts w:ascii="Times New Roman" w:hAnsi="Times New Roman"/>
          <w:color w:val="000000" w:themeColor="text1"/>
          <w:szCs w:val="21"/>
        </w:rPr>
        <w:lastRenderedPageBreak/>
        <w:t>报</w:t>
      </w:r>
      <w:r>
        <w:rPr>
          <w:rFonts w:ascii="Times New Roman" w:hAnsi="Times New Roman"/>
          <w:color w:val="000000" w:themeColor="text1"/>
          <w:szCs w:val="21"/>
        </w:rPr>
        <w:t>(</w:t>
      </w:r>
      <w:r>
        <w:rPr>
          <w:rFonts w:ascii="Times New Roman" w:hAnsi="Times New Roman"/>
          <w:color w:val="000000" w:themeColor="text1"/>
          <w:szCs w:val="21"/>
        </w:rPr>
        <w:t>社会科学版</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2016,</w:t>
      </w:r>
      <w:r>
        <w:rPr>
          <w:rFonts w:ascii="Times New Roman" w:hAnsi="Times New Roman" w:hint="eastAsia"/>
          <w:color w:val="000000" w:themeColor="text1"/>
          <w:szCs w:val="21"/>
        </w:rPr>
        <w:t xml:space="preserve"> </w:t>
      </w:r>
      <w:r>
        <w:rPr>
          <w:rFonts w:ascii="Times New Roman" w:hAnsi="Times New Roman"/>
          <w:color w:val="000000" w:themeColor="text1"/>
          <w:szCs w:val="21"/>
        </w:rPr>
        <w:t>43(02):54-61.</w:t>
      </w:r>
    </w:p>
    <w:p w14:paraId="31C3CFFF"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段小梅</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李晓春</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中国对外投资：发展历程、制约因素与升级策略</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西部论坛</w:t>
      </w:r>
      <w:r>
        <w:rPr>
          <w:rFonts w:ascii="Times New Roman" w:hAnsi="Times New Roman" w:hint="eastAsia"/>
          <w:color w:val="000000" w:themeColor="text1"/>
          <w:szCs w:val="21"/>
        </w:rPr>
        <w:t>, 2020, 30(2):109-124. DOI:10.3969/j.issn.1674-8131.2020.02.011.</w:t>
      </w:r>
    </w:p>
    <w:p w14:paraId="400F3371"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杜奇睿</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程都</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中国企业境外“投建营一体化”模式的主要风险及对策研究</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宏观经济研究</w:t>
      </w:r>
      <w:r>
        <w:rPr>
          <w:rFonts w:ascii="Times New Roman" w:hAnsi="Times New Roman" w:hint="eastAsia"/>
          <w:color w:val="000000" w:themeColor="text1"/>
          <w:szCs w:val="21"/>
        </w:rPr>
        <w:t>, 2020(10):32-41. DOI:10.16304/j.cnki.11-3952/f.2020.10.004.</w:t>
      </w:r>
    </w:p>
    <w:p w14:paraId="22354CAC"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高菠阳</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刘卫东</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宋涛</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社会变革和制度文化制约下的“多尺度嵌入”——以缅甸莱比塘铜矿项目为例</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地理研究</w:t>
      </w:r>
      <w:r>
        <w:rPr>
          <w:rFonts w:ascii="Times New Roman" w:hAnsi="Times New Roman" w:hint="eastAsia"/>
          <w:color w:val="000000" w:themeColor="text1"/>
          <w:szCs w:val="21"/>
        </w:rPr>
        <w:t>, 2020, 39(12):2718-2730. DOI:10.11821/dlyj020200357.</w:t>
      </w:r>
    </w:p>
    <w:p w14:paraId="71CB150F"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高运胜</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李之旭</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王云飞</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中国对欧直接投资：结构性转变与战略性机遇</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国际经贸探索</w:t>
      </w:r>
      <w:r>
        <w:rPr>
          <w:rFonts w:ascii="Times New Roman" w:hAnsi="Times New Roman" w:hint="eastAsia"/>
          <w:color w:val="000000" w:themeColor="text1"/>
          <w:szCs w:val="21"/>
        </w:rPr>
        <w:t>, 2019, 35(9):63-79.</w:t>
      </w:r>
    </w:p>
    <w:p w14:paraId="16F3D198"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葛顺奇</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陈江滢</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中国企业对外直接投资面对疫情危机新挑战</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国际经济合作</w:t>
      </w:r>
      <w:r>
        <w:rPr>
          <w:rFonts w:ascii="Times New Roman" w:hAnsi="Times New Roman" w:hint="eastAsia"/>
          <w:color w:val="000000" w:themeColor="text1"/>
          <w:szCs w:val="21"/>
        </w:rPr>
        <w:t>, 2020(4):21-36.</w:t>
      </w:r>
    </w:p>
    <w:p w14:paraId="22BC727C"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国家发展改革委</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商务部</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外商投资安全审查办法</w:t>
      </w:r>
      <w:r>
        <w:rPr>
          <w:rFonts w:ascii="Times New Roman" w:hAnsi="Times New Roman" w:hint="eastAsia"/>
          <w:color w:val="000000" w:themeColor="text1"/>
          <w:szCs w:val="21"/>
        </w:rPr>
        <w:t>[EB/OL]. (2020-12-19)[2021-11-01]. https://zfxxgk.ndrc.gov.cn/web/iteminfo.jsp?id=17561.</w:t>
      </w:r>
    </w:p>
    <w:p w14:paraId="3280D6B7"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郭敏</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李晓峰</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程健</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“一带一路”建设中中国企业“走出去”面临的风险与应对措施</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西北大学学报</w:t>
      </w:r>
      <w:r>
        <w:rPr>
          <w:rFonts w:ascii="Times New Roman" w:hAnsi="Times New Roman" w:hint="eastAsia"/>
          <w:color w:val="000000" w:themeColor="text1"/>
          <w:szCs w:val="21"/>
        </w:rPr>
        <w:t>(</w:t>
      </w:r>
      <w:r>
        <w:rPr>
          <w:rFonts w:ascii="Times New Roman" w:hAnsi="Times New Roman" w:hint="eastAsia"/>
          <w:color w:val="000000" w:themeColor="text1"/>
          <w:szCs w:val="21"/>
        </w:rPr>
        <w:t>哲学社会科学版</w:t>
      </w:r>
      <w:r>
        <w:rPr>
          <w:rFonts w:ascii="Times New Roman" w:hAnsi="Times New Roman" w:hint="eastAsia"/>
          <w:color w:val="000000" w:themeColor="text1"/>
          <w:szCs w:val="21"/>
        </w:rPr>
        <w:t>), 2019, 49(6):88-93.</w:t>
      </w:r>
    </w:p>
    <w:p w14:paraId="13B9F1E4"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国务院国资委：“十三五”时期央企海外营收超</w:t>
      </w:r>
      <w:r>
        <w:rPr>
          <w:rFonts w:ascii="Times New Roman" w:hAnsi="Times New Roman" w:hint="eastAsia"/>
          <w:color w:val="000000" w:themeColor="text1"/>
          <w:szCs w:val="21"/>
        </w:rPr>
        <w:t>24</w:t>
      </w:r>
      <w:r>
        <w:rPr>
          <w:rFonts w:ascii="Times New Roman" w:hAnsi="Times New Roman" w:hint="eastAsia"/>
          <w:color w:val="000000" w:themeColor="text1"/>
          <w:szCs w:val="21"/>
        </w:rPr>
        <w:t>万亿元，对外投资收益率</w:t>
      </w:r>
      <w:r>
        <w:rPr>
          <w:rFonts w:ascii="Times New Roman" w:hAnsi="Times New Roman" w:hint="eastAsia"/>
          <w:color w:val="000000" w:themeColor="text1"/>
          <w:szCs w:val="21"/>
        </w:rPr>
        <w:t>6.7</w:t>
      </w:r>
      <w:r>
        <w:rPr>
          <w:rFonts w:ascii="Times New Roman" w:hAnsi="Times New Roman" w:hint="eastAsia"/>
          <w:color w:val="000000" w:themeColor="text1"/>
          <w:szCs w:val="21"/>
        </w:rPr>
        <w:t>％</w:t>
      </w:r>
      <w:r>
        <w:rPr>
          <w:rFonts w:ascii="Times New Roman" w:hAnsi="Times New Roman" w:hint="eastAsia"/>
          <w:color w:val="000000" w:themeColor="text1"/>
          <w:szCs w:val="21"/>
        </w:rPr>
        <w:t xml:space="preserve">[N/OL]. (2021-02-23)[2021-11-01]. </w:t>
      </w:r>
      <w:hyperlink r:id="rId34" w:history="1">
        <w:r>
          <w:rPr>
            <w:rFonts w:ascii="Times New Roman" w:hAnsi="Times New Roman" w:hint="eastAsia"/>
            <w:color w:val="000000" w:themeColor="text1"/>
            <w:szCs w:val="21"/>
          </w:rPr>
          <w:t>https://www.cnstock.com/v_news/sns_bwkx/202102/4661815.htm.</w:t>
        </w:r>
      </w:hyperlink>
    </w:p>
    <w:p w14:paraId="5F816F46"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胡颖</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王思琪</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中国对</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沿线国家直接投资风险评价</w:t>
      </w:r>
      <w:r>
        <w:rPr>
          <w:rFonts w:ascii="Times New Roman" w:hAnsi="Times New Roman"/>
          <w:color w:val="000000" w:themeColor="text1"/>
          <w:szCs w:val="21"/>
        </w:rPr>
        <w:t>——</w:t>
      </w:r>
      <w:r>
        <w:rPr>
          <w:rFonts w:ascii="Times New Roman" w:hAnsi="Times New Roman"/>
          <w:color w:val="000000" w:themeColor="text1"/>
          <w:szCs w:val="21"/>
        </w:rPr>
        <w:t>基于动态因子模型的分析</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山东财经大学学报</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2021,</w:t>
      </w:r>
      <w:r>
        <w:rPr>
          <w:rFonts w:ascii="Times New Roman" w:hAnsi="Times New Roman" w:hint="eastAsia"/>
          <w:color w:val="000000" w:themeColor="text1"/>
          <w:szCs w:val="21"/>
        </w:rPr>
        <w:t xml:space="preserve"> </w:t>
      </w:r>
      <w:r>
        <w:rPr>
          <w:rFonts w:ascii="Times New Roman" w:hAnsi="Times New Roman"/>
          <w:color w:val="000000" w:themeColor="text1"/>
          <w:szCs w:val="21"/>
        </w:rPr>
        <w:t>33(02):91-100.</w:t>
      </w:r>
    </w:p>
    <w:p w14:paraId="0396BA28"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贾英姿</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于晓</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郭昊</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《欧盟外商直接投资审查框架》条例对中国的影响及应对策略</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财政科学</w:t>
      </w:r>
      <w:r>
        <w:rPr>
          <w:rFonts w:ascii="Times New Roman" w:hAnsi="Times New Roman" w:hint="eastAsia"/>
          <w:color w:val="000000" w:themeColor="text1"/>
          <w:szCs w:val="21"/>
        </w:rPr>
        <w:t>, 2019(5):147-154. DOI:10.19477/j.cnki.10-1368/f.2019.05.011.</w:t>
      </w:r>
    </w:p>
    <w:p w14:paraId="48704F52"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科尼尔</w:t>
      </w:r>
      <w:r>
        <w:rPr>
          <w:rFonts w:ascii="Times New Roman" w:hAnsi="Times New Roman" w:hint="eastAsia"/>
          <w:color w:val="000000" w:themeColor="text1"/>
          <w:szCs w:val="21"/>
        </w:rPr>
        <w:t>.</w:t>
      </w:r>
      <w:r>
        <w:rPr>
          <w:rFonts w:ascii="Times New Roman" w:hAnsi="Times New Roman" w:hint="eastAsia"/>
          <w:color w:val="000000" w:themeColor="text1"/>
          <w:szCs w:val="21"/>
        </w:rPr>
        <w:t>大震荡</w:t>
      </w:r>
      <w:r>
        <w:rPr>
          <w:rFonts w:ascii="Times New Roman" w:hAnsi="Times New Roman" w:hint="eastAsia"/>
          <w:color w:val="000000" w:themeColor="text1"/>
          <w:szCs w:val="21"/>
        </w:rPr>
        <w:t>,</w:t>
      </w:r>
      <w:r>
        <w:rPr>
          <w:rFonts w:ascii="Times New Roman" w:hAnsi="Times New Roman" w:hint="eastAsia"/>
          <w:color w:val="000000" w:themeColor="text1"/>
          <w:szCs w:val="21"/>
        </w:rPr>
        <w:t>大变局</w:t>
      </w:r>
      <w:r>
        <w:rPr>
          <w:rFonts w:ascii="Times New Roman" w:hAnsi="Times New Roman" w:hint="eastAsia"/>
          <w:color w:val="000000" w:themeColor="text1"/>
          <w:szCs w:val="21"/>
        </w:rPr>
        <w:t xml:space="preserve"> 2020-2025</w:t>
      </w:r>
      <w:r>
        <w:rPr>
          <w:rFonts w:ascii="Times New Roman" w:hAnsi="Times New Roman" w:hint="eastAsia"/>
          <w:color w:val="000000" w:themeColor="text1"/>
          <w:szCs w:val="21"/>
        </w:rPr>
        <w:t>年全球趋势研究</w:t>
      </w:r>
      <w:r>
        <w:rPr>
          <w:rFonts w:ascii="Times New Roman" w:hAnsi="Times New Roman" w:hint="eastAsia"/>
          <w:color w:val="000000" w:themeColor="text1"/>
          <w:szCs w:val="21"/>
        </w:rPr>
        <w:t>[R]</w:t>
      </w:r>
      <w:r>
        <w:rPr>
          <w:rFonts w:ascii="Times New Roman" w:hAnsi="Times New Roman" w:hint="eastAsia"/>
          <w:color w:val="000000" w:themeColor="text1"/>
          <w:szCs w:val="21"/>
        </w:rPr>
        <w:t>，</w:t>
      </w:r>
      <w:r>
        <w:rPr>
          <w:rFonts w:ascii="Times New Roman" w:hAnsi="Times New Roman" w:hint="eastAsia"/>
          <w:color w:val="000000" w:themeColor="text1"/>
          <w:szCs w:val="21"/>
        </w:rPr>
        <w:t>2021</w:t>
      </w:r>
    </w:p>
    <w:p w14:paraId="179FDEDF"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李丹</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董琴</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全球价值链重构与“引进来”“走出去”的再思考</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中国经贸</w:t>
      </w:r>
      <w:r>
        <w:rPr>
          <w:rFonts w:ascii="Times New Roman" w:hAnsi="Times New Roman" w:hint="eastAsia"/>
          <w:color w:val="000000" w:themeColor="text1"/>
          <w:szCs w:val="21"/>
        </w:rPr>
        <w:t>, 2019(9):63-69.</w:t>
      </w:r>
    </w:p>
    <w:p w14:paraId="6B35E1EF"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李惠茹</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中国对外直接投资的政策演变与效果实证</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河北大学学报</w:t>
      </w:r>
      <w:r>
        <w:rPr>
          <w:rFonts w:ascii="Times New Roman" w:hAnsi="Times New Roman" w:hint="eastAsia"/>
          <w:color w:val="000000" w:themeColor="text1"/>
          <w:szCs w:val="21"/>
        </w:rPr>
        <w:t>(</w:t>
      </w:r>
      <w:r>
        <w:rPr>
          <w:rFonts w:ascii="Times New Roman" w:hAnsi="Times New Roman" w:hint="eastAsia"/>
          <w:color w:val="000000" w:themeColor="text1"/>
          <w:szCs w:val="21"/>
        </w:rPr>
        <w:t>哲学社会科学版</w:t>
      </w:r>
      <w:r>
        <w:rPr>
          <w:rFonts w:ascii="Times New Roman" w:hAnsi="Times New Roman" w:hint="eastAsia"/>
          <w:color w:val="000000" w:themeColor="text1"/>
          <w:szCs w:val="21"/>
        </w:rPr>
        <w:t>), 2019, 44(6):68-79. DOI:10.3969/j.issn.1005-6378.2019.06.00.</w:t>
      </w:r>
    </w:p>
    <w:p w14:paraId="0D296E43"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李军</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《欧盟外资审查条例》对我国的影响及因应</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国际商务研究</w:t>
      </w:r>
      <w:r>
        <w:rPr>
          <w:rFonts w:ascii="Times New Roman" w:hAnsi="Times New Roman" w:hint="eastAsia"/>
          <w:color w:val="000000" w:themeColor="text1"/>
          <w:szCs w:val="21"/>
        </w:rPr>
        <w:t>, 2021(2):90-98. DOI:10.13680/j.cnki.ibr.2021.02.008.</w:t>
      </w:r>
    </w:p>
    <w:p w14:paraId="0977AB21"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李芳</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陈雪</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欧盟外商投资审查新规的主要内容和对我国的影响及应对措施</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国际金融</w:t>
      </w:r>
      <w:r>
        <w:rPr>
          <w:rFonts w:ascii="Times New Roman" w:hAnsi="Times New Roman" w:hint="eastAsia"/>
          <w:color w:val="000000" w:themeColor="text1"/>
          <w:szCs w:val="21"/>
        </w:rPr>
        <w:t>, 2020(03):20-24. DOI:10.16474/j.cnki.1673-8489.2020.03.003.</w:t>
      </w:r>
    </w:p>
    <w:p w14:paraId="4EECB999"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黎绍凯</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张广来</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我国对</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沿线国家直接投资布局与优化选择</w:t>
      </w:r>
      <w:r>
        <w:rPr>
          <w:rFonts w:ascii="Times New Roman" w:hAnsi="Times New Roman"/>
          <w:color w:val="000000" w:themeColor="text1"/>
          <w:szCs w:val="21"/>
        </w:rPr>
        <w:t>:</w:t>
      </w:r>
      <w:r>
        <w:rPr>
          <w:rFonts w:ascii="Times New Roman" w:hAnsi="Times New Roman"/>
          <w:color w:val="000000" w:themeColor="text1"/>
          <w:szCs w:val="21"/>
        </w:rPr>
        <w:t>兼顾投资动机与风险规避</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经济问题探索</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2018(09):111-124.</w:t>
      </w:r>
    </w:p>
    <w:p w14:paraId="6A990DA7"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历史最差数据！</w:t>
      </w:r>
      <w:r>
        <w:rPr>
          <w:rFonts w:ascii="Times New Roman" w:hAnsi="Times New Roman" w:hint="eastAsia"/>
          <w:color w:val="000000" w:themeColor="text1"/>
          <w:szCs w:val="21"/>
        </w:rPr>
        <w:t>2020</w:t>
      </w:r>
      <w:r>
        <w:rPr>
          <w:rFonts w:ascii="Times New Roman" w:hAnsi="Times New Roman" w:hint="eastAsia"/>
          <w:color w:val="000000" w:themeColor="text1"/>
          <w:szCs w:val="21"/>
        </w:rPr>
        <w:t>年，新加坡</w:t>
      </w:r>
      <w:r>
        <w:rPr>
          <w:rFonts w:ascii="Times New Roman" w:hAnsi="Times New Roman" w:hint="eastAsia"/>
          <w:color w:val="000000" w:themeColor="text1"/>
          <w:szCs w:val="21"/>
        </w:rPr>
        <w:t>GDP</w:t>
      </w:r>
      <w:r>
        <w:rPr>
          <w:rFonts w:ascii="Times New Roman" w:hAnsi="Times New Roman" w:hint="eastAsia"/>
          <w:color w:val="000000" w:themeColor="text1"/>
          <w:szCs w:val="21"/>
        </w:rPr>
        <w:t>下滑</w:t>
      </w:r>
      <w:r>
        <w:rPr>
          <w:rFonts w:ascii="Times New Roman" w:hAnsi="Times New Roman" w:hint="eastAsia"/>
          <w:color w:val="000000" w:themeColor="text1"/>
          <w:szCs w:val="21"/>
        </w:rPr>
        <w:t>5.8%</w:t>
      </w:r>
      <w:r>
        <w:rPr>
          <w:rFonts w:ascii="Times New Roman" w:hAnsi="Times New Roman" w:hint="eastAsia"/>
          <w:color w:val="000000" w:themeColor="text1"/>
          <w:szCs w:val="21"/>
        </w:rPr>
        <w:t>！</w:t>
      </w:r>
      <w:r>
        <w:rPr>
          <w:rFonts w:ascii="Times New Roman" w:hAnsi="Times New Roman" w:hint="eastAsia"/>
          <w:color w:val="000000" w:themeColor="text1"/>
          <w:szCs w:val="21"/>
        </w:rPr>
        <w:t>2021</w:t>
      </w:r>
      <w:r>
        <w:rPr>
          <w:rFonts w:ascii="Times New Roman" w:hAnsi="Times New Roman" w:hint="eastAsia"/>
          <w:color w:val="000000" w:themeColor="text1"/>
          <w:szCs w:val="21"/>
        </w:rPr>
        <w:t>年或增长</w:t>
      </w:r>
      <w:r>
        <w:rPr>
          <w:rFonts w:ascii="Times New Roman" w:hAnsi="Times New Roman" w:hint="eastAsia"/>
          <w:color w:val="000000" w:themeColor="text1"/>
          <w:szCs w:val="21"/>
        </w:rPr>
        <w:t>6%</w:t>
      </w:r>
      <w:r>
        <w:rPr>
          <w:rFonts w:ascii="Times New Roman" w:hAnsi="Times New Roman" w:hint="eastAsia"/>
          <w:color w:val="000000" w:themeColor="text1"/>
          <w:szCs w:val="21"/>
        </w:rPr>
        <w:t>？</w:t>
      </w:r>
      <w:r>
        <w:rPr>
          <w:rFonts w:ascii="Times New Roman" w:hAnsi="Times New Roman" w:hint="eastAsia"/>
          <w:color w:val="000000" w:themeColor="text1"/>
          <w:szCs w:val="21"/>
        </w:rPr>
        <w:t xml:space="preserve">[N/OL]. (2021-01-04)[2021-11-01]. </w:t>
      </w:r>
      <w:hyperlink r:id="rId35" w:history="1">
        <w:r>
          <w:rPr>
            <w:rFonts w:ascii="Times New Roman" w:hAnsi="Times New Roman" w:hint="eastAsia"/>
            <w:color w:val="000000" w:themeColor="text1"/>
            <w:szCs w:val="21"/>
          </w:rPr>
          <w:t>https://baijiahao.baidu.com/s?id=1687972453866108801&amp;wfr=spider&amp;for=pc.</w:t>
        </w:r>
      </w:hyperlink>
    </w:p>
    <w:p w14:paraId="0CADAF2A"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李媛</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汪伟</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刘丹丹</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基于</w:t>
      </w:r>
      <w:r>
        <w:rPr>
          <w:rFonts w:ascii="Times New Roman" w:hAnsi="Times New Roman"/>
          <w:color w:val="000000" w:themeColor="text1"/>
          <w:szCs w:val="21"/>
        </w:rPr>
        <w:t>ICRG</w:t>
      </w:r>
      <w:r>
        <w:rPr>
          <w:rFonts w:ascii="Times New Roman" w:hAnsi="Times New Roman"/>
          <w:color w:val="000000" w:themeColor="text1"/>
          <w:szCs w:val="21"/>
        </w:rPr>
        <w:t>的中国海外投资国家风险评价方法</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沈阳工业大学学报</w:t>
      </w:r>
      <w:r>
        <w:rPr>
          <w:rFonts w:ascii="Times New Roman" w:hAnsi="Times New Roman"/>
          <w:color w:val="000000" w:themeColor="text1"/>
          <w:szCs w:val="21"/>
        </w:rPr>
        <w:t>(</w:t>
      </w:r>
      <w:r>
        <w:rPr>
          <w:rFonts w:ascii="Times New Roman" w:hAnsi="Times New Roman"/>
          <w:color w:val="000000" w:themeColor="text1"/>
          <w:szCs w:val="21"/>
        </w:rPr>
        <w:t>社会科学版</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2015,</w:t>
      </w:r>
      <w:r>
        <w:rPr>
          <w:rFonts w:ascii="Times New Roman" w:hAnsi="Times New Roman" w:hint="eastAsia"/>
          <w:color w:val="000000" w:themeColor="text1"/>
          <w:szCs w:val="21"/>
        </w:rPr>
        <w:t xml:space="preserve"> </w:t>
      </w:r>
      <w:r>
        <w:rPr>
          <w:rFonts w:ascii="Times New Roman" w:hAnsi="Times New Roman"/>
          <w:color w:val="000000" w:themeColor="text1"/>
          <w:szCs w:val="21"/>
        </w:rPr>
        <w:t>8(04):304-311.</w:t>
      </w:r>
    </w:p>
    <w:p w14:paraId="7E259C85"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lastRenderedPageBreak/>
        <w:t>李志慧</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齐麟</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邓祥征</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新冠肺炎疫情对我国在</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沿线国家能源投资风险的影响分析</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中国科学基金</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2020,</w:t>
      </w:r>
      <w:r>
        <w:rPr>
          <w:rFonts w:ascii="Times New Roman" w:hAnsi="Times New Roman" w:hint="eastAsia"/>
          <w:color w:val="000000" w:themeColor="text1"/>
          <w:szCs w:val="21"/>
        </w:rPr>
        <w:t xml:space="preserve"> </w:t>
      </w:r>
      <w:r>
        <w:rPr>
          <w:rFonts w:ascii="Times New Roman" w:hAnsi="Times New Roman"/>
          <w:color w:val="000000" w:themeColor="text1"/>
          <w:szCs w:val="21"/>
        </w:rPr>
        <w:t>34(06):728-739.</w:t>
      </w:r>
    </w:p>
    <w:p w14:paraId="03F2985A"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李志展</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张之</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后疫情时代“走出去”的发展趋势</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施工企业管理</w:t>
      </w:r>
      <w:r>
        <w:rPr>
          <w:rFonts w:ascii="Times New Roman" w:hAnsi="Times New Roman" w:hint="eastAsia"/>
          <w:color w:val="000000" w:themeColor="text1"/>
          <w:szCs w:val="21"/>
        </w:rPr>
        <w:t>, 2020(10):29-30.</w:t>
      </w:r>
    </w:p>
    <w:p w14:paraId="0CCB55E4"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刘海猛</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胡森林</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方恺</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沿线国家政治</w:t>
      </w:r>
      <w:r>
        <w:rPr>
          <w:rFonts w:ascii="Times New Roman" w:hAnsi="Times New Roman"/>
          <w:color w:val="000000" w:themeColor="text1"/>
          <w:szCs w:val="21"/>
        </w:rPr>
        <w:t>-</w:t>
      </w:r>
      <w:r>
        <w:rPr>
          <w:rFonts w:ascii="Times New Roman" w:hAnsi="Times New Roman"/>
          <w:color w:val="000000" w:themeColor="text1"/>
          <w:szCs w:val="21"/>
        </w:rPr>
        <w:t>经济</w:t>
      </w:r>
      <w:r>
        <w:rPr>
          <w:rFonts w:ascii="Times New Roman" w:hAnsi="Times New Roman"/>
          <w:color w:val="000000" w:themeColor="text1"/>
          <w:szCs w:val="21"/>
        </w:rPr>
        <w:t>-</w:t>
      </w:r>
      <w:r>
        <w:rPr>
          <w:rFonts w:ascii="Times New Roman" w:hAnsi="Times New Roman"/>
          <w:color w:val="000000" w:themeColor="text1"/>
          <w:szCs w:val="21"/>
        </w:rPr>
        <w:t>社会风险综合评估及防控</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地理研究</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2019,</w:t>
      </w:r>
      <w:r>
        <w:rPr>
          <w:rFonts w:ascii="Times New Roman" w:hAnsi="Times New Roman" w:hint="eastAsia"/>
          <w:color w:val="000000" w:themeColor="text1"/>
          <w:szCs w:val="21"/>
        </w:rPr>
        <w:t xml:space="preserve"> </w:t>
      </w:r>
      <w:r>
        <w:rPr>
          <w:rFonts w:ascii="Times New Roman" w:hAnsi="Times New Roman"/>
          <w:color w:val="000000" w:themeColor="text1"/>
          <w:szCs w:val="21"/>
        </w:rPr>
        <w:t>38(12):2966-2984.</w:t>
      </w:r>
    </w:p>
    <w:p w14:paraId="6FAAD136"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刘兰芬</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刘明礼</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欧盟对华经济合作中的“安全顾虑”</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现代国际关系</w:t>
      </w:r>
      <w:r>
        <w:rPr>
          <w:rFonts w:ascii="Times New Roman" w:hAnsi="Times New Roman" w:hint="eastAsia"/>
          <w:color w:val="000000" w:themeColor="text1"/>
          <w:szCs w:val="21"/>
        </w:rPr>
        <w:t>, 2020(10):27-35, 61-62.</w:t>
      </w:r>
    </w:p>
    <w:p w14:paraId="0728E61A"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刘亮</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沈桂龙</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李昊匡</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异质性因素与中国企业跨国并购行为——基于全球价值链布局的视角</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国际贸易问题</w:t>
      </w:r>
      <w:r>
        <w:rPr>
          <w:rFonts w:ascii="Times New Roman" w:hAnsi="Times New Roman" w:hint="eastAsia"/>
          <w:color w:val="000000" w:themeColor="text1"/>
          <w:szCs w:val="21"/>
        </w:rPr>
        <w:t>, 2020(10):144-159. DOI:10.13510/j.cnki.jit.2020.10.010.</w:t>
      </w:r>
    </w:p>
    <w:p w14:paraId="4710330F"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孟华强</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刘振宇</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中国企业全球化阶段定位研究——基于熵权</w:t>
      </w:r>
      <w:r>
        <w:rPr>
          <w:rFonts w:ascii="Times New Roman" w:hAnsi="Times New Roman" w:hint="eastAsia"/>
          <w:color w:val="000000" w:themeColor="text1"/>
          <w:szCs w:val="21"/>
        </w:rPr>
        <w:t>TOPSIS</w:t>
      </w:r>
      <w:r>
        <w:rPr>
          <w:rFonts w:ascii="Times New Roman" w:hAnsi="Times New Roman" w:hint="eastAsia"/>
          <w:color w:val="000000" w:themeColor="text1"/>
          <w:szCs w:val="21"/>
        </w:rPr>
        <w:t>的分析</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首都师范大学学报</w:t>
      </w:r>
      <w:r>
        <w:rPr>
          <w:rFonts w:ascii="Times New Roman" w:hAnsi="Times New Roman" w:hint="eastAsia"/>
          <w:color w:val="000000" w:themeColor="text1"/>
          <w:szCs w:val="21"/>
        </w:rPr>
        <w:t>(</w:t>
      </w:r>
      <w:r>
        <w:rPr>
          <w:rFonts w:ascii="Times New Roman" w:hAnsi="Times New Roman" w:hint="eastAsia"/>
          <w:color w:val="000000" w:themeColor="text1"/>
          <w:szCs w:val="21"/>
        </w:rPr>
        <w:t>社会科学版</w:t>
      </w:r>
      <w:r>
        <w:rPr>
          <w:rFonts w:ascii="Times New Roman" w:hAnsi="Times New Roman" w:hint="eastAsia"/>
          <w:color w:val="000000" w:themeColor="text1"/>
          <w:szCs w:val="21"/>
        </w:rPr>
        <w:t>), 2020(5):65-76.</w:t>
      </w:r>
    </w:p>
    <w:p w14:paraId="5383A874"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孟醒</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董有德</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社会政治风险与我国企业对外直接投资的区位选择</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国际贸易问题</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2015(04):106-115.</w:t>
      </w:r>
    </w:p>
    <w:p w14:paraId="7CE25A74"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乔依德</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陈竹</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范晓</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中国企业海外直接投资风险识别与防范</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科学发展</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2018(10):72-80.</w:t>
      </w:r>
    </w:p>
    <w:p w14:paraId="12B51F10"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商务部：“十三五”期间对外投资存量翻一番</w:t>
      </w:r>
      <w:r>
        <w:rPr>
          <w:rFonts w:ascii="Times New Roman" w:hAnsi="Times New Roman" w:hint="eastAsia"/>
          <w:color w:val="000000" w:themeColor="text1"/>
          <w:szCs w:val="21"/>
        </w:rPr>
        <w:t xml:space="preserve">[N/OL]. (2021-01-30)[2021-11-01]. </w:t>
      </w:r>
      <w:hyperlink r:id="rId36" w:history="1">
        <w:r>
          <w:rPr>
            <w:rFonts w:ascii="Times New Roman" w:hAnsi="Times New Roman" w:hint="eastAsia"/>
            <w:color w:val="000000" w:themeColor="text1"/>
            <w:szCs w:val="21"/>
          </w:rPr>
          <w:t>http://jx.people.com.cn/GB/n2/2021/0130/c186330-34556087.html.</w:t>
        </w:r>
      </w:hyperlink>
    </w:p>
    <w:p w14:paraId="4975534C"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沈兰军</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陈维哲</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刘宗珉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中国对外直接投资的现状分析与建议研究</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中国中小企业</w:t>
      </w:r>
      <w:r>
        <w:rPr>
          <w:rFonts w:ascii="Times New Roman" w:hAnsi="Times New Roman" w:hint="eastAsia"/>
          <w:color w:val="000000" w:themeColor="text1"/>
          <w:szCs w:val="21"/>
        </w:rPr>
        <w:t>, 2020(03):102-103.</w:t>
      </w:r>
    </w:p>
    <w:p w14:paraId="35096413"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宋维佳</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乔治</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建筑企业</w:t>
      </w:r>
      <w:r>
        <w:rPr>
          <w:rFonts w:ascii="Times New Roman" w:hAnsi="Times New Roman" w:hint="eastAsia"/>
          <w:color w:val="000000" w:themeColor="text1"/>
          <w:szCs w:val="21"/>
        </w:rPr>
        <w:t>“</w:t>
      </w:r>
      <w:r>
        <w:rPr>
          <w:rFonts w:ascii="Times New Roman" w:hAnsi="Times New Roman"/>
          <w:color w:val="000000" w:themeColor="text1"/>
          <w:szCs w:val="21"/>
        </w:rPr>
        <w:t>走出去</w:t>
      </w:r>
      <w:r>
        <w:rPr>
          <w:rFonts w:ascii="Times New Roman" w:hAnsi="Times New Roman" w:hint="eastAsia"/>
          <w:color w:val="000000" w:themeColor="text1"/>
          <w:szCs w:val="21"/>
        </w:rPr>
        <w:t>”</w:t>
      </w:r>
      <w:r>
        <w:rPr>
          <w:rFonts w:ascii="Times New Roman" w:hAnsi="Times New Roman"/>
          <w:color w:val="000000" w:themeColor="text1"/>
          <w:szCs w:val="21"/>
        </w:rPr>
        <w:t>的风险管理研究</w:t>
      </w:r>
      <w:r>
        <w:rPr>
          <w:rFonts w:ascii="Times New Roman" w:hAnsi="Times New Roman"/>
          <w:color w:val="000000" w:themeColor="text1"/>
          <w:szCs w:val="21"/>
        </w:rPr>
        <w:t>——</w:t>
      </w:r>
      <w:r>
        <w:rPr>
          <w:rFonts w:ascii="Times New Roman" w:hAnsi="Times New Roman"/>
          <w:color w:val="000000" w:themeColor="text1"/>
          <w:szCs w:val="21"/>
        </w:rPr>
        <w:t>基于国际工程承包的视角</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建筑经济</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2014,</w:t>
      </w:r>
      <w:r>
        <w:rPr>
          <w:rFonts w:ascii="Times New Roman" w:hAnsi="Times New Roman" w:hint="eastAsia"/>
          <w:color w:val="000000" w:themeColor="text1"/>
          <w:szCs w:val="21"/>
        </w:rPr>
        <w:t xml:space="preserve"> </w:t>
      </w:r>
      <w:r>
        <w:rPr>
          <w:rFonts w:ascii="Times New Roman" w:hAnsi="Times New Roman"/>
          <w:color w:val="000000" w:themeColor="text1"/>
          <w:szCs w:val="21"/>
        </w:rPr>
        <w:t>35(11):24-29.</w:t>
      </w:r>
    </w:p>
    <w:p w14:paraId="44510219"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王琛</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国家风险评价指标体系对比研究</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经济与管理研究</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2008(06):51-55.</w:t>
      </w:r>
    </w:p>
    <w:p w14:paraId="72CA40B6"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王娜</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陈兴鹏</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张子龙</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丝绸之路经济带</w:t>
      </w:r>
      <w:r>
        <w:rPr>
          <w:rFonts w:ascii="Times New Roman" w:hAnsi="Times New Roman" w:hint="eastAsia"/>
          <w:color w:val="000000" w:themeColor="text1"/>
          <w:szCs w:val="21"/>
        </w:rPr>
        <w:t>”</w:t>
      </w:r>
      <w:r>
        <w:rPr>
          <w:rFonts w:ascii="Times New Roman" w:hAnsi="Times New Roman"/>
          <w:color w:val="000000" w:themeColor="text1"/>
          <w:szCs w:val="21"/>
        </w:rPr>
        <w:t>贸易联系网络结构研究</w:t>
      </w:r>
      <w:r>
        <w:rPr>
          <w:rFonts w:ascii="Times New Roman" w:hAnsi="Times New Roman"/>
          <w:color w:val="000000" w:themeColor="text1"/>
          <w:szCs w:val="21"/>
        </w:rPr>
        <w:t>——</w:t>
      </w:r>
      <w:r>
        <w:rPr>
          <w:rFonts w:ascii="Times New Roman" w:hAnsi="Times New Roman"/>
          <w:color w:val="000000" w:themeColor="text1"/>
          <w:szCs w:val="21"/>
        </w:rPr>
        <w:t>基于省区尺度和国家尺度的社会网络分析</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西部论坛</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2015,</w:t>
      </w:r>
      <w:r>
        <w:rPr>
          <w:rFonts w:ascii="Times New Roman" w:hAnsi="Times New Roman" w:hint="eastAsia"/>
          <w:color w:val="000000" w:themeColor="text1"/>
          <w:szCs w:val="21"/>
        </w:rPr>
        <w:t xml:space="preserve"> </w:t>
      </w:r>
      <w:r>
        <w:rPr>
          <w:rFonts w:ascii="Times New Roman" w:hAnsi="Times New Roman"/>
          <w:color w:val="000000" w:themeColor="text1"/>
          <w:szCs w:val="21"/>
        </w:rPr>
        <w:t>25(03):55-65.</w:t>
      </w:r>
    </w:p>
    <w:p w14:paraId="542178D5"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王兴雷</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张治平</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新形势下中企对欧投资的挑战及应对策略</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中国外资</w:t>
      </w:r>
      <w:r>
        <w:rPr>
          <w:rFonts w:ascii="Times New Roman" w:hAnsi="Times New Roman" w:hint="eastAsia"/>
          <w:color w:val="000000" w:themeColor="text1"/>
          <w:szCs w:val="21"/>
        </w:rPr>
        <w:t>, 2020(15):88-89.</w:t>
      </w:r>
    </w:p>
    <w:p w14:paraId="232560D1"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王竹立</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后疫情时代，教育应如何转型？</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电化教育研究</w:t>
      </w:r>
      <w:r>
        <w:rPr>
          <w:rFonts w:ascii="Times New Roman" w:hAnsi="Times New Roman" w:hint="eastAsia"/>
          <w:color w:val="000000" w:themeColor="text1"/>
          <w:szCs w:val="21"/>
        </w:rPr>
        <w:t>, 2020(04):13-20. DOI:10.13811/j.cnki.eer.2020.04.002.</w:t>
      </w:r>
    </w:p>
    <w:p w14:paraId="6BFFF8CE"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武芳</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祁欣</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后疫情时代中国对外投资发展趋势研判</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对外经贸实务</w:t>
      </w:r>
      <w:r>
        <w:rPr>
          <w:rFonts w:ascii="Times New Roman" w:hAnsi="Times New Roman" w:hint="eastAsia"/>
          <w:color w:val="000000" w:themeColor="text1"/>
          <w:szCs w:val="21"/>
        </w:rPr>
        <w:t>, 2021(02):04-07. DOI:10.3969/j.issn.1003-5559.2021.02.001.</w:t>
      </w:r>
    </w:p>
    <w:p w14:paraId="55F8F098"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习近平在推进“一带一路”建设工作座谈会上强调</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总结经验坚定信心扎实推进</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让“一带一路”建设造福沿线各国人民</w:t>
      </w:r>
      <w:r>
        <w:rPr>
          <w:rFonts w:ascii="Times New Roman" w:hAnsi="Times New Roman" w:hint="eastAsia"/>
          <w:color w:val="000000" w:themeColor="text1"/>
          <w:szCs w:val="21"/>
        </w:rPr>
        <w:t xml:space="preserve">[N]. </w:t>
      </w:r>
      <w:r>
        <w:rPr>
          <w:rFonts w:ascii="Times New Roman" w:hAnsi="Times New Roman" w:hint="eastAsia"/>
          <w:color w:val="000000" w:themeColor="text1"/>
          <w:szCs w:val="21"/>
        </w:rPr>
        <w:t>人民日报</w:t>
      </w:r>
      <w:r>
        <w:rPr>
          <w:rFonts w:ascii="Times New Roman" w:hAnsi="Times New Roman" w:hint="eastAsia"/>
          <w:color w:val="000000" w:themeColor="text1"/>
          <w:szCs w:val="21"/>
        </w:rPr>
        <w:t>, 2016-08-18.</w:t>
      </w:r>
    </w:p>
    <w:p w14:paraId="4A32D780"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杨玲丽</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社会嵌入、企业声誉与海外投资经济风险治理</w:t>
      </w:r>
      <w:r>
        <w:rPr>
          <w:rFonts w:ascii="Times New Roman" w:hAnsi="Times New Roman"/>
          <w:color w:val="000000" w:themeColor="text1"/>
          <w:szCs w:val="21"/>
        </w:rPr>
        <w:t>——</w:t>
      </w:r>
      <w:r>
        <w:rPr>
          <w:rFonts w:ascii="Times New Roman" w:hAnsi="Times New Roman"/>
          <w:color w:val="000000" w:themeColor="text1"/>
          <w:szCs w:val="21"/>
        </w:rPr>
        <w:t>基于中国企业对</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沿线国家投资的研究</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重庆大学学报</w:t>
      </w:r>
      <w:r>
        <w:rPr>
          <w:rFonts w:ascii="Times New Roman" w:hAnsi="Times New Roman"/>
          <w:color w:val="000000" w:themeColor="text1"/>
          <w:szCs w:val="21"/>
        </w:rPr>
        <w:t>(</w:t>
      </w:r>
      <w:r>
        <w:rPr>
          <w:rFonts w:ascii="Times New Roman" w:hAnsi="Times New Roman"/>
          <w:color w:val="000000" w:themeColor="text1"/>
          <w:szCs w:val="21"/>
        </w:rPr>
        <w:t>社会科学版</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2021,</w:t>
      </w:r>
      <w:r>
        <w:rPr>
          <w:rFonts w:ascii="Times New Roman" w:hAnsi="Times New Roman" w:hint="eastAsia"/>
          <w:color w:val="000000" w:themeColor="text1"/>
          <w:szCs w:val="21"/>
        </w:rPr>
        <w:t xml:space="preserve"> </w:t>
      </w:r>
      <w:r>
        <w:rPr>
          <w:rFonts w:ascii="Times New Roman" w:hAnsi="Times New Roman"/>
          <w:color w:val="000000" w:themeColor="text1"/>
          <w:szCs w:val="21"/>
        </w:rPr>
        <w:t>27(02):8-22.</w:t>
      </w:r>
    </w:p>
    <w:p w14:paraId="1B823300"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杨理智</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张韧</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21</w:t>
      </w:r>
      <w:r>
        <w:rPr>
          <w:rFonts w:ascii="Times New Roman" w:hAnsi="Times New Roman"/>
          <w:color w:val="000000" w:themeColor="text1"/>
          <w:szCs w:val="21"/>
        </w:rPr>
        <w:t>世纪海上丝绸之路</w:t>
      </w:r>
      <w:r>
        <w:rPr>
          <w:rFonts w:ascii="Times New Roman" w:hAnsi="Times New Roman" w:hint="eastAsia"/>
          <w:color w:val="000000" w:themeColor="text1"/>
          <w:szCs w:val="21"/>
        </w:rPr>
        <w:t>”</w:t>
      </w:r>
      <w:r>
        <w:rPr>
          <w:rFonts w:ascii="Times New Roman" w:hAnsi="Times New Roman"/>
          <w:color w:val="000000" w:themeColor="text1"/>
          <w:szCs w:val="21"/>
        </w:rPr>
        <w:t>地缘环境分析与风险区划</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军事运筹与系统工程</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2016,</w:t>
      </w:r>
      <w:r>
        <w:rPr>
          <w:rFonts w:ascii="Times New Roman" w:hAnsi="Times New Roman" w:hint="eastAsia"/>
          <w:color w:val="000000" w:themeColor="text1"/>
          <w:szCs w:val="21"/>
        </w:rPr>
        <w:t xml:space="preserve"> </w:t>
      </w:r>
      <w:r>
        <w:rPr>
          <w:rFonts w:ascii="Times New Roman" w:hAnsi="Times New Roman"/>
          <w:color w:val="000000" w:themeColor="text1"/>
          <w:szCs w:val="21"/>
        </w:rPr>
        <w:t>30(01):5-11.</w:t>
      </w:r>
    </w:p>
    <w:p w14:paraId="6CEB573F"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lastRenderedPageBreak/>
        <w:t>杨鸣</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孙玉凤</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政治风险对中国对外直接投资的影响研究</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全国流通经济</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2021(02):53-56.</w:t>
      </w:r>
    </w:p>
    <w:p w14:paraId="1B7EFA55"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杨挺</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陈兆源</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黄翘楚</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展望</w:t>
      </w:r>
      <w:r>
        <w:rPr>
          <w:rFonts w:ascii="Times New Roman" w:hAnsi="Times New Roman" w:hint="eastAsia"/>
          <w:color w:val="000000" w:themeColor="text1"/>
          <w:szCs w:val="21"/>
        </w:rPr>
        <w:t>2021</w:t>
      </w:r>
      <w:r>
        <w:rPr>
          <w:rFonts w:ascii="Times New Roman" w:hAnsi="Times New Roman" w:hint="eastAsia"/>
          <w:color w:val="000000" w:themeColor="text1"/>
          <w:szCs w:val="21"/>
        </w:rPr>
        <w:t>年中国对外直接投资趋势</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国际经济合作</w:t>
      </w:r>
      <w:r>
        <w:rPr>
          <w:rFonts w:ascii="Times New Roman" w:hAnsi="Times New Roman" w:hint="eastAsia"/>
          <w:color w:val="000000" w:themeColor="text1"/>
          <w:szCs w:val="21"/>
        </w:rPr>
        <w:t>, 2021(1):41-49.</w:t>
      </w:r>
    </w:p>
    <w:p w14:paraId="71565ED3"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殷好好</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欧洲经济政治变化对中国企业在欧贸易投资的影响分析</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对外经贸实务</w:t>
      </w:r>
      <w:r>
        <w:rPr>
          <w:rFonts w:ascii="Times New Roman" w:hAnsi="Times New Roman" w:hint="eastAsia"/>
          <w:color w:val="000000" w:themeColor="text1"/>
          <w:szCs w:val="21"/>
        </w:rPr>
        <w:t>, 2019(11):16-19. DOI:10.3969/j.is s n.1003- 5559.2019.11.004.</w:t>
      </w:r>
    </w:p>
    <w:p w14:paraId="1980BD97" w14:textId="77777777" w:rsidR="006B10D9" w:rsidRDefault="00BE6472">
      <w:pPr>
        <w:pStyle w:val="aff6"/>
        <w:numPr>
          <w:ilvl w:val="0"/>
          <w:numId w:val="3"/>
        </w:numPr>
        <w:tabs>
          <w:tab w:val="left" w:pos="0"/>
        </w:tabs>
        <w:adjustRightInd w:val="0"/>
        <w:spacing w:line="372" w:lineRule="auto"/>
        <w:ind w:firstLineChars="0"/>
        <w:rPr>
          <w:rFonts w:ascii="Times New Roman" w:hAnsi="Times New Roman"/>
          <w:color w:val="000000" w:themeColor="text1"/>
          <w:szCs w:val="21"/>
        </w:rPr>
      </w:pPr>
      <w:r>
        <w:rPr>
          <w:rFonts w:ascii="Times New Roman" w:hAnsi="Times New Roman"/>
          <w:color w:val="000000" w:themeColor="text1"/>
          <w:szCs w:val="21"/>
        </w:rPr>
        <w:t>尹彦辉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孙祥栋</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徐朝</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新冠肺炎疫情与宏观经济波动：基于</w:t>
      </w:r>
      <w:r>
        <w:rPr>
          <w:rFonts w:ascii="Times New Roman" w:hAnsi="Times New Roman"/>
          <w:color w:val="000000" w:themeColor="text1"/>
          <w:szCs w:val="21"/>
        </w:rPr>
        <w:t>DSGE</w:t>
      </w:r>
      <w:r>
        <w:rPr>
          <w:rFonts w:ascii="Times New Roman" w:hAnsi="Times New Roman"/>
          <w:color w:val="000000" w:themeColor="text1"/>
          <w:szCs w:val="21"/>
        </w:rPr>
        <w:t>模型的分析及启示</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统计与决策</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2020,</w:t>
      </w:r>
      <w:r>
        <w:rPr>
          <w:rFonts w:ascii="Times New Roman" w:hAnsi="Times New Roman" w:hint="eastAsia"/>
          <w:color w:val="000000" w:themeColor="text1"/>
          <w:szCs w:val="21"/>
        </w:rPr>
        <w:t xml:space="preserve"> </w:t>
      </w:r>
      <w:r>
        <w:rPr>
          <w:rFonts w:ascii="Times New Roman" w:hAnsi="Times New Roman"/>
          <w:color w:val="000000" w:themeColor="text1"/>
          <w:szCs w:val="21"/>
        </w:rPr>
        <w:t>36(07):85-90.</w:t>
      </w:r>
    </w:p>
    <w:p w14:paraId="7AF603EC" w14:textId="77777777" w:rsidR="006B10D9" w:rsidRDefault="00BE6472">
      <w:pPr>
        <w:pStyle w:val="aff6"/>
        <w:numPr>
          <w:ilvl w:val="0"/>
          <w:numId w:val="3"/>
        </w:numPr>
        <w:adjustRightInd w:val="0"/>
        <w:spacing w:line="372" w:lineRule="auto"/>
        <w:ind w:firstLineChars="0"/>
        <w:jc w:val="left"/>
        <w:rPr>
          <w:rFonts w:ascii="Times New Roman" w:hAnsi="Times New Roman"/>
          <w:color w:val="000000" w:themeColor="text1"/>
          <w:szCs w:val="21"/>
        </w:rPr>
      </w:pPr>
      <w:r>
        <w:rPr>
          <w:rFonts w:ascii="Times New Roman" w:hAnsi="Times New Roman" w:hint="eastAsia"/>
          <w:color w:val="000000" w:themeColor="text1"/>
          <w:szCs w:val="21"/>
        </w:rPr>
        <w:t>于晓</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矫磊</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“走出去”战略概述</w:t>
      </w:r>
      <w:r>
        <w:rPr>
          <w:rFonts w:ascii="Times New Roman" w:hAnsi="Times New Roman" w:hint="eastAsia"/>
          <w:color w:val="000000" w:themeColor="text1"/>
          <w:szCs w:val="21"/>
        </w:rPr>
        <w:t xml:space="preserve">[J/OL]. (2011)[2021-11-01]. </w:t>
      </w:r>
      <w:hyperlink r:id="rId37" w:history="1">
        <w:r>
          <w:rPr>
            <w:rFonts w:ascii="Times New Roman" w:hAnsi="Times New Roman" w:hint="eastAsia"/>
            <w:color w:val="000000" w:themeColor="text1"/>
            <w:szCs w:val="21"/>
          </w:rPr>
          <w:t>http://qwgzyj.gqb.gov.cn/yjytt/159/1743.shtml.</w:t>
        </w:r>
      </w:hyperlink>
    </w:p>
    <w:p w14:paraId="4B016C2B"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张金杰</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国家风险的形成、评估及中国对策</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世界经济与政治</w:t>
      </w:r>
      <w:r>
        <w:rPr>
          <w:rFonts w:ascii="Times New Roman" w:hAnsi="Times New Roman" w:hint="eastAsia"/>
          <w:color w:val="000000" w:themeColor="text1"/>
          <w:szCs w:val="21"/>
        </w:rPr>
        <w:t>, 2008(3):58-64.</w:t>
      </w:r>
    </w:p>
    <w:p w14:paraId="109F9C25"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张宇燕</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“十四五”时期我国的外部环境及影响</w:t>
      </w:r>
      <w:r>
        <w:rPr>
          <w:rFonts w:ascii="Times New Roman" w:hAnsi="Times New Roman" w:hint="eastAsia"/>
          <w:color w:val="000000" w:themeColor="text1"/>
          <w:szCs w:val="21"/>
        </w:rPr>
        <w:t xml:space="preserve">[N/OL]. </w:t>
      </w:r>
      <w:r>
        <w:rPr>
          <w:rFonts w:ascii="Times New Roman" w:hAnsi="Times New Roman" w:hint="eastAsia"/>
          <w:color w:val="000000" w:themeColor="text1"/>
          <w:szCs w:val="21"/>
        </w:rPr>
        <w:t>中国社会科学报</w:t>
      </w:r>
      <w:r>
        <w:rPr>
          <w:rFonts w:ascii="Times New Roman" w:hAnsi="Times New Roman" w:hint="eastAsia"/>
          <w:color w:val="000000" w:themeColor="text1"/>
          <w:szCs w:val="21"/>
        </w:rPr>
        <w:t xml:space="preserve">, (2020-11-11)[2021-11-01]. </w:t>
      </w:r>
      <w:hyperlink r:id="rId38" w:history="1">
        <w:r>
          <w:rPr>
            <w:rFonts w:ascii="Times New Roman" w:hAnsi="Times New Roman" w:hint="eastAsia"/>
            <w:color w:val="000000" w:themeColor="text1"/>
            <w:szCs w:val="21"/>
          </w:rPr>
          <w:t>http://news.cssn.cn/zx/bwyc/202011/t20201111_5215078.shtml.</w:t>
        </w:r>
      </w:hyperlink>
    </w:p>
    <w:p w14:paraId="5635E7D8" w14:textId="77777777" w:rsidR="006B10D9" w:rsidRDefault="00BE6472">
      <w:pPr>
        <w:pStyle w:val="aff6"/>
        <w:numPr>
          <w:ilvl w:val="0"/>
          <w:numId w:val="3"/>
        </w:numPr>
        <w:tabs>
          <w:tab w:val="left" w:pos="0"/>
        </w:tabs>
        <w:adjustRightInd w:val="0"/>
        <w:spacing w:line="372" w:lineRule="auto"/>
        <w:ind w:firstLineChars="0"/>
        <w:rPr>
          <w:rFonts w:ascii="Times New Roman" w:hAnsi="Times New Roman"/>
          <w:color w:val="000000" w:themeColor="text1"/>
          <w:szCs w:val="21"/>
        </w:rPr>
      </w:pPr>
      <w:r>
        <w:rPr>
          <w:rFonts w:ascii="Times New Roman" w:hAnsi="Times New Roman"/>
          <w:color w:val="000000" w:themeColor="text1"/>
          <w:szCs w:val="21"/>
        </w:rPr>
        <w:t>赵捷</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姜小鱼</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陈秧分</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农业投资风险评估及其对农业</w:t>
      </w:r>
      <w:r>
        <w:rPr>
          <w:rFonts w:ascii="Times New Roman" w:hAnsi="Times New Roman" w:hint="eastAsia"/>
          <w:color w:val="000000" w:themeColor="text1"/>
          <w:szCs w:val="21"/>
        </w:rPr>
        <w:t>“</w:t>
      </w:r>
      <w:r>
        <w:rPr>
          <w:rFonts w:ascii="Times New Roman" w:hAnsi="Times New Roman"/>
          <w:color w:val="000000" w:themeColor="text1"/>
          <w:szCs w:val="21"/>
        </w:rPr>
        <w:t>走出去</w:t>
      </w:r>
      <w:r>
        <w:rPr>
          <w:rFonts w:ascii="Times New Roman" w:hAnsi="Times New Roman" w:hint="eastAsia"/>
          <w:color w:val="000000" w:themeColor="text1"/>
          <w:szCs w:val="21"/>
        </w:rPr>
        <w:t>”</w:t>
      </w:r>
      <w:r>
        <w:rPr>
          <w:rFonts w:ascii="Times New Roman" w:hAnsi="Times New Roman"/>
          <w:color w:val="000000" w:themeColor="text1"/>
          <w:szCs w:val="21"/>
        </w:rPr>
        <w:t>的启示</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农业现代化研究</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2020,</w:t>
      </w:r>
      <w:r>
        <w:rPr>
          <w:rFonts w:ascii="Times New Roman" w:hAnsi="Times New Roman" w:hint="eastAsia"/>
          <w:color w:val="000000" w:themeColor="text1"/>
          <w:szCs w:val="21"/>
        </w:rPr>
        <w:t xml:space="preserve"> </w:t>
      </w:r>
      <w:r>
        <w:rPr>
          <w:rFonts w:ascii="Times New Roman" w:hAnsi="Times New Roman"/>
          <w:color w:val="000000" w:themeColor="text1"/>
          <w:szCs w:val="21"/>
        </w:rPr>
        <w:t>41(04):599-607.</w:t>
      </w:r>
    </w:p>
    <w:p w14:paraId="6D0C3058"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赵平</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李雅娜</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美国政府对中国企业投资实施安全审查问题的研究</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吉林工商学院学报</w:t>
      </w:r>
      <w:r>
        <w:rPr>
          <w:rFonts w:ascii="Times New Roman" w:hAnsi="Times New Roman" w:hint="eastAsia"/>
          <w:color w:val="000000" w:themeColor="text1"/>
          <w:szCs w:val="21"/>
        </w:rPr>
        <w:t>, 2021, 37(3):20-25.</w:t>
      </w:r>
    </w:p>
    <w:p w14:paraId="07A788DF"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赵云辉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陶克涛</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李亚慧</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等</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中国企业对外直接投资区位选择——基于</w:t>
      </w:r>
      <w:r>
        <w:rPr>
          <w:rFonts w:ascii="Times New Roman" w:hAnsi="Times New Roman" w:hint="eastAsia"/>
          <w:color w:val="000000" w:themeColor="text1"/>
          <w:szCs w:val="21"/>
        </w:rPr>
        <w:t>QCA</w:t>
      </w:r>
      <w:r>
        <w:rPr>
          <w:rFonts w:ascii="Times New Roman" w:hAnsi="Times New Roman" w:hint="eastAsia"/>
          <w:color w:val="000000" w:themeColor="text1"/>
          <w:szCs w:val="21"/>
        </w:rPr>
        <w:t>方法的联动效应研究</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中国工业经济</w:t>
      </w:r>
      <w:r>
        <w:rPr>
          <w:rFonts w:ascii="Times New Roman" w:hAnsi="Times New Roman" w:hint="eastAsia"/>
          <w:color w:val="000000" w:themeColor="text1"/>
          <w:szCs w:val="21"/>
        </w:rPr>
        <w:t>, 2020(11):118-136. DOI:10.19581/j.cnki.ciejournal.2020.11.007.</w:t>
      </w:r>
    </w:p>
    <w:p w14:paraId="413A91E0" w14:textId="77777777" w:rsidR="006B10D9" w:rsidRDefault="00BE6472">
      <w:pPr>
        <w:pStyle w:val="aff6"/>
        <w:numPr>
          <w:ilvl w:val="0"/>
          <w:numId w:val="3"/>
        </w:numPr>
        <w:tabs>
          <w:tab w:val="left" w:pos="0"/>
        </w:tabs>
        <w:adjustRightInd w:val="0"/>
        <w:spacing w:line="372" w:lineRule="auto"/>
        <w:ind w:firstLineChars="0"/>
        <w:rPr>
          <w:rFonts w:ascii="Times New Roman" w:hAnsi="Times New Roman"/>
          <w:color w:val="000000" w:themeColor="text1"/>
          <w:szCs w:val="21"/>
        </w:rPr>
      </w:pPr>
      <w:r>
        <w:rPr>
          <w:rFonts w:ascii="Times New Roman" w:hAnsi="Times New Roman"/>
          <w:color w:val="000000" w:themeColor="text1"/>
          <w:szCs w:val="21"/>
        </w:rPr>
        <w:t>张斌</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新冠肺炎疫情对宏观经济的影响及财政政策的对冲效应评价分析</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工业技术经济</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2020,</w:t>
      </w:r>
      <w:r>
        <w:rPr>
          <w:rFonts w:ascii="Times New Roman" w:hAnsi="Times New Roman" w:hint="eastAsia"/>
          <w:color w:val="000000" w:themeColor="text1"/>
          <w:szCs w:val="21"/>
        </w:rPr>
        <w:t xml:space="preserve"> </w:t>
      </w:r>
      <w:r>
        <w:rPr>
          <w:rFonts w:ascii="Times New Roman" w:hAnsi="Times New Roman"/>
          <w:color w:val="000000" w:themeColor="text1"/>
          <w:szCs w:val="21"/>
        </w:rPr>
        <w:t>39(10):47-56.</w:t>
      </w:r>
    </w:p>
    <w:p w14:paraId="7EFB276C" w14:textId="77777777" w:rsidR="006B10D9" w:rsidRDefault="00BE6472">
      <w:pPr>
        <w:pStyle w:val="aff6"/>
        <w:numPr>
          <w:ilvl w:val="0"/>
          <w:numId w:val="3"/>
        </w:numPr>
        <w:tabs>
          <w:tab w:val="left" w:pos="0"/>
        </w:tabs>
        <w:adjustRightInd w:val="0"/>
        <w:spacing w:line="372" w:lineRule="auto"/>
        <w:ind w:firstLineChars="0"/>
        <w:rPr>
          <w:rFonts w:ascii="Times New Roman" w:hAnsi="Times New Roman"/>
          <w:color w:val="000000" w:themeColor="text1"/>
          <w:szCs w:val="21"/>
        </w:rPr>
      </w:pPr>
      <w:r>
        <w:rPr>
          <w:rFonts w:ascii="Times New Roman" w:hAnsi="Times New Roman"/>
          <w:color w:val="000000" w:themeColor="text1"/>
          <w:szCs w:val="21"/>
        </w:rPr>
        <w:t>张栋</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许燕</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张舒媛</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沿线主要国家投资风险识别与对策研究</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东北亚论坛</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2019,</w:t>
      </w:r>
      <w:r>
        <w:rPr>
          <w:rFonts w:ascii="Times New Roman" w:hAnsi="Times New Roman" w:hint="eastAsia"/>
          <w:color w:val="000000" w:themeColor="text1"/>
          <w:szCs w:val="21"/>
        </w:rPr>
        <w:t xml:space="preserve"> </w:t>
      </w:r>
      <w:r>
        <w:rPr>
          <w:rFonts w:ascii="Times New Roman" w:hAnsi="Times New Roman"/>
          <w:color w:val="000000" w:themeColor="text1"/>
          <w:szCs w:val="21"/>
        </w:rPr>
        <w:t>28(03):68-89</w:t>
      </w:r>
      <w:r>
        <w:rPr>
          <w:rFonts w:ascii="Times New Roman" w:hAnsi="Times New Roman" w:hint="eastAsia"/>
          <w:color w:val="000000" w:themeColor="text1"/>
          <w:szCs w:val="21"/>
        </w:rPr>
        <w:t xml:space="preserve">, </w:t>
      </w:r>
      <w:r>
        <w:rPr>
          <w:rFonts w:ascii="Times New Roman" w:hAnsi="Times New Roman"/>
          <w:color w:val="000000" w:themeColor="text1"/>
          <w:szCs w:val="21"/>
        </w:rPr>
        <w:t>128.</w:t>
      </w:r>
    </w:p>
    <w:p w14:paraId="04244D67"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张怀岭</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欧盟双轨制外资安全审查改革：理念、制度与挑战</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德国研究</w:t>
      </w:r>
      <w:r>
        <w:rPr>
          <w:rFonts w:ascii="Times New Roman" w:hAnsi="Times New Roman" w:hint="eastAsia"/>
          <w:color w:val="000000" w:themeColor="text1"/>
          <w:szCs w:val="21"/>
        </w:rPr>
        <w:t>, 2019, 34(2):69-87, 158-159.</w:t>
      </w:r>
    </w:p>
    <w:p w14:paraId="7FBA22EF"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张健</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新冠疫情对欧洲的影响与中欧关系</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现代国际关系</w:t>
      </w:r>
      <w:r>
        <w:rPr>
          <w:rFonts w:ascii="Times New Roman" w:hAnsi="Times New Roman" w:hint="eastAsia"/>
          <w:color w:val="000000" w:themeColor="text1"/>
          <w:szCs w:val="21"/>
        </w:rPr>
        <w:t>, 2020(4):9-18, 51, 60.</w:t>
      </w:r>
    </w:p>
    <w:p w14:paraId="22DB25B5" w14:textId="77777777" w:rsidR="006B10D9" w:rsidRDefault="00BE6472">
      <w:pPr>
        <w:pStyle w:val="aff6"/>
        <w:numPr>
          <w:ilvl w:val="0"/>
          <w:numId w:val="3"/>
        </w:numPr>
        <w:tabs>
          <w:tab w:val="left" w:pos="0"/>
        </w:tabs>
        <w:adjustRightInd w:val="0"/>
        <w:spacing w:line="372" w:lineRule="auto"/>
        <w:ind w:firstLineChars="0"/>
        <w:rPr>
          <w:rFonts w:ascii="Times New Roman" w:hAnsi="Times New Roman"/>
          <w:color w:val="000000" w:themeColor="text1"/>
          <w:szCs w:val="21"/>
        </w:rPr>
      </w:pPr>
      <w:r>
        <w:rPr>
          <w:rFonts w:ascii="Times New Roman" w:hAnsi="Times New Roman"/>
          <w:color w:val="000000" w:themeColor="text1"/>
          <w:szCs w:val="21"/>
        </w:rPr>
        <w:t>张锐连</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施国庆</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w:t>
      </w:r>
      <w:r>
        <w:rPr>
          <w:rFonts w:ascii="Times New Roman" w:hAnsi="Times New Roman"/>
          <w:color w:val="000000" w:themeColor="text1"/>
          <w:szCs w:val="21"/>
        </w:rPr>
        <w:t>一带一路</w:t>
      </w:r>
      <w:r>
        <w:rPr>
          <w:rFonts w:ascii="Times New Roman" w:hAnsi="Times New Roman" w:hint="eastAsia"/>
          <w:color w:val="000000" w:themeColor="text1"/>
          <w:szCs w:val="21"/>
        </w:rPr>
        <w:t>”</w:t>
      </w:r>
      <w:r>
        <w:rPr>
          <w:rFonts w:ascii="Times New Roman" w:hAnsi="Times New Roman"/>
          <w:color w:val="000000" w:themeColor="text1"/>
          <w:szCs w:val="21"/>
        </w:rPr>
        <w:t>倡议下海外投资社会风险管控研究</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理论月刊</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2017(02):135-143.</w:t>
      </w:r>
    </w:p>
    <w:p w14:paraId="4C426666"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张政</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邱力生</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我国对外投资的国际政治经济环境评价</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河南社会科学</w:t>
      </w:r>
      <w:r>
        <w:rPr>
          <w:rFonts w:ascii="Times New Roman" w:hAnsi="Times New Roman" w:hint="eastAsia"/>
          <w:color w:val="000000" w:themeColor="text1"/>
          <w:szCs w:val="21"/>
        </w:rPr>
        <w:t>, 2017(2):51-56.</w:t>
      </w:r>
    </w:p>
    <w:p w14:paraId="2A5F2222"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中国财科院“企业成本与地方财政经济运行”外向型企业调研组</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业务量的持续增长与企业对市场稳定性担忧并存——</w:t>
      </w:r>
      <w:r>
        <w:rPr>
          <w:rFonts w:ascii="Times New Roman" w:hAnsi="Times New Roman" w:hint="eastAsia"/>
          <w:color w:val="000000" w:themeColor="text1"/>
          <w:szCs w:val="21"/>
        </w:rPr>
        <w:t>2020</w:t>
      </w:r>
      <w:r>
        <w:rPr>
          <w:rFonts w:ascii="Times New Roman" w:hAnsi="Times New Roman" w:hint="eastAsia"/>
          <w:color w:val="000000" w:themeColor="text1"/>
          <w:szCs w:val="21"/>
        </w:rPr>
        <w:t>年外向型企业调查报告</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财政科学</w:t>
      </w:r>
      <w:r>
        <w:rPr>
          <w:rFonts w:ascii="Times New Roman" w:hAnsi="Times New Roman" w:hint="eastAsia"/>
          <w:color w:val="000000" w:themeColor="text1"/>
          <w:szCs w:val="21"/>
        </w:rPr>
        <w:t>, 2021(2):74-84.</w:t>
      </w:r>
    </w:p>
    <w:p w14:paraId="1EAD4C58" w14:textId="77777777" w:rsidR="006B10D9" w:rsidRDefault="00BE6472">
      <w:pPr>
        <w:pStyle w:val="aff6"/>
        <w:numPr>
          <w:ilvl w:val="0"/>
          <w:numId w:val="3"/>
        </w:numPr>
        <w:adjustRightInd w:val="0"/>
        <w:spacing w:line="372" w:lineRule="auto"/>
        <w:ind w:firstLineChars="0"/>
        <w:jc w:val="left"/>
        <w:rPr>
          <w:rFonts w:ascii="Times New Roman" w:hAnsi="Times New Roman"/>
          <w:color w:val="000000" w:themeColor="text1"/>
          <w:szCs w:val="21"/>
        </w:rPr>
      </w:pPr>
      <w:r>
        <w:rPr>
          <w:rFonts w:ascii="Times New Roman" w:hAnsi="Times New Roman" w:hint="eastAsia"/>
          <w:color w:val="000000" w:themeColor="text1"/>
          <w:szCs w:val="21"/>
        </w:rPr>
        <w:t>中华人民共和国商务部</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中国对外投资合作发展报告</w:t>
      </w:r>
      <w:r>
        <w:rPr>
          <w:rFonts w:ascii="Times New Roman" w:hAnsi="Times New Roman" w:hint="eastAsia"/>
          <w:color w:val="000000" w:themeColor="text1"/>
          <w:szCs w:val="21"/>
        </w:rPr>
        <w:t xml:space="preserve">2017[R/OL]. (2017-12-28)[2021-11-01]. </w:t>
      </w:r>
      <w:hyperlink r:id="rId39" w:history="1">
        <w:r>
          <w:rPr>
            <w:rFonts w:ascii="Times New Roman" w:hAnsi="Times New Roman" w:hint="eastAsia"/>
            <w:color w:val="000000" w:themeColor="text1"/>
            <w:szCs w:val="21"/>
          </w:rPr>
          <w:t>https://www.waitang.com/report/27236.html.</w:t>
        </w:r>
      </w:hyperlink>
    </w:p>
    <w:p w14:paraId="79568536" w14:textId="77777777" w:rsidR="006B10D9" w:rsidRDefault="00BE6472">
      <w:pPr>
        <w:pStyle w:val="aff6"/>
        <w:numPr>
          <w:ilvl w:val="0"/>
          <w:numId w:val="3"/>
        </w:numPr>
        <w:adjustRightInd w:val="0"/>
        <w:spacing w:line="372"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中华人民共和国商务部</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境外投资管理办法</w:t>
      </w:r>
      <w:r>
        <w:rPr>
          <w:rFonts w:ascii="Times New Roman" w:hAnsi="Times New Roman" w:hint="eastAsia"/>
          <w:color w:val="000000" w:themeColor="text1"/>
          <w:szCs w:val="21"/>
        </w:rPr>
        <w:t>[EB/OL]. (2014-09-06)[2021-11-01]. http://www.mofcom.gov.cn/article/b/g/201411/20141100797769.shtml.</w:t>
      </w:r>
    </w:p>
    <w:p w14:paraId="07416022" w14:textId="77777777" w:rsidR="006B10D9" w:rsidRDefault="00BE6472">
      <w:pPr>
        <w:pStyle w:val="aff6"/>
        <w:numPr>
          <w:ilvl w:val="0"/>
          <w:numId w:val="3"/>
        </w:numPr>
        <w:adjustRightInd w:val="0"/>
        <w:spacing w:line="372" w:lineRule="auto"/>
        <w:ind w:firstLineChars="0"/>
        <w:jc w:val="left"/>
        <w:rPr>
          <w:rFonts w:ascii="Times New Roman" w:hAnsi="Times New Roman"/>
          <w:color w:val="000000" w:themeColor="text1"/>
          <w:szCs w:val="21"/>
        </w:rPr>
      </w:pPr>
      <w:r>
        <w:rPr>
          <w:rFonts w:ascii="Times New Roman" w:hAnsi="Times New Roman" w:hint="eastAsia"/>
          <w:color w:val="000000" w:themeColor="text1"/>
          <w:szCs w:val="21"/>
        </w:rPr>
        <w:lastRenderedPageBreak/>
        <w:t>中华人民共和国商务部</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国家统计局</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国家外汇管理局</w:t>
      </w:r>
      <w:r>
        <w:rPr>
          <w:rFonts w:ascii="Times New Roman" w:hAnsi="Times New Roman" w:hint="eastAsia"/>
          <w:color w:val="000000" w:themeColor="text1"/>
          <w:szCs w:val="21"/>
        </w:rPr>
        <w:t>. 2019</w:t>
      </w:r>
      <w:r>
        <w:rPr>
          <w:rFonts w:ascii="Times New Roman" w:hAnsi="Times New Roman" w:hint="eastAsia"/>
          <w:color w:val="000000" w:themeColor="text1"/>
          <w:szCs w:val="21"/>
        </w:rPr>
        <w:t>年度中国对外直接投资统计公报</w:t>
      </w:r>
      <w:r>
        <w:rPr>
          <w:rFonts w:ascii="Times New Roman" w:hAnsi="Times New Roman" w:hint="eastAsia"/>
          <w:color w:val="000000" w:themeColor="text1"/>
          <w:szCs w:val="21"/>
        </w:rPr>
        <w:t>[R/OL]. (2020-09-16)[2021-11-01]. http://images.mofcom.gov.cn/hzs/202010/20201029172027652.pdf</w:t>
      </w:r>
    </w:p>
    <w:p w14:paraId="7211A109" w14:textId="77777777" w:rsidR="006B10D9" w:rsidRDefault="00BE6472">
      <w:pPr>
        <w:pStyle w:val="aff6"/>
        <w:numPr>
          <w:ilvl w:val="0"/>
          <w:numId w:val="3"/>
        </w:numPr>
        <w:adjustRightInd w:val="0"/>
        <w:spacing w:line="372" w:lineRule="auto"/>
        <w:ind w:firstLineChars="0"/>
        <w:jc w:val="left"/>
        <w:rPr>
          <w:rFonts w:ascii="Times New Roman" w:hAnsi="Times New Roman"/>
          <w:color w:val="000000" w:themeColor="text1"/>
          <w:szCs w:val="21"/>
        </w:rPr>
      </w:pPr>
      <w:r>
        <w:rPr>
          <w:rFonts w:ascii="Times New Roman" w:hAnsi="Times New Roman" w:hint="eastAsia"/>
          <w:color w:val="000000" w:themeColor="text1"/>
          <w:szCs w:val="21"/>
        </w:rPr>
        <w:t>中华人民共和国商务部</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国家统计局</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国家外汇管理局</w:t>
      </w:r>
      <w:r>
        <w:rPr>
          <w:rFonts w:ascii="Times New Roman" w:hAnsi="Times New Roman" w:hint="eastAsia"/>
          <w:color w:val="000000" w:themeColor="text1"/>
          <w:szCs w:val="21"/>
        </w:rPr>
        <w:t>. 2020</w:t>
      </w:r>
      <w:r>
        <w:rPr>
          <w:rFonts w:ascii="Times New Roman" w:hAnsi="Times New Roman" w:hint="eastAsia"/>
          <w:color w:val="000000" w:themeColor="text1"/>
          <w:szCs w:val="21"/>
        </w:rPr>
        <w:t>年度中国对外直接投资统计公报</w:t>
      </w:r>
      <w:r>
        <w:rPr>
          <w:rFonts w:ascii="Times New Roman" w:hAnsi="Times New Roman" w:hint="eastAsia"/>
          <w:color w:val="000000" w:themeColor="text1"/>
          <w:szCs w:val="21"/>
        </w:rPr>
        <w:t xml:space="preserve">[R/OL]. (2021-09-29)[2021-11-01]. </w:t>
      </w:r>
      <w:hyperlink r:id="rId40" w:history="1">
        <w:r>
          <w:rPr>
            <w:rFonts w:ascii="Times New Roman" w:hAnsi="Times New Roman" w:hint="eastAsia"/>
            <w:color w:val="000000" w:themeColor="text1"/>
            <w:szCs w:val="21"/>
          </w:rPr>
          <w:t>http://images.mofcom.gov.cn/hzs/202110/20211028105032459.pdf</w:t>
        </w:r>
      </w:hyperlink>
    </w:p>
    <w:p w14:paraId="295BC850" w14:textId="77777777" w:rsidR="006B10D9" w:rsidRDefault="00BE6472">
      <w:pPr>
        <w:pStyle w:val="aff6"/>
        <w:numPr>
          <w:ilvl w:val="0"/>
          <w:numId w:val="3"/>
        </w:numPr>
        <w:adjustRightInd w:val="0"/>
        <w:spacing w:line="360" w:lineRule="auto"/>
        <w:ind w:firstLineChars="0"/>
        <w:rPr>
          <w:rFonts w:ascii="Times New Roman" w:hAnsi="Times New Roman"/>
          <w:color w:val="000000" w:themeColor="text1"/>
          <w:szCs w:val="21"/>
        </w:rPr>
      </w:pPr>
      <w:r>
        <w:rPr>
          <w:rFonts w:ascii="Times New Roman" w:hAnsi="Times New Roman" w:hint="eastAsia"/>
          <w:color w:val="000000" w:themeColor="text1"/>
          <w:szCs w:val="21"/>
        </w:rPr>
        <w:t>周经</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王馗</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“一带一路”倡议下东道国制度环境与中国企业“走出去”</w:t>
      </w: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——来自中国对外承包工程的经验证据</w:t>
      </w:r>
      <w:r>
        <w:rPr>
          <w:rFonts w:ascii="Times New Roman" w:hAnsi="Times New Roman" w:hint="eastAsia"/>
          <w:color w:val="000000" w:themeColor="text1"/>
          <w:szCs w:val="21"/>
        </w:rPr>
        <w:t xml:space="preserve">[J]. </w:t>
      </w:r>
      <w:r>
        <w:rPr>
          <w:rFonts w:ascii="Times New Roman" w:hAnsi="Times New Roman" w:hint="eastAsia"/>
          <w:color w:val="000000" w:themeColor="text1"/>
          <w:szCs w:val="21"/>
        </w:rPr>
        <w:t>财经科学</w:t>
      </w:r>
      <w:r>
        <w:rPr>
          <w:rFonts w:ascii="Times New Roman" w:hAnsi="Times New Roman" w:hint="eastAsia"/>
          <w:color w:val="000000" w:themeColor="text1"/>
          <w:szCs w:val="21"/>
        </w:rPr>
        <w:t>, 2020(3):80-91.</w:t>
      </w:r>
    </w:p>
    <w:p w14:paraId="41206A39" w14:textId="77777777" w:rsidR="006B10D9" w:rsidRDefault="00BE6472">
      <w:pPr>
        <w:pStyle w:val="aff6"/>
        <w:numPr>
          <w:ilvl w:val="0"/>
          <w:numId w:val="3"/>
        </w:numPr>
        <w:tabs>
          <w:tab w:val="left" w:pos="0"/>
        </w:tabs>
        <w:adjustRightInd w:val="0"/>
        <w:spacing w:line="360" w:lineRule="auto"/>
        <w:ind w:firstLineChars="0"/>
        <w:rPr>
          <w:rFonts w:ascii="Times New Roman" w:hAnsi="Times New Roman"/>
          <w:color w:val="000000" w:themeColor="text1"/>
          <w:szCs w:val="21"/>
        </w:rPr>
      </w:pPr>
      <w:r>
        <w:rPr>
          <w:rFonts w:ascii="Times New Roman" w:hAnsi="Times New Roman"/>
          <w:color w:val="000000" w:themeColor="text1"/>
          <w:szCs w:val="21"/>
        </w:rPr>
        <w:t>周新辉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李昱喆</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李富有</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新冠疫情对中小服务型企业影响评估及对策研究</w:t>
      </w:r>
      <w:r>
        <w:rPr>
          <w:rFonts w:ascii="Times New Roman" w:hAnsi="Times New Roman"/>
          <w:color w:val="000000" w:themeColor="text1"/>
          <w:szCs w:val="21"/>
        </w:rPr>
        <w:t>——</w:t>
      </w:r>
      <w:r>
        <w:rPr>
          <w:rFonts w:ascii="Times New Roman" w:hAnsi="Times New Roman"/>
          <w:color w:val="000000" w:themeColor="text1"/>
          <w:szCs w:val="21"/>
        </w:rPr>
        <w:t>基于回归算法优化模型的分析预测</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经济评论</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2020(03):101-117.</w:t>
      </w:r>
    </w:p>
    <w:p w14:paraId="1397D949" w14:textId="77777777" w:rsidR="006B10D9" w:rsidRDefault="00BE6472">
      <w:pPr>
        <w:pStyle w:val="aff6"/>
        <w:numPr>
          <w:ilvl w:val="0"/>
          <w:numId w:val="3"/>
        </w:numPr>
        <w:tabs>
          <w:tab w:val="left" w:pos="0"/>
        </w:tabs>
        <w:adjustRightInd w:val="0"/>
        <w:spacing w:line="360" w:lineRule="auto"/>
        <w:ind w:firstLineChars="0"/>
        <w:rPr>
          <w:rFonts w:cs="黑体"/>
          <w:color w:val="000000" w:themeColor="text1"/>
          <w:szCs w:val="21"/>
        </w:rPr>
      </w:pPr>
      <w:r>
        <w:rPr>
          <w:rFonts w:ascii="Times New Roman" w:hAnsi="Times New Roman"/>
          <w:color w:val="000000" w:themeColor="text1"/>
          <w:szCs w:val="21"/>
        </w:rPr>
        <w:t>宗芳宇</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路江涌</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武常岐</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双边投资协定、制度环境和企业对外直接投资区位选择</w:t>
      </w:r>
      <w:r>
        <w:rPr>
          <w:rFonts w:ascii="Times New Roman" w:hAnsi="Times New Roman"/>
          <w:color w:val="000000" w:themeColor="text1"/>
          <w:szCs w:val="21"/>
        </w:rPr>
        <w:t>[J].</w:t>
      </w:r>
      <w:r>
        <w:rPr>
          <w:rFonts w:ascii="Times New Roman" w:hAnsi="Times New Roman" w:hint="eastAsia"/>
          <w:color w:val="000000" w:themeColor="text1"/>
          <w:szCs w:val="21"/>
        </w:rPr>
        <w:t xml:space="preserve"> </w:t>
      </w:r>
      <w:r>
        <w:rPr>
          <w:rFonts w:ascii="Times New Roman" w:hAnsi="Times New Roman"/>
          <w:color w:val="000000" w:themeColor="text1"/>
          <w:szCs w:val="21"/>
        </w:rPr>
        <w:t>经济研究</w:t>
      </w:r>
      <w:r>
        <w:rPr>
          <w:rFonts w:ascii="Times New Roman" w:hAnsi="Times New Roman"/>
          <w:color w:val="000000" w:themeColor="text1"/>
          <w:szCs w:val="21"/>
        </w:rPr>
        <w:t>,</w:t>
      </w:r>
      <w:r>
        <w:rPr>
          <w:rFonts w:ascii="Times New Roman" w:hAnsi="Times New Roman" w:hint="eastAsia"/>
          <w:color w:val="000000" w:themeColor="text1"/>
          <w:szCs w:val="21"/>
        </w:rPr>
        <w:t xml:space="preserve"> </w:t>
      </w:r>
      <w:r>
        <w:rPr>
          <w:rFonts w:ascii="Times New Roman" w:hAnsi="Times New Roman"/>
          <w:color w:val="000000" w:themeColor="text1"/>
          <w:szCs w:val="21"/>
        </w:rPr>
        <w:t>2012,</w:t>
      </w:r>
      <w:r>
        <w:rPr>
          <w:rFonts w:ascii="Times New Roman" w:hAnsi="Times New Roman" w:hint="eastAsia"/>
          <w:color w:val="000000" w:themeColor="text1"/>
          <w:szCs w:val="21"/>
        </w:rPr>
        <w:t xml:space="preserve"> </w:t>
      </w:r>
      <w:r>
        <w:rPr>
          <w:rFonts w:ascii="Times New Roman" w:hAnsi="Times New Roman"/>
          <w:color w:val="000000" w:themeColor="text1"/>
          <w:szCs w:val="21"/>
        </w:rPr>
        <w:t>47(05):71-82</w:t>
      </w:r>
      <w:r>
        <w:rPr>
          <w:rFonts w:ascii="Times New Roman" w:hAnsi="Times New Roman" w:hint="eastAsia"/>
          <w:color w:val="000000" w:themeColor="text1"/>
          <w:szCs w:val="21"/>
        </w:rPr>
        <w:t xml:space="preserve">, </w:t>
      </w:r>
      <w:r>
        <w:rPr>
          <w:rFonts w:ascii="Times New Roman" w:hAnsi="Times New Roman"/>
          <w:color w:val="000000" w:themeColor="text1"/>
          <w:szCs w:val="21"/>
        </w:rPr>
        <w:t>146.</w:t>
      </w:r>
    </w:p>
    <w:p w14:paraId="4377916C" w14:textId="77777777" w:rsidR="006B10D9" w:rsidRDefault="00BE6472">
      <w:pPr>
        <w:widowControl/>
        <w:spacing w:line="240" w:lineRule="auto"/>
        <w:ind w:firstLineChars="0" w:firstLine="0"/>
        <w:jc w:val="left"/>
        <w:rPr>
          <w:rFonts w:eastAsia="仿宋" w:cs="黑体"/>
          <w:sz w:val="24"/>
        </w:rPr>
      </w:pPr>
      <w:r>
        <w:rPr>
          <w:rFonts w:eastAsia="仿宋" w:cs="黑体"/>
          <w:sz w:val="24"/>
        </w:rPr>
        <w:br w:type="page"/>
      </w:r>
    </w:p>
    <w:tbl>
      <w:tblPr>
        <w:tblStyle w:val="afe"/>
        <w:tblW w:w="44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5242"/>
      </w:tblGrid>
      <w:tr w:rsidR="006B10D9" w14:paraId="5F64F2AE" w14:textId="77777777">
        <w:trPr>
          <w:trHeight w:val="481"/>
          <w:jc w:val="center"/>
        </w:trPr>
        <w:tc>
          <w:tcPr>
            <w:tcW w:w="5000" w:type="pct"/>
            <w:gridSpan w:val="2"/>
            <w:vAlign w:val="center"/>
          </w:tcPr>
          <w:p w14:paraId="5D12B626" w14:textId="77777777" w:rsidR="006B10D9" w:rsidRDefault="00BE6472">
            <w:pPr>
              <w:ind w:firstLine="643"/>
              <w:jc w:val="center"/>
              <w:rPr>
                <w:rFonts w:ascii="宋体" w:eastAsia="宋体" w:hAnsi="宋体"/>
                <w:b/>
                <w:sz w:val="32"/>
                <w:szCs w:val="32"/>
              </w:rPr>
            </w:pPr>
            <w:bookmarkStart w:id="106" w:name="_Toc92201565"/>
            <w:bookmarkStart w:id="107" w:name="_Toc7977"/>
            <w:bookmarkStart w:id="108" w:name="_Toc11888"/>
            <w:bookmarkStart w:id="109" w:name="_Toc93825926"/>
            <w:bookmarkStart w:id="110" w:name="_Toc25997"/>
            <w:bookmarkStart w:id="111" w:name="_Toc92201568"/>
            <w:bookmarkStart w:id="112" w:name="_Toc93825929"/>
            <w:bookmarkStart w:id="113" w:name="_Hlk93942579"/>
            <w:r>
              <w:rPr>
                <w:rFonts w:ascii="宋体" w:eastAsia="宋体" w:hAnsi="宋体" w:hint="eastAsia"/>
                <w:b/>
                <w:sz w:val="32"/>
                <w:szCs w:val="32"/>
              </w:rPr>
              <w:lastRenderedPageBreak/>
              <w:t>项目组成员</w:t>
            </w:r>
            <w:bookmarkEnd w:id="106"/>
            <w:bookmarkEnd w:id="107"/>
            <w:bookmarkEnd w:id="108"/>
            <w:bookmarkEnd w:id="109"/>
          </w:p>
          <w:bookmarkEnd w:id="110"/>
          <w:bookmarkEnd w:id="111"/>
          <w:bookmarkEnd w:id="112"/>
          <w:p w14:paraId="31E2A872" w14:textId="77777777" w:rsidR="006B10D9" w:rsidRDefault="006B10D9">
            <w:pPr>
              <w:spacing w:line="360" w:lineRule="auto"/>
              <w:ind w:firstLineChars="0" w:firstLine="0"/>
              <w:jc w:val="center"/>
              <w:rPr>
                <w:rFonts w:ascii="宋体" w:eastAsia="宋体" w:hAnsi="宋体"/>
                <w:szCs w:val="30"/>
              </w:rPr>
            </w:pPr>
          </w:p>
        </w:tc>
      </w:tr>
      <w:tr w:rsidR="006B10D9" w14:paraId="3367CE5C" w14:textId="77777777">
        <w:trPr>
          <w:trHeight w:val="505"/>
          <w:jc w:val="center"/>
        </w:trPr>
        <w:tc>
          <w:tcPr>
            <w:tcW w:w="1627" w:type="pct"/>
            <w:vAlign w:val="center"/>
          </w:tcPr>
          <w:p w14:paraId="7C49506D" w14:textId="77777777" w:rsidR="006B10D9" w:rsidRDefault="00BE6472">
            <w:pPr>
              <w:spacing w:line="360" w:lineRule="auto"/>
              <w:ind w:firstLineChars="0" w:firstLine="0"/>
              <w:rPr>
                <w:rFonts w:ascii="宋体" w:eastAsia="宋体" w:hAnsi="宋体"/>
                <w:sz w:val="24"/>
                <w:szCs w:val="24"/>
              </w:rPr>
            </w:pPr>
            <w:r>
              <w:rPr>
                <w:rFonts w:ascii="宋体" w:eastAsia="宋体" w:hAnsi="宋体" w:hint="eastAsia"/>
                <w:sz w:val="24"/>
                <w:szCs w:val="24"/>
              </w:rPr>
              <w:t>王稳凯</w:t>
            </w:r>
          </w:p>
        </w:tc>
        <w:tc>
          <w:tcPr>
            <w:tcW w:w="3373" w:type="pct"/>
            <w:vAlign w:val="center"/>
          </w:tcPr>
          <w:p w14:paraId="239F5AB6" w14:textId="77777777" w:rsidR="006B10D9" w:rsidRDefault="00BE6472">
            <w:pPr>
              <w:spacing w:line="360" w:lineRule="auto"/>
              <w:ind w:firstLineChars="0" w:firstLine="0"/>
              <w:rPr>
                <w:rFonts w:ascii="宋体" w:eastAsia="宋体" w:hAnsi="宋体"/>
                <w:sz w:val="24"/>
                <w:szCs w:val="24"/>
              </w:rPr>
            </w:pPr>
            <w:r>
              <w:rPr>
                <w:rFonts w:ascii="宋体" w:eastAsia="宋体" w:hAnsi="宋体" w:hint="eastAsia"/>
                <w:sz w:val="24"/>
                <w:szCs w:val="24"/>
              </w:rPr>
              <w:t>综合管理部，助理经济师</w:t>
            </w:r>
          </w:p>
        </w:tc>
      </w:tr>
      <w:tr w:rsidR="006B10D9" w14:paraId="5DDBB3A7" w14:textId="77777777">
        <w:trPr>
          <w:trHeight w:val="505"/>
          <w:jc w:val="center"/>
        </w:trPr>
        <w:tc>
          <w:tcPr>
            <w:tcW w:w="1627" w:type="pct"/>
            <w:vAlign w:val="center"/>
          </w:tcPr>
          <w:p w14:paraId="30647BE2" w14:textId="77777777" w:rsidR="006B10D9" w:rsidRDefault="00BE6472">
            <w:pPr>
              <w:spacing w:line="360" w:lineRule="auto"/>
              <w:ind w:firstLineChars="0" w:firstLine="0"/>
              <w:rPr>
                <w:rFonts w:ascii="宋体" w:eastAsia="宋体" w:hAnsi="宋体"/>
                <w:sz w:val="24"/>
                <w:szCs w:val="24"/>
              </w:rPr>
            </w:pPr>
            <w:r>
              <w:rPr>
                <w:rFonts w:ascii="宋体" w:eastAsia="宋体" w:hAnsi="宋体" w:hint="eastAsia"/>
                <w:sz w:val="24"/>
                <w:szCs w:val="24"/>
              </w:rPr>
              <w:t>徐  航</w:t>
            </w:r>
          </w:p>
        </w:tc>
        <w:tc>
          <w:tcPr>
            <w:tcW w:w="3373" w:type="pct"/>
            <w:vAlign w:val="center"/>
          </w:tcPr>
          <w:p w14:paraId="19F16C7D" w14:textId="77777777" w:rsidR="006B10D9" w:rsidRDefault="00BE6472">
            <w:pPr>
              <w:spacing w:line="360" w:lineRule="auto"/>
              <w:ind w:firstLineChars="0" w:firstLine="0"/>
              <w:rPr>
                <w:rFonts w:ascii="宋体" w:eastAsia="宋体" w:hAnsi="宋体"/>
                <w:sz w:val="24"/>
                <w:szCs w:val="24"/>
              </w:rPr>
            </w:pPr>
            <w:r>
              <w:rPr>
                <w:rFonts w:ascii="宋体" w:eastAsia="宋体" w:hAnsi="宋体" w:hint="eastAsia"/>
                <w:sz w:val="24"/>
                <w:szCs w:val="24"/>
              </w:rPr>
              <w:t>综合管理部，中级经济师</w:t>
            </w:r>
          </w:p>
        </w:tc>
      </w:tr>
      <w:tr w:rsidR="006B10D9" w14:paraId="47F291C2" w14:textId="77777777">
        <w:trPr>
          <w:trHeight w:val="505"/>
          <w:jc w:val="center"/>
        </w:trPr>
        <w:tc>
          <w:tcPr>
            <w:tcW w:w="1627" w:type="pct"/>
            <w:vAlign w:val="center"/>
          </w:tcPr>
          <w:p w14:paraId="5087E901" w14:textId="77777777" w:rsidR="006B10D9" w:rsidRDefault="00BE6472">
            <w:pPr>
              <w:spacing w:line="360" w:lineRule="auto"/>
              <w:ind w:firstLineChars="0" w:firstLine="0"/>
              <w:rPr>
                <w:rFonts w:ascii="宋体" w:eastAsia="宋体" w:hAnsi="宋体"/>
                <w:sz w:val="24"/>
                <w:szCs w:val="24"/>
              </w:rPr>
            </w:pPr>
            <w:r>
              <w:rPr>
                <w:rFonts w:ascii="宋体" w:eastAsia="宋体" w:hAnsi="宋体" w:hint="eastAsia"/>
                <w:sz w:val="24"/>
                <w:szCs w:val="24"/>
              </w:rPr>
              <w:t>杨白冰</w:t>
            </w:r>
          </w:p>
        </w:tc>
        <w:tc>
          <w:tcPr>
            <w:tcW w:w="3373" w:type="pct"/>
            <w:vAlign w:val="center"/>
          </w:tcPr>
          <w:p w14:paraId="0902B551" w14:textId="77777777" w:rsidR="006B10D9" w:rsidRDefault="00BE6472">
            <w:pPr>
              <w:spacing w:line="360" w:lineRule="auto"/>
              <w:ind w:firstLineChars="0" w:firstLine="0"/>
              <w:rPr>
                <w:rFonts w:ascii="宋体" w:eastAsia="宋体" w:hAnsi="宋体"/>
                <w:sz w:val="24"/>
                <w:szCs w:val="24"/>
              </w:rPr>
            </w:pPr>
            <w:r>
              <w:rPr>
                <w:rFonts w:ascii="宋体" w:eastAsia="宋体" w:hAnsi="宋体" w:hint="eastAsia"/>
                <w:sz w:val="24"/>
                <w:szCs w:val="24"/>
              </w:rPr>
              <w:t>综合管理部，副研究员</w:t>
            </w:r>
          </w:p>
        </w:tc>
      </w:tr>
    </w:tbl>
    <w:p w14:paraId="3FCE9532" w14:textId="77777777" w:rsidR="006B10D9" w:rsidRDefault="006B10D9">
      <w:pPr>
        <w:pStyle w:val="afffb"/>
      </w:pPr>
    </w:p>
    <w:p w14:paraId="733E7135" w14:textId="77777777" w:rsidR="006B10D9" w:rsidRDefault="006B10D9">
      <w:pPr>
        <w:spacing w:line="360" w:lineRule="auto"/>
        <w:ind w:firstLine="480"/>
        <w:rPr>
          <w:rFonts w:eastAsia="宋体"/>
          <w:sz w:val="24"/>
          <w:szCs w:val="16"/>
        </w:rPr>
      </w:pPr>
    </w:p>
    <w:bookmarkEnd w:id="113"/>
    <w:p w14:paraId="3D89FA7C" w14:textId="77777777" w:rsidR="006B10D9" w:rsidRDefault="006B10D9">
      <w:pPr>
        <w:spacing w:line="360" w:lineRule="auto"/>
        <w:ind w:firstLine="480"/>
        <w:rPr>
          <w:rFonts w:eastAsia="宋体" w:cstheme="minorBidi"/>
          <w:sz w:val="24"/>
          <w:szCs w:val="20"/>
        </w:rPr>
      </w:pPr>
    </w:p>
    <w:p w14:paraId="715B472D" w14:textId="77777777" w:rsidR="006B10D9" w:rsidRDefault="006B10D9">
      <w:pPr>
        <w:spacing w:line="360" w:lineRule="auto"/>
        <w:ind w:firstLineChars="0" w:firstLine="0"/>
        <w:rPr>
          <w:rFonts w:eastAsia="仿宋" w:cs="黑体"/>
          <w:sz w:val="24"/>
        </w:rPr>
      </w:pPr>
    </w:p>
    <w:sectPr w:rsidR="006B10D9">
      <w:headerReference w:type="default" r:id="rId41"/>
      <w:footerReference w:type="default" r:id="rId42"/>
      <w:footnotePr>
        <w:numRestart w:val="eachPage"/>
      </w:footnotePr>
      <w:pgSz w:w="11906" w:h="16838"/>
      <w:pgMar w:top="1554" w:right="1588" w:bottom="1440" w:left="1588" w:header="102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373C9" w14:textId="77777777" w:rsidR="00D3722E" w:rsidRDefault="00D3722E">
      <w:pPr>
        <w:spacing w:line="240" w:lineRule="auto"/>
      </w:pPr>
      <w:r>
        <w:separator/>
      </w:r>
    </w:p>
  </w:endnote>
  <w:endnote w:type="continuationSeparator" w:id="0">
    <w:p w14:paraId="6BFABDAA" w14:textId="77777777" w:rsidR="00D3722E" w:rsidRDefault="00D37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248F326B-B58A-408C-AEE2-E68A29FADF10}"/>
  </w:font>
  <w:font w:name="楷体_GB2312">
    <w:altName w:val="微软雅黑"/>
    <w:charset w:val="86"/>
    <w:family w:val="modern"/>
    <w:pitch w:val="default"/>
    <w:sig w:usb0="00000001" w:usb1="080E0000" w:usb2="00000000" w:usb3="00000000" w:csb0="00040000" w:csb1="00000000"/>
    <w:embedRegular r:id="rId2" w:fontKey="{C3FC74EA-0999-43B6-AFBA-388092C025B9}"/>
  </w:font>
  <w:font w:name="楷体">
    <w:panose1 w:val="02010609060101010101"/>
    <w:charset w:val="86"/>
    <w:family w:val="modern"/>
    <w:pitch w:val="fixed"/>
    <w:sig w:usb0="800002BF" w:usb1="38CF7CFA" w:usb2="00000016" w:usb3="00000000" w:csb0="00040001" w:csb1="00000000"/>
    <w:embedRegular r:id="rId3" w:subsetted="1" w:fontKey="{114462C2-27F8-4CE9-A89F-E41608AD5932}"/>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4" w:subsetted="1" w:fontKey="{0D145083-F1A8-4CBB-A5DE-CDFC762DF206}"/>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方正黑体简体">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DC6AF" w14:textId="77777777" w:rsidR="006B10D9" w:rsidRDefault="006B10D9">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079826"/>
      <w:showingPlcHdr/>
    </w:sdtPr>
    <w:sdtEndPr>
      <w:rPr>
        <w:sz w:val="24"/>
      </w:rPr>
    </w:sdtEndPr>
    <w:sdtContent>
      <w:p w14:paraId="1BC3601D" w14:textId="77777777" w:rsidR="006B10D9" w:rsidRDefault="00BE6472">
        <w:pPr>
          <w:pStyle w:val="af4"/>
          <w:ind w:firstLineChars="0" w:firstLine="0"/>
          <w:jc w:val="center"/>
          <w:rPr>
            <w:sz w:val="24"/>
          </w:rPr>
        </w:pP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43F4" w14:textId="77777777" w:rsidR="006B10D9" w:rsidRDefault="006B10D9">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518081"/>
    </w:sdtPr>
    <w:sdtEndPr>
      <w:rPr>
        <w:rFonts w:cs="Times New Roman"/>
        <w:sz w:val="24"/>
        <w:szCs w:val="24"/>
      </w:rPr>
    </w:sdtEndPr>
    <w:sdtContent>
      <w:p w14:paraId="7C633FC1" w14:textId="77777777" w:rsidR="006B10D9" w:rsidRDefault="00BE6472">
        <w:pPr>
          <w:pStyle w:val="af4"/>
          <w:ind w:firstLine="360"/>
          <w:jc w:val="center"/>
          <w:rPr>
            <w:rFonts w:cs="Times New Roman"/>
            <w:sz w:val="24"/>
            <w:szCs w:val="24"/>
          </w:rPr>
        </w:pPr>
        <w:r>
          <w:rPr>
            <w:rFonts w:cs="Times New Roman"/>
            <w:sz w:val="24"/>
            <w:szCs w:val="24"/>
          </w:rPr>
          <w:fldChar w:fldCharType="begin"/>
        </w:r>
        <w:r>
          <w:rPr>
            <w:rFonts w:cs="Times New Roman"/>
            <w:sz w:val="24"/>
            <w:szCs w:val="24"/>
          </w:rPr>
          <w:instrText>PAGE   \* MERGEFORMAT</w:instrText>
        </w:r>
        <w:r>
          <w:rPr>
            <w:rFonts w:cs="Times New Roman"/>
            <w:sz w:val="24"/>
            <w:szCs w:val="24"/>
          </w:rPr>
          <w:fldChar w:fldCharType="separate"/>
        </w:r>
        <w:r>
          <w:rPr>
            <w:rFonts w:cs="Times New Roman"/>
            <w:sz w:val="24"/>
            <w:szCs w:val="24"/>
            <w:lang w:val="zh-CN"/>
          </w:rPr>
          <w:t>655</w:t>
        </w:r>
        <w:r>
          <w:rPr>
            <w:rFonts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EE71E" w14:textId="77777777" w:rsidR="00D3722E" w:rsidRDefault="00D3722E">
      <w:pPr>
        <w:spacing w:line="240" w:lineRule="auto"/>
      </w:pPr>
      <w:r>
        <w:separator/>
      </w:r>
    </w:p>
  </w:footnote>
  <w:footnote w:type="continuationSeparator" w:id="0">
    <w:p w14:paraId="43E5A5C0" w14:textId="77777777" w:rsidR="00D3722E" w:rsidRDefault="00D3722E">
      <w:pPr>
        <w:spacing w:line="240" w:lineRule="auto"/>
      </w:pPr>
      <w:r>
        <w:continuationSeparator/>
      </w:r>
    </w:p>
  </w:footnote>
  <w:footnote w:id="1">
    <w:p w14:paraId="68B7E467" w14:textId="77777777" w:rsidR="006B10D9" w:rsidRDefault="00BE6472">
      <w:pPr>
        <w:pStyle w:val="af8"/>
        <w:snapToGrid/>
        <w:spacing w:line="276" w:lineRule="auto"/>
        <w:ind w:left="357" w:hangingChars="170" w:hanging="357"/>
        <w:rPr>
          <w:rFonts w:ascii="Times New Roman" w:hAnsi="Times New Roman" w:cs="宋体"/>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本文根据不同语境使用对外投资、境外投资、海外投资、走出去等词，所表意均指我国对外投资。</w:t>
      </w:r>
    </w:p>
  </w:footnote>
  <w:footnote w:id="2">
    <w:p w14:paraId="71C2415F" w14:textId="77777777" w:rsidR="006B10D9" w:rsidRDefault="00BE6472">
      <w:pPr>
        <w:pStyle w:val="affff1"/>
      </w:pPr>
      <w:r>
        <w:rPr>
          <w:rStyle w:val="aff5"/>
          <w:rFonts w:hint="eastAsia"/>
          <w:vertAlign w:val="baseline"/>
        </w:rPr>
        <w:t>[</w:t>
      </w:r>
      <w:r>
        <w:rPr>
          <w:rStyle w:val="aff5"/>
          <w:rFonts w:hint="eastAsia"/>
          <w:vertAlign w:val="baseline"/>
        </w:rPr>
        <w:footnoteRef/>
      </w:r>
      <w:r>
        <w:rPr>
          <w:rStyle w:val="aff5"/>
          <w:rFonts w:hint="eastAsia"/>
          <w:vertAlign w:val="baseline"/>
        </w:rPr>
        <w:t>]</w:t>
      </w:r>
      <w:r>
        <w:rPr>
          <w:rFonts w:hint="eastAsia"/>
        </w:rPr>
        <w:t xml:space="preserve"> </w:t>
      </w:r>
      <w:r>
        <w:rPr>
          <w:rFonts w:hint="eastAsia"/>
        </w:rPr>
        <w:t>于晓</w:t>
      </w:r>
      <w:r>
        <w:rPr>
          <w:rFonts w:hint="eastAsia"/>
        </w:rPr>
        <w:t xml:space="preserve">, </w:t>
      </w:r>
      <w:r>
        <w:rPr>
          <w:rFonts w:hint="eastAsia"/>
        </w:rPr>
        <w:t>矫磊</w:t>
      </w:r>
      <w:r>
        <w:rPr>
          <w:rFonts w:hint="eastAsia"/>
        </w:rPr>
        <w:t xml:space="preserve">. </w:t>
      </w:r>
      <w:r>
        <w:rPr>
          <w:rFonts w:hint="eastAsia"/>
        </w:rPr>
        <w:t>“走出去”战略概述</w:t>
      </w:r>
      <w:r>
        <w:rPr>
          <w:rFonts w:hint="eastAsia"/>
        </w:rPr>
        <w:t>[J/OL]. (2011)[2021-11-01]. http://qwgzyj.gqb.gov.cn/yjytt/159/1743.shtml.</w:t>
      </w:r>
    </w:p>
  </w:footnote>
  <w:footnote w:id="3">
    <w:p w14:paraId="4452C050"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cs="宋体" w:hint="eastAsia"/>
          <w:sz w:val="21"/>
          <w:szCs w:val="21"/>
          <w:vertAlign w:val="baseline"/>
        </w:rPr>
        <w:t>[</w:t>
      </w:r>
      <w:r>
        <w:rPr>
          <w:rStyle w:val="aff5"/>
          <w:rFonts w:ascii="Times New Roman" w:hAnsi="Times New Roman" w:cs="宋体" w:hint="eastAsia"/>
          <w:sz w:val="21"/>
          <w:szCs w:val="21"/>
          <w:vertAlign w:val="baseline"/>
        </w:rPr>
        <w:footnoteRef/>
      </w:r>
      <w:r>
        <w:rPr>
          <w:rStyle w:val="aff5"/>
          <w:rFonts w:ascii="Times New Roman" w:hAnsi="Times New Roman" w:cs="宋体" w:hint="eastAsia"/>
          <w:sz w:val="21"/>
          <w:szCs w:val="21"/>
          <w:vertAlign w:val="baseline"/>
        </w:rPr>
        <w:t>]</w:t>
      </w:r>
      <w:r>
        <w:rPr>
          <w:rFonts w:ascii="Times New Roman" w:hAnsi="Times New Roman" w:cs="宋体" w:hint="eastAsia"/>
          <w:sz w:val="21"/>
          <w:szCs w:val="21"/>
        </w:rPr>
        <w:t xml:space="preserve"> </w:t>
      </w:r>
      <w:r>
        <w:rPr>
          <w:rFonts w:ascii="Times New Roman" w:hAnsi="Times New Roman" w:cs="宋体" w:hint="eastAsia"/>
          <w:sz w:val="21"/>
          <w:szCs w:val="21"/>
        </w:rPr>
        <w:t>习近平在推进“一带一路”建设工作座谈会上强调</w:t>
      </w:r>
      <w:r>
        <w:rPr>
          <w:rFonts w:ascii="Times New Roman" w:hAnsi="Times New Roman" w:cs="宋体" w:hint="eastAsia"/>
          <w:sz w:val="21"/>
          <w:szCs w:val="21"/>
        </w:rPr>
        <w:t xml:space="preserve"> </w:t>
      </w:r>
      <w:r>
        <w:rPr>
          <w:rFonts w:ascii="Times New Roman" w:hAnsi="Times New Roman" w:cs="宋体" w:hint="eastAsia"/>
          <w:sz w:val="21"/>
          <w:szCs w:val="21"/>
        </w:rPr>
        <w:t>总结经验坚定信心扎实推进</w:t>
      </w:r>
      <w:r>
        <w:rPr>
          <w:rFonts w:ascii="Times New Roman" w:hAnsi="Times New Roman" w:cs="宋体" w:hint="eastAsia"/>
          <w:sz w:val="21"/>
          <w:szCs w:val="21"/>
        </w:rPr>
        <w:t xml:space="preserve"> </w:t>
      </w:r>
      <w:r>
        <w:rPr>
          <w:rFonts w:ascii="Times New Roman" w:hAnsi="Times New Roman" w:cs="宋体" w:hint="eastAsia"/>
          <w:sz w:val="21"/>
          <w:szCs w:val="21"/>
        </w:rPr>
        <w:t>让“一带一路”建设造福沿线各国人民</w:t>
      </w:r>
      <w:r>
        <w:rPr>
          <w:rFonts w:ascii="Times New Roman" w:hAnsi="Times New Roman" w:cs="宋体" w:hint="eastAsia"/>
          <w:sz w:val="21"/>
          <w:szCs w:val="21"/>
        </w:rPr>
        <w:t xml:space="preserve">[N]. </w:t>
      </w:r>
      <w:r>
        <w:rPr>
          <w:rFonts w:ascii="Times New Roman" w:hAnsi="Times New Roman" w:cs="宋体" w:hint="eastAsia"/>
          <w:sz w:val="21"/>
          <w:szCs w:val="21"/>
        </w:rPr>
        <w:t>人民日报</w:t>
      </w:r>
      <w:r>
        <w:rPr>
          <w:rFonts w:ascii="Times New Roman" w:hAnsi="Times New Roman" w:cs="宋体" w:hint="eastAsia"/>
          <w:sz w:val="21"/>
          <w:szCs w:val="21"/>
        </w:rPr>
        <w:t>, 2016-08-18.</w:t>
      </w:r>
    </w:p>
  </w:footnote>
  <w:footnote w:id="4">
    <w:p w14:paraId="35A89EFF" w14:textId="77777777" w:rsidR="006B10D9" w:rsidRDefault="00BE6472">
      <w:pPr>
        <w:pStyle w:val="af8"/>
        <w:snapToGrid/>
        <w:spacing w:line="276" w:lineRule="auto"/>
        <w:ind w:left="357" w:hangingChars="170" w:hanging="357"/>
        <w:rPr>
          <w:rStyle w:val="aff5"/>
          <w:rFonts w:ascii="Times New Roman" w:hAnsi="Times New Roman" w:cs="宋体"/>
          <w:sz w:val="21"/>
          <w:szCs w:val="21"/>
          <w:vertAlign w:val="baseline"/>
        </w:rPr>
      </w:pPr>
      <w:r>
        <w:rPr>
          <w:rStyle w:val="aff5"/>
          <w:rFonts w:ascii="Times New Roman" w:hAnsi="Times New Roman" w:cs="宋体" w:hint="eastAsia"/>
          <w:sz w:val="21"/>
          <w:szCs w:val="21"/>
          <w:vertAlign w:val="baseline"/>
        </w:rPr>
        <w:t>[</w:t>
      </w:r>
      <w:r>
        <w:rPr>
          <w:rStyle w:val="aff5"/>
          <w:rFonts w:ascii="Times New Roman" w:hAnsi="Times New Roman" w:cs="宋体" w:hint="eastAsia"/>
          <w:sz w:val="21"/>
          <w:szCs w:val="21"/>
          <w:vertAlign w:val="baseline"/>
        </w:rPr>
        <w:footnoteRef/>
      </w:r>
      <w:r>
        <w:rPr>
          <w:rStyle w:val="aff5"/>
          <w:rFonts w:ascii="Times New Roman" w:hAnsi="Times New Roman" w:cs="宋体" w:hint="eastAsia"/>
          <w:sz w:val="21"/>
          <w:szCs w:val="21"/>
          <w:vertAlign w:val="baseline"/>
        </w:rPr>
        <w:t xml:space="preserve">] </w:t>
      </w:r>
      <w:r>
        <w:rPr>
          <w:rStyle w:val="aff5"/>
          <w:rFonts w:ascii="Times New Roman" w:hAnsi="Times New Roman" w:cs="宋体" w:hint="eastAsia"/>
          <w:sz w:val="21"/>
          <w:szCs w:val="21"/>
          <w:vertAlign w:val="baseline"/>
        </w:rPr>
        <w:t>商务部：</w:t>
      </w:r>
      <w:r>
        <w:rPr>
          <w:rFonts w:ascii="Times New Roman" w:hAnsi="Times New Roman" w:cs="宋体" w:hint="eastAsia"/>
          <w:sz w:val="21"/>
          <w:szCs w:val="21"/>
        </w:rPr>
        <w:t>“</w:t>
      </w:r>
      <w:r>
        <w:rPr>
          <w:rStyle w:val="aff5"/>
          <w:rFonts w:ascii="Times New Roman" w:hAnsi="Times New Roman" w:cs="宋体" w:hint="eastAsia"/>
          <w:sz w:val="21"/>
          <w:szCs w:val="21"/>
          <w:vertAlign w:val="baseline"/>
        </w:rPr>
        <w:t>十三五</w:t>
      </w:r>
      <w:r>
        <w:rPr>
          <w:rFonts w:ascii="Times New Roman" w:hAnsi="Times New Roman" w:cs="宋体" w:hint="eastAsia"/>
          <w:sz w:val="21"/>
          <w:szCs w:val="21"/>
        </w:rPr>
        <w:t>”</w:t>
      </w:r>
      <w:r>
        <w:rPr>
          <w:rStyle w:val="aff5"/>
          <w:rFonts w:ascii="Times New Roman" w:hAnsi="Times New Roman" w:cs="宋体" w:hint="eastAsia"/>
          <w:sz w:val="21"/>
          <w:szCs w:val="21"/>
          <w:vertAlign w:val="baseline"/>
        </w:rPr>
        <w:t>期间对外投资存量翻一番</w:t>
      </w:r>
      <w:r>
        <w:rPr>
          <w:rStyle w:val="aff5"/>
          <w:rFonts w:ascii="Times New Roman" w:hAnsi="Times New Roman" w:cs="宋体" w:hint="eastAsia"/>
          <w:sz w:val="21"/>
          <w:szCs w:val="21"/>
          <w:vertAlign w:val="baseline"/>
        </w:rPr>
        <w:t>[N/OL]. (2021-01-30)[2021-11-01]. http://jx.people.com.cn/GB/n2/2021/0130/c186330-34556087.html.</w:t>
      </w:r>
    </w:p>
  </w:footnote>
  <w:footnote w:id="5">
    <w:p w14:paraId="20E85FA0"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Style w:val="aff5"/>
          <w:rFonts w:ascii="Times New Roman" w:hAnsi="Times New Roman" w:cs="宋体" w:hint="eastAsia"/>
          <w:sz w:val="21"/>
          <w:szCs w:val="21"/>
          <w:vertAlign w:val="baseline"/>
        </w:rPr>
        <w:t>沈兰军</w:t>
      </w:r>
      <w:r>
        <w:rPr>
          <w:rStyle w:val="aff5"/>
          <w:rFonts w:ascii="Times New Roman" w:hAnsi="Times New Roman" w:cs="宋体" w:hint="eastAsia"/>
          <w:sz w:val="21"/>
          <w:szCs w:val="21"/>
          <w:vertAlign w:val="baseline"/>
        </w:rPr>
        <w:t xml:space="preserve">, </w:t>
      </w:r>
      <w:r>
        <w:rPr>
          <w:rStyle w:val="aff5"/>
          <w:rFonts w:ascii="Times New Roman" w:hAnsi="Times New Roman" w:cs="宋体" w:hint="eastAsia"/>
          <w:sz w:val="21"/>
          <w:szCs w:val="21"/>
          <w:vertAlign w:val="baseline"/>
        </w:rPr>
        <w:t>陈维哲</w:t>
      </w:r>
      <w:r>
        <w:rPr>
          <w:rStyle w:val="aff5"/>
          <w:rFonts w:ascii="Times New Roman" w:hAnsi="Times New Roman" w:cs="宋体" w:hint="eastAsia"/>
          <w:sz w:val="21"/>
          <w:szCs w:val="21"/>
          <w:vertAlign w:val="baseline"/>
        </w:rPr>
        <w:t xml:space="preserve">, </w:t>
      </w:r>
      <w:r>
        <w:rPr>
          <w:rStyle w:val="aff5"/>
          <w:rFonts w:ascii="Times New Roman" w:hAnsi="Times New Roman" w:cs="宋体" w:hint="eastAsia"/>
          <w:sz w:val="21"/>
          <w:szCs w:val="21"/>
          <w:vertAlign w:val="baseline"/>
        </w:rPr>
        <w:t>刘宗珉</w:t>
      </w:r>
      <w:r>
        <w:rPr>
          <w:rStyle w:val="aff5"/>
          <w:rFonts w:ascii="Times New Roman" w:hAnsi="Times New Roman" w:cs="宋体" w:hint="eastAsia"/>
          <w:sz w:val="21"/>
          <w:szCs w:val="21"/>
          <w:vertAlign w:val="baseline"/>
        </w:rPr>
        <w:t xml:space="preserve">. </w:t>
      </w:r>
      <w:r>
        <w:rPr>
          <w:rStyle w:val="aff5"/>
          <w:rFonts w:ascii="Times New Roman" w:hAnsi="Times New Roman" w:cs="宋体" w:hint="eastAsia"/>
          <w:sz w:val="21"/>
          <w:szCs w:val="21"/>
          <w:vertAlign w:val="baseline"/>
        </w:rPr>
        <w:t>中国对外直接投资的现状分析与建议研究</w:t>
      </w:r>
      <w:r>
        <w:rPr>
          <w:rStyle w:val="aff5"/>
          <w:rFonts w:ascii="Times New Roman" w:hAnsi="Times New Roman" w:cs="宋体" w:hint="eastAsia"/>
          <w:sz w:val="21"/>
          <w:szCs w:val="21"/>
          <w:vertAlign w:val="baseline"/>
        </w:rPr>
        <w:t xml:space="preserve">[J]. </w:t>
      </w:r>
      <w:r>
        <w:rPr>
          <w:rStyle w:val="aff5"/>
          <w:rFonts w:ascii="Times New Roman" w:hAnsi="Times New Roman" w:cs="宋体" w:hint="eastAsia"/>
          <w:sz w:val="21"/>
          <w:szCs w:val="21"/>
          <w:vertAlign w:val="baseline"/>
        </w:rPr>
        <w:t>中国中小企业</w:t>
      </w:r>
      <w:r>
        <w:rPr>
          <w:rStyle w:val="aff5"/>
          <w:rFonts w:ascii="Times New Roman" w:hAnsi="Times New Roman" w:cs="宋体" w:hint="eastAsia"/>
          <w:sz w:val="21"/>
          <w:szCs w:val="21"/>
          <w:vertAlign w:val="baseline"/>
        </w:rPr>
        <w:t>, 2020(03):102-103.</w:t>
      </w:r>
    </w:p>
  </w:footnote>
  <w:footnote w:id="6">
    <w:p w14:paraId="0DA93F71" w14:textId="77777777" w:rsidR="006B10D9" w:rsidRDefault="00BE6472">
      <w:pPr>
        <w:pStyle w:val="af8"/>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 xml:space="preserve">] </w:t>
      </w:r>
      <w:r>
        <w:rPr>
          <w:rStyle w:val="aff5"/>
          <w:rFonts w:ascii="Times New Roman" w:hAnsi="Times New Roman"/>
          <w:sz w:val="21"/>
          <w:szCs w:val="21"/>
          <w:vertAlign w:val="baseline"/>
        </w:rPr>
        <w:t>国务院国资委：</w:t>
      </w:r>
      <w:r>
        <w:rPr>
          <w:rFonts w:ascii="Times New Roman" w:hAnsi="Times New Roman" w:hint="eastAsia"/>
          <w:sz w:val="21"/>
          <w:szCs w:val="21"/>
        </w:rPr>
        <w:t>“</w:t>
      </w:r>
      <w:r>
        <w:rPr>
          <w:rStyle w:val="aff5"/>
          <w:rFonts w:ascii="Times New Roman" w:hAnsi="Times New Roman"/>
          <w:sz w:val="21"/>
          <w:szCs w:val="21"/>
          <w:vertAlign w:val="baseline"/>
        </w:rPr>
        <w:t>十三五</w:t>
      </w:r>
      <w:r>
        <w:rPr>
          <w:rFonts w:ascii="Times New Roman" w:hAnsi="Times New Roman" w:hint="eastAsia"/>
          <w:sz w:val="21"/>
          <w:szCs w:val="21"/>
        </w:rPr>
        <w:t>”</w:t>
      </w:r>
      <w:r>
        <w:rPr>
          <w:rStyle w:val="aff5"/>
          <w:rFonts w:ascii="Times New Roman" w:hAnsi="Times New Roman"/>
          <w:sz w:val="21"/>
          <w:szCs w:val="21"/>
          <w:vertAlign w:val="baseline"/>
        </w:rPr>
        <w:t>时期央企海外营收超</w:t>
      </w:r>
      <w:r>
        <w:rPr>
          <w:rStyle w:val="aff5"/>
          <w:rFonts w:ascii="Times New Roman" w:hAnsi="Times New Roman"/>
          <w:sz w:val="21"/>
          <w:szCs w:val="21"/>
          <w:vertAlign w:val="baseline"/>
        </w:rPr>
        <w:t>24</w:t>
      </w:r>
      <w:r>
        <w:rPr>
          <w:rStyle w:val="aff5"/>
          <w:rFonts w:ascii="Times New Roman" w:hAnsi="Times New Roman"/>
          <w:sz w:val="21"/>
          <w:szCs w:val="21"/>
          <w:vertAlign w:val="baseline"/>
        </w:rPr>
        <w:t>万亿元，对外投资收益率</w:t>
      </w:r>
      <w:r>
        <w:rPr>
          <w:rStyle w:val="aff5"/>
          <w:rFonts w:ascii="Times New Roman" w:hAnsi="Times New Roman"/>
          <w:sz w:val="21"/>
          <w:szCs w:val="21"/>
          <w:vertAlign w:val="baseline"/>
        </w:rPr>
        <w:t>6.7</w:t>
      </w:r>
      <w:r>
        <w:rPr>
          <w:rStyle w:val="aff5"/>
          <w:rFonts w:ascii="Times New Roman" w:hAnsi="Times New Roman"/>
          <w:sz w:val="21"/>
          <w:szCs w:val="21"/>
          <w:vertAlign w:val="baseline"/>
        </w:rPr>
        <w:t>％</w:t>
      </w:r>
      <w:r>
        <w:rPr>
          <w:rStyle w:val="aff5"/>
          <w:rFonts w:ascii="Times New Roman" w:hAnsi="Times New Roman"/>
          <w:sz w:val="21"/>
          <w:szCs w:val="21"/>
          <w:vertAlign w:val="baseline"/>
        </w:rPr>
        <w:t>[N/OL]. (2021-02-23)[2021-11-01]. https://www.cnstock.com/v_news/sns_bwkx/202102/4661815.htm.</w:t>
      </w:r>
    </w:p>
  </w:footnote>
  <w:footnote w:id="7">
    <w:p w14:paraId="30F37C03"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武芳</w:t>
      </w:r>
      <w:r>
        <w:rPr>
          <w:rFonts w:ascii="Times New Roman" w:hAnsi="Times New Roman" w:hint="eastAsia"/>
          <w:sz w:val="21"/>
          <w:szCs w:val="21"/>
        </w:rPr>
        <w:t xml:space="preserve">, </w:t>
      </w:r>
      <w:r>
        <w:rPr>
          <w:rFonts w:ascii="Times New Roman" w:hAnsi="Times New Roman" w:hint="eastAsia"/>
          <w:sz w:val="21"/>
          <w:szCs w:val="21"/>
        </w:rPr>
        <w:t>祁欣</w:t>
      </w:r>
      <w:r>
        <w:rPr>
          <w:rFonts w:ascii="Times New Roman" w:hAnsi="Times New Roman" w:hint="eastAsia"/>
          <w:sz w:val="21"/>
          <w:szCs w:val="21"/>
        </w:rPr>
        <w:t xml:space="preserve">. </w:t>
      </w:r>
      <w:r>
        <w:rPr>
          <w:rFonts w:ascii="Times New Roman" w:hAnsi="Times New Roman" w:hint="eastAsia"/>
          <w:sz w:val="21"/>
          <w:szCs w:val="21"/>
        </w:rPr>
        <w:t>后疫情时代中国对外投资发展趋势研判</w:t>
      </w:r>
      <w:r>
        <w:rPr>
          <w:rFonts w:ascii="Times New Roman" w:hAnsi="Times New Roman" w:hint="eastAsia"/>
          <w:sz w:val="21"/>
          <w:szCs w:val="21"/>
        </w:rPr>
        <w:t xml:space="preserve">[J]. </w:t>
      </w:r>
      <w:r>
        <w:rPr>
          <w:rFonts w:ascii="Times New Roman" w:hAnsi="Times New Roman" w:hint="eastAsia"/>
          <w:sz w:val="21"/>
          <w:szCs w:val="21"/>
        </w:rPr>
        <w:t>对外经贸实务</w:t>
      </w:r>
      <w:r>
        <w:rPr>
          <w:rFonts w:ascii="Times New Roman" w:hAnsi="Times New Roman" w:hint="eastAsia"/>
          <w:sz w:val="21"/>
          <w:szCs w:val="21"/>
        </w:rPr>
        <w:t>, 2021(02):04-07.</w:t>
      </w:r>
    </w:p>
  </w:footnote>
  <w:footnote w:id="8">
    <w:p w14:paraId="07E94E25"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hint="eastAsia"/>
          <w:sz w:val="21"/>
          <w:szCs w:val="21"/>
        </w:rPr>
        <w:t>王竹立</w:t>
      </w:r>
      <w:r>
        <w:rPr>
          <w:rFonts w:ascii="Times New Roman" w:hAnsi="Times New Roman" w:hint="eastAsia"/>
          <w:sz w:val="21"/>
          <w:szCs w:val="21"/>
        </w:rPr>
        <w:t xml:space="preserve">. </w:t>
      </w:r>
      <w:r>
        <w:rPr>
          <w:rFonts w:ascii="Times New Roman" w:hAnsi="Times New Roman" w:hint="eastAsia"/>
          <w:sz w:val="21"/>
          <w:szCs w:val="21"/>
        </w:rPr>
        <w:t>后疫情时代，教育应如何转型？</w:t>
      </w:r>
      <w:r>
        <w:rPr>
          <w:rFonts w:ascii="Times New Roman" w:hAnsi="Times New Roman" w:hint="eastAsia"/>
          <w:sz w:val="21"/>
          <w:szCs w:val="21"/>
        </w:rPr>
        <w:t xml:space="preserve">[J]. </w:t>
      </w:r>
      <w:r>
        <w:rPr>
          <w:rFonts w:ascii="Times New Roman" w:hAnsi="Times New Roman" w:hint="eastAsia"/>
          <w:sz w:val="21"/>
          <w:szCs w:val="21"/>
        </w:rPr>
        <w:t>电化教育研究</w:t>
      </w:r>
      <w:r>
        <w:rPr>
          <w:rFonts w:ascii="Times New Roman" w:hAnsi="Times New Roman" w:hint="eastAsia"/>
          <w:sz w:val="21"/>
          <w:szCs w:val="21"/>
        </w:rPr>
        <w:t>, 2020(04):13-20.</w:t>
      </w:r>
    </w:p>
  </w:footnote>
  <w:footnote w:id="9">
    <w:p w14:paraId="1C6786C2"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hint="eastAsia"/>
          <w:sz w:val="21"/>
          <w:szCs w:val="21"/>
        </w:rPr>
        <w:t>李丹</w:t>
      </w:r>
      <w:r>
        <w:rPr>
          <w:rFonts w:ascii="Times New Roman" w:hAnsi="Times New Roman" w:hint="eastAsia"/>
          <w:sz w:val="21"/>
          <w:szCs w:val="21"/>
        </w:rPr>
        <w:t xml:space="preserve">, </w:t>
      </w:r>
      <w:r>
        <w:rPr>
          <w:rFonts w:ascii="Times New Roman" w:hAnsi="Times New Roman" w:hint="eastAsia"/>
          <w:sz w:val="21"/>
          <w:szCs w:val="21"/>
        </w:rPr>
        <w:t>董琴</w:t>
      </w:r>
      <w:r>
        <w:rPr>
          <w:rFonts w:ascii="Times New Roman" w:hAnsi="Times New Roman" w:hint="eastAsia"/>
          <w:sz w:val="21"/>
          <w:szCs w:val="21"/>
        </w:rPr>
        <w:t xml:space="preserve">. </w:t>
      </w:r>
      <w:r>
        <w:rPr>
          <w:rFonts w:ascii="Times New Roman" w:hAnsi="Times New Roman" w:hint="eastAsia"/>
          <w:sz w:val="21"/>
          <w:szCs w:val="21"/>
        </w:rPr>
        <w:t>全球价值链重构与“引进来”“走出去”的再思考</w:t>
      </w:r>
      <w:r>
        <w:rPr>
          <w:rFonts w:ascii="Times New Roman" w:hAnsi="Times New Roman" w:hint="eastAsia"/>
          <w:sz w:val="21"/>
          <w:szCs w:val="21"/>
        </w:rPr>
        <w:t xml:space="preserve">[J]. </w:t>
      </w:r>
      <w:r>
        <w:rPr>
          <w:rFonts w:ascii="Times New Roman" w:hAnsi="Times New Roman" w:hint="eastAsia"/>
          <w:sz w:val="21"/>
          <w:szCs w:val="21"/>
        </w:rPr>
        <w:t>中国经贸</w:t>
      </w:r>
      <w:r>
        <w:rPr>
          <w:rFonts w:ascii="Times New Roman" w:hAnsi="Times New Roman" w:hint="eastAsia"/>
          <w:sz w:val="21"/>
          <w:szCs w:val="21"/>
        </w:rPr>
        <w:t>, 2019(9):63-69.</w:t>
      </w:r>
    </w:p>
  </w:footnote>
  <w:footnote w:id="10">
    <w:p w14:paraId="4AA9857C"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科尼尔</w:t>
      </w:r>
      <w:r>
        <w:rPr>
          <w:rFonts w:ascii="Times New Roman" w:hAnsi="Times New Roman" w:hint="eastAsia"/>
          <w:sz w:val="21"/>
          <w:szCs w:val="21"/>
        </w:rPr>
        <w:t>.</w:t>
      </w:r>
      <w:r>
        <w:rPr>
          <w:rFonts w:ascii="Times New Roman" w:hAnsi="Times New Roman" w:hint="eastAsia"/>
          <w:sz w:val="21"/>
          <w:szCs w:val="21"/>
        </w:rPr>
        <w:t>大震荡</w:t>
      </w:r>
      <w:r>
        <w:rPr>
          <w:rFonts w:ascii="Times New Roman" w:hAnsi="Times New Roman" w:hint="eastAsia"/>
          <w:sz w:val="21"/>
          <w:szCs w:val="21"/>
        </w:rPr>
        <w:t>,</w:t>
      </w:r>
      <w:r>
        <w:rPr>
          <w:rFonts w:ascii="Times New Roman" w:hAnsi="Times New Roman" w:hint="eastAsia"/>
          <w:sz w:val="21"/>
          <w:szCs w:val="21"/>
        </w:rPr>
        <w:t>大变局</w:t>
      </w:r>
      <w:r>
        <w:rPr>
          <w:rFonts w:ascii="Times New Roman" w:hAnsi="Times New Roman" w:hint="eastAsia"/>
          <w:sz w:val="21"/>
          <w:szCs w:val="21"/>
        </w:rPr>
        <w:t xml:space="preserve"> 2020-2025</w:t>
      </w:r>
      <w:r>
        <w:rPr>
          <w:rFonts w:ascii="Times New Roman" w:hAnsi="Times New Roman" w:hint="eastAsia"/>
          <w:sz w:val="21"/>
          <w:szCs w:val="21"/>
        </w:rPr>
        <w:t>年全球趋势研究报告</w:t>
      </w:r>
      <w:r>
        <w:rPr>
          <w:rFonts w:ascii="Times New Roman" w:hAnsi="Times New Roman" w:hint="eastAsia"/>
          <w:sz w:val="21"/>
          <w:szCs w:val="21"/>
        </w:rPr>
        <w:t xml:space="preserve">. </w:t>
      </w:r>
    </w:p>
  </w:footnote>
  <w:footnote w:id="11">
    <w:p w14:paraId="6472CB0C"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hint="eastAsia"/>
          <w:sz w:val="21"/>
          <w:szCs w:val="21"/>
        </w:rPr>
        <w:t xml:space="preserve"> </w:t>
      </w:r>
      <w:r>
        <w:rPr>
          <w:rFonts w:ascii="Times New Roman" w:hAnsi="Times New Roman" w:hint="eastAsia"/>
          <w:sz w:val="21"/>
          <w:szCs w:val="21"/>
        </w:rPr>
        <w:t>陈璞</w:t>
      </w:r>
      <w:r>
        <w:rPr>
          <w:rFonts w:ascii="Times New Roman" w:hAnsi="Times New Roman" w:hint="eastAsia"/>
          <w:sz w:val="21"/>
          <w:szCs w:val="21"/>
        </w:rPr>
        <w:t xml:space="preserve">, </w:t>
      </w:r>
      <w:r>
        <w:rPr>
          <w:rFonts w:ascii="Times New Roman" w:hAnsi="Times New Roman" w:hint="eastAsia"/>
          <w:sz w:val="21"/>
          <w:szCs w:val="21"/>
        </w:rPr>
        <w:t>魏本权</w:t>
      </w:r>
      <w:r>
        <w:rPr>
          <w:rFonts w:ascii="Times New Roman" w:hAnsi="Times New Roman" w:hint="eastAsia"/>
          <w:sz w:val="21"/>
          <w:szCs w:val="21"/>
        </w:rPr>
        <w:t xml:space="preserve">. </w:t>
      </w:r>
      <w:r>
        <w:rPr>
          <w:rFonts w:ascii="Times New Roman" w:hAnsi="Times New Roman" w:hint="eastAsia"/>
          <w:sz w:val="21"/>
          <w:szCs w:val="21"/>
        </w:rPr>
        <w:t>基于嵌入性理论的创新驱动机制研究——以江苏省科技镇长团制度为例</w:t>
      </w:r>
      <w:r>
        <w:rPr>
          <w:rFonts w:ascii="Times New Roman" w:hAnsi="Times New Roman" w:hint="eastAsia"/>
          <w:sz w:val="21"/>
          <w:szCs w:val="21"/>
        </w:rPr>
        <w:t xml:space="preserve">[J]. </w:t>
      </w:r>
      <w:r>
        <w:rPr>
          <w:rFonts w:ascii="Times New Roman" w:hAnsi="Times New Roman" w:hint="eastAsia"/>
          <w:sz w:val="21"/>
          <w:szCs w:val="21"/>
        </w:rPr>
        <w:t>国家行政学院学报</w:t>
      </w:r>
      <w:r>
        <w:rPr>
          <w:rFonts w:ascii="Times New Roman" w:hAnsi="Times New Roman" w:hint="eastAsia"/>
          <w:sz w:val="21"/>
          <w:szCs w:val="21"/>
        </w:rPr>
        <w:t>, 2018(5):82-86.</w:t>
      </w:r>
    </w:p>
  </w:footnote>
  <w:footnote w:id="12">
    <w:p w14:paraId="22E485DF"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hint="eastAsia"/>
          <w:sz w:val="21"/>
          <w:szCs w:val="21"/>
        </w:rPr>
        <w:t xml:space="preserve"> </w:t>
      </w:r>
      <w:r>
        <w:rPr>
          <w:rFonts w:ascii="Times New Roman" w:hAnsi="Times New Roman" w:hint="eastAsia"/>
          <w:sz w:val="21"/>
          <w:szCs w:val="21"/>
        </w:rPr>
        <w:t>高菠阳</w:t>
      </w:r>
      <w:r>
        <w:rPr>
          <w:rFonts w:ascii="Times New Roman" w:hAnsi="Times New Roman" w:hint="eastAsia"/>
          <w:sz w:val="21"/>
          <w:szCs w:val="21"/>
        </w:rPr>
        <w:t xml:space="preserve">, </w:t>
      </w:r>
      <w:r>
        <w:rPr>
          <w:rFonts w:ascii="Times New Roman" w:hAnsi="Times New Roman" w:hint="eastAsia"/>
          <w:sz w:val="21"/>
          <w:szCs w:val="21"/>
        </w:rPr>
        <w:t>刘卫东</w:t>
      </w:r>
      <w:r>
        <w:rPr>
          <w:rFonts w:ascii="Times New Roman" w:hAnsi="Times New Roman" w:hint="eastAsia"/>
          <w:sz w:val="21"/>
          <w:szCs w:val="21"/>
        </w:rPr>
        <w:t xml:space="preserve">, </w:t>
      </w:r>
      <w:r>
        <w:rPr>
          <w:rFonts w:ascii="Times New Roman" w:hAnsi="Times New Roman" w:hint="eastAsia"/>
          <w:sz w:val="21"/>
          <w:szCs w:val="21"/>
        </w:rPr>
        <w:t>宋涛</w:t>
      </w:r>
      <w:r>
        <w:rPr>
          <w:rFonts w:ascii="Times New Roman" w:hAnsi="Times New Roman" w:hint="eastAsia"/>
          <w:sz w:val="21"/>
          <w:szCs w:val="21"/>
        </w:rPr>
        <w:t xml:space="preserve">, </w:t>
      </w:r>
      <w:r>
        <w:rPr>
          <w:rFonts w:ascii="Times New Roman" w:hAnsi="Times New Roman" w:hint="eastAsia"/>
          <w:sz w:val="21"/>
          <w:szCs w:val="21"/>
        </w:rPr>
        <w:t>等</w:t>
      </w:r>
      <w:r>
        <w:rPr>
          <w:rFonts w:ascii="Times New Roman" w:hAnsi="Times New Roman" w:hint="eastAsia"/>
          <w:sz w:val="21"/>
          <w:szCs w:val="21"/>
        </w:rPr>
        <w:t xml:space="preserve">. </w:t>
      </w:r>
      <w:r>
        <w:rPr>
          <w:rFonts w:ascii="Times New Roman" w:hAnsi="Times New Roman" w:hint="eastAsia"/>
          <w:sz w:val="21"/>
          <w:szCs w:val="21"/>
        </w:rPr>
        <w:t>社会变革和制度文化制约下的“多尺度嵌入”——以缅甸莱比塘铜矿项目为例</w:t>
      </w:r>
      <w:r>
        <w:rPr>
          <w:rFonts w:ascii="Times New Roman" w:hAnsi="Times New Roman" w:hint="eastAsia"/>
          <w:sz w:val="21"/>
          <w:szCs w:val="21"/>
        </w:rPr>
        <w:t xml:space="preserve">[J]. </w:t>
      </w:r>
      <w:r>
        <w:rPr>
          <w:rFonts w:ascii="Times New Roman" w:hAnsi="Times New Roman" w:hint="eastAsia"/>
          <w:sz w:val="21"/>
          <w:szCs w:val="21"/>
        </w:rPr>
        <w:t>地理研究</w:t>
      </w:r>
      <w:r>
        <w:rPr>
          <w:rFonts w:ascii="Times New Roman" w:hAnsi="Times New Roman" w:hint="eastAsia"/>
          <w:sz w:val="21"/>
          <w:szCs w:val="21"/>
        </w:rPr>
        <w:t>, 2020, 39(12):2718-2730.</w:t>
      </w:r>
    </w:p>
  </w:footnote>
  <w:footnote w:id="13">
    <w:p w14:paraId="33F06ED0"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张宇燕</w:t>
      </w:r>
      <w:r>
        <w:rPr>
          <w:rFonts w:ascii="Times New Roman" w:hAnsi="Times New Roman" w:hint="eastAsia"/>
          <w:sz w:val="21"/>
          <w:szCs w:val="21"/>
        </w:rPr>
        <w:t xml:space="preserve">. </w:t>
      </w:r>
      <w:r>
        <w:rPr>
          <w:rFonts w:ascii="Times New Roman" w:hAnsi="Times New Roman" w:hint="eastAsia"/>
          <w:sz w:val="21"/>
          <w:szCs w:val="21"/>
        </w:rPr>
        <w:t>“十四五”时期我国的外部环境及影响</w:t>
      </w:r>
      <w:r>
        <w:rPr>
          <w:rFonts w:ascii="Times New Roman" w:hAnsi="Times New Roman" w:hint="eastAsia"/>
          <w:sz w:val="21"/>
          <w:szCs w:val="21"/>
        </w:rPr>
        <w:t xml:space="preserve">[N/OL]. </w:t>
      </w:r>
      <w:r>
        <w:rPr>
          <w:rFonts w:ascii="Times New Roman" w:hAnsi="Times New Roman" w:hint="eastAsia"/>
          <w:sz w:val="21"/>
          <w:szCs w:val="21"/>
        </w:rPr>
        <w:t>中国社会科学报</w:t>
      </w:r>
      <w:r>
        <w:rPr>
          <w:rFonts w:ascii="Times New Roman" w:hAnsi="Times New Roman" w:hint="eastAsia"/>
          <w:sz w:val="21"/>
          <w:szCs w:val="21"/>
        </w:rPr>
        <w:t xml:space="preserve">, (2020-11-11)[2021-11-01]. </w:t>
      </w:r>
      <w:hyperlink r:id="rId1" w:history="1">
        <w:r>
          <w:rPr>
            <w:rFonts w:ascii="Times New Roman" w:hAnsi="Times New Roman" w:hint="eastAsia"/>
            <w:sz w:val="21"/>
            <w:szCs w:val="21"/>
          </w:rPr>
          <w:t>http://news.cssn.cn/zx/bwyc/202011/t20201111_5215078.shtml.</w:t>
        </w:r>
      </w:hyperlink>
    </w:p>
  </w:footnote>
  <w:footnote w:id="14">
    <w:p w14:paraId="29D8013F" w14:textId="77777777" w:rsidR="006B10D9" w:rsidRDefault="00BE6472">
      <w:pPr>
        <w:pStyle w:val="af8"/>
        <w:snapToGrid/>
        <w:spacing w:line="276" w:lineRule="auto"/>
        <w:ind w:left="357" w:hangingChars="170" w:hanging="357"/>
        <w:rPr>
          <w:rFonts w:ascii="Times New Roman" w:hAnsi="Times New Roman" w:cs="宋体"/>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cs="宋体" w:hint="eastAsia"/>
          <w:sz w:val="21"/>
          <w:szCs w:val="21"/>
        </w:rPr>
        <w:t xml:space="preserve"> </w:t>
      </w:r>
      <w:r>
        <w:rPr>
          <w:rFonts w:ascii="Times New Roman" w:hAnsi="Times New Roman" w:cs="宋体" w:hint="eastAsia"/>
          <w:sz w:val="21"/>
          <w:szCs w:val="21"/>
        </w:rPr>
        <w:t>跨国指数（</w:t>
      </w:r>
      <w:r>
        <w:rPr>
          <w:rFonts w:ascii="Times New Roman" w:hAnsi="Times New Roman" w:cs="宋体" w:hint="eastAsia"/>
          <w:sz w:val="21"/>
          <w:szCs w:val="21"/>
        </w:rPr>
        <w:t>TNI</w:t>
      </w:r>
      <w:r>
        <w:rPr>
          <w:rFonts w:ascii="Times New Roman" w:hAnsi="Times New Roman" w:cs="宋体" w:hint="eastAsia"/>
          <w:sz w:val="21"/>
          <w:szCs w:val="21"/>
        </w:rPr>
        <w:t>）由联合国贸发会议编制，用于衡量企业的国际化水平。以海外资产占总资产比重、海外销售额占总销售额比重、海外员工占员工总数三个值的平均数进行编制。</w:t>
      </w:r>
    </w:p>
  </w:footnote>
  <w:footnote w:id="15">
    <w:p w14:paraId="5EB4A600"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hint="eastAsia"/>
          <w:sz w:val="21"/>
          <w:szCs w:val="21"/>
        </w:rPr>
        <w:t>杨挺</w:t>
      </w:r>
      <w:r>
        <w:rPr>
          <w:rFonts w:ascii="Times New Roman" w:hAnsi="Times New Roman" w:hint="eastAsia"/>
          <w:sz w:val="21"/>
          <w:szCs w:val="21"/>
        </w:rPr>
        <w:t xml:space="preserve">, </w:t>
      </w:r>
      <w:r>
        <w:rPr>
          <w:rFonts w:ascii="Times New Roman" w:hAnsi="Times New Roman" w:hint="eastAsia"/>
          <w:sz w:val="21"/>
          <w:szCs w:val="21"/>
        </w:rPr>
        <w:t>陈兆源</w:t>
      </w:r>
      <w:r>
        <w:rPr>
          <w:rFonts w:ascii="Times New Roman" w:hAnsi="Times New Roman" w:hint="eastAsia"/>
          <w:sz w:val="21"/>
          <w:szCs w:val="21"/>
        </w:rPr>
        <w:t xml:space="preserve">, </w:t>
      </w:r>
      <w:r>
        <w:rPr>
          <w:rFonts w:ascii="Times New Roman" w:hAnsi="Times New Roman" w:hint="eastAsia"/>
          <w:sz w:val="21"/>
          <w:szCs w:val="21"/>
        </w:rPr>
        <w:t>黄翘楚</w:t>
      </w:r>
      <w:r>
        <w:rPr>
          <w:rFonts w:ascii="Times New Roman" w:hAnsi="Times New Roman" w:hint="eastAsia"/>
          <w:sz w:val="21"/>
          <w:szCs w:val="21"/>
        </w:rPr>
        <w:t xml:space="preserve">. </w:t>
      </w:r>
      <w:r>
        <w:rPr>
          <w:rFonts w:ascii="Times New Roman" w:hAnsi="Times New Roman" w:hint="eastAsia"/>
          <w:sz w:val="21"/>
          <w:szCs w:val="21"/>
        </w:rPr>
        <w:t>展望</w:t>
      </w:r>
      <w:r>
        <w:rPr>
          <w:rFonts w:ascii="Times New Roman" w:hAnsi="Times New Roman" w:hint="eastAsia"/>
          <w:sz w:val="21"/>
          <w:szCs w:val="21"/>
        </w:rPr>
        <w:t>2021</w:t>
      </w:r>
      <w:r>
        <w:rPr>
          <w:rFonts w:ascii="Times New Roman" w:hAnsi="Times New Roman" w:hint="eastAsia"/>
          <w:sz w:val="21"/>
          <w:szCs w:val="21"/>
        </w:rPr>
        <w:t>年中国对外直接投资趋势</w:t>
      </w:r>
      <w:r>
        <w:rPr>
          <w:rFonts w:ascii="Times New Roman" w:hAnsi="Times New Roman" w:hint="eastAsia"/>
          <w:sz w:val="21"/>
          <w:szCs w:val="21"/>
        </w:rPr>
        <w:t xml:space="preserve">[J]. </w:t>
      </w:r>
      <w:r>
        <w:rPr>
          <w:rFonts w:ascii="Times New Roman" w:hAnsi="Times New Roman" w:hint="eastAsia"/>
          <w:sz w:val="21"/>
          <w:szCs w:val="21"/>
        </w:rPr>
        <w:t>国际经济合作</w:t>
      </w:r>
      <w:r>
        <w:rPr>
          <w:rFonts w:ascii="Times New Roman" w:hAnsi="Times New Roman" w:hint="eastAsia"/>
          <w:sz w:val="21"/>
          <w:szCs w:val="21"/>
        </w:rPr>
        <w:t>, 2021(1):41-49.</w:t>
      </w:r>
    </w:p>
  </w:footnote>
  <w:footnote w:id="16">
    <w:p w14:paraId="53513F37"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SO</w:t>
      </w:r>
      <w:r>
        <w:rPr>
          <w:rFonts w:ascii="Times New Roman" w:hAnsi="Times New Roman" w:cs="宋体" w:hint="eastAsia"/>
          <w:sz w:val="21"/>
          <w:szCs w:val="21"/>
        </w:rPr>
        <w:t>策略是指</w:t>
      </w:r>
      <w:r>
        <w:rPr>
          <w:rFonts w:ascii="Times New Roman" w:hAnsi="Times New Roman" w:cs="宋体" w:hint="eastAsia"/>
          <w:bCs/>
          <w:sz w:val="21"/>
          <w:szCs w:val="21"/>
        </w:rPr>
        <w:t>依靠内部优势，利用发展机遇。</w:t>
      </w:r>
    </w:p>
  </w:footnote>
  <w:footnote w:id="17">
    <w:p w14:paraId="6EF30C6D"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WO</w:t>
      </w:r>
      <w:r>
        <w:rPr>
          <w:rFonts w:ascii="Times New Roman" w:hAnsi="Times New Roman" w:cs="宋体" w:hint="eastAsia"/>
          <w:sz w:val="21"/>
          <w:szCs w:val="21"/>
        </w:rPr>
        <w:t>策略作为扭转型策略，是指利用外部机遇，弥补内部劣势。</w:t>
      </w:r>
    </w:p>
  </w:footnote>
  <w:footnote w:id="18">
    <w:p w14:paraId="7D309D91"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ST</w:t>
      </w:r>
      <w:r>
        <w:rPr>
          <w:rFonts w:ascii="Times New Roman" w:hAnsi="Times New Roman" w:cs="宋体" w:hint="eastAsia"/>
          <w:sz w:val="21"/>
          <w:szCs w:val="21"/>
        </w:rPr>
        <w:t>策略作为多样化策略，是指发展自身优势，规避外部威胁。</w:t>
      </w:r>
    </w:p>
  </w:footnote>
  <w:footnote w:id="19">
    <w:p w14:paraId="4D19BA23" w14:textId="77777777" w:rsidR="006B10D9" w:rsidRDefault="00BE6472">
      <w:pPr>
        <w:pStyle w:val="af8"/>
        <w:snapToGrid/>
        <w:spacing w:line="276" w:lineRule="auto"/>
        <w:ind w:left="357" w:hangingChars="170" w:hanging="357"/>
        <w:rPr>
          <w:rFonts w:ascii="Times New Roman" w:hAnsi="Times New Roman"/>
          <w:bCs/>
          <w:sz w:val="21"/>
          <w:szCs w:val="21"/>
        </w:rPr>
      </w:pPr>
      <w:r>
        <w:rPr>
          <w:rFonts w:ascii="Times New Roman" w:hAnsi="Times New Roman" w:hint="eastAsia"/>
          <w:bCs/>
          <w:sz w:val="21"/>
          <w:szCs w:val="21"/>
        </w:rPr>
        <w:t>[</w:t>
      </w:r>
      <w:r>
        <w:rPr>
          <w:rFonts w:ascii="Times New Roman" w:hAnsi="Times New Roman" w:hint="eastAsia"/>
          <w:bCs/>
          <w:sz w:val="21"/>
          <w:szCs w:val="21"/>
        </w:rPr>
        <w:footnoteRef/>
      </w:r>
      <w:r>
        <w:rPr>
          <w:rFonts w:ascii="Times New Roman" w:hAnsi="Times New Roman" w:hint="eastAsia"/>
          <w:bCs/>
          <w:sz w:val="21"/>
          <w:szCs w:val="21"/>
        </w:rPr>
        <w:t xml:space="preserve">] </w:t>
      </w:r>
      <w:r>
        <w:rPr>
          <w:rFonts w:ascii="Times New Roman" w:hAnsi="Times New Roman" w:cs="宋体" w:hint="eastAsia"/>
          <w:sz w:val="21"/>
          <w:szCs w:val="21"/>
        </w:rPr>
        <w:t>WT</w:t>
      </w:r>
      <w:r>
        <w:rPr>
          <w:rFonts w:ascii="Times New Roman" w:hAnsi="Times New Roman" w:cs="宋体" w:hint="eastAsia"/>
          <w:sz w:val="21"/>
          <w:szCs w:val="21"/>
        </w:rPr>
        <w:t>策略是指防御型策略，是指减少内部劣势，降低外部威胁。</w:t>
      </w:r>
    </w:p>
  </w:footnote>
  <w:footnote w:id="20">
    <w:p w14:paraId="6F06B14B"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国家风险是指在对外投资、贷款和贸易活动中，外国资产在东道国所面临的危险程度，是源于国别政治或经济形势变化而导致的外国暴露价值的变化，其主要特征是一种针对国外居民的国家经济主权行为，是不受国外居民控制的并导致国际商务合同无法履约的可能性风险。张金杰</w:t>
      </w:r>
      <w:r>
        <w:rPr>
          <w:rFonts w:ascii="Times New Roman" w:hAnsi="Times New Roman" w:cs="宋体" w:hint="eastAsia"/>
          <w:sz w:val="21"/>
          <w:szCs w:val="21"/>
        </w:rPr>
        <w:t xml:space="preserve">. </w:t>
      </w:r>
      <w:r>
        <w:rPr>
          <w:rFonts w:ascii="Times New Roman" w:hAnsi="Times New Roman" w:cs="宋体" w:hint="eastAsia"/>
          <w:sz w:val="21"/>
          <w:szCs w:val="21"/>
        </w:rPr>
        <w:t>国家风险的形成、评估及中国对策</w:t>
      </w:r>
      <w:r>
        <w:rPr>
          <w:rFonts w:ascii="Times New Roman" w:hAnsi="Times New Roman" w:cs="宋体" w:hint="eastAsia"/>
          <w:sz w:val="21"/>
          <w:szCs w:val="21"/>
        </w:rPr>
        <w:t xml:space="preserve">[J]. </w:t>
      </w:r>
      <w:r>
        <w:rPr>
          <w:rFonts w:ascii="Times New Roman" w:hAnsi="Times New Roman" w:cs="宋体" w:hint="eastAsia"/>
          <w:sz w:val="21"/>
          <w:szCs w:val="21"/>
        </w:rPr>
        <w:t>世界经济与政治</w:t>
      </w:r>
      <w:r>
        <w:rPr>
          <w:rFonts w:ascii="Times New Roman" w:hAnsi="Times New Roman" w:cs="宋体" w:hint="eastAsia"/>
          <w:sz w:val="21"/>
          <w:szCs w:val="21"/>
        </w:rPr>
        <w:t>, 2008(3):58-64.</w:t>
      </w:r>
    </w:p>
  </w:footnote>
  <w:footnote w:id="21">
    <w:p w14:paraId="6ECC8F9E"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WEO</w:t>
      </w:r>
      <w:r>
        <w:rPr>
          <w:rFonts w:ascii="Times New Roman" w:hAnsi="Times New Roman" w:cs="宋体" w:hint="eastAsia"/>
          <w:sz w:val="21"/>
          <w:szCs w:val="21"/>
        </w:rPr>
        <w:t>为国际货币基金组织</w:t>
      </w:r>
      <w:r>
        <w:rPr>
          <w:rFonts w:ascii="Times New Roman" w:hAnsi="Times New Roman" w:cs="宋体" w:hint="eastAsia"/>
          <w:sz w:val="21"/>
          <w:szCs w:val="21"/>
        </w:rPr>
        <w:t>World Economic Outlook Databases</w:t>
      </w:r>
      <w:r>
        <w:rPr>
          <w:rFonts w:ascii="Times New Roman" w:hAnsi="Times New Roman" w:cs="宋体" w:hint="eastAsia"/>
          <w:sz w:val="21"/>
          <w:szCs w:val="21"/>
        </w:rPr>
        <w:t>，</w:t>
      </w:r>
      <w:r>
        <w:rPr>
          <w:rFonts w:ascii="Times New Roman" w:hAnsi="Times New Roman" w:cs="宋体" w:hint="eastAsia"/>
          <w:sz w:val="21"/>
          <w:szCs w:val="21"/>
        </w:rPr>
        <w:t>https</w:t>
      </w:r>
      <w:r>
        <w:rPr>
          <w:rFonts w:ascii="Times New Roman" w:hAnsi="Times New Roman" w:cs="宋体" w:hint="eastAsia"/>
          <w:sz w:val="21"/>
          <w:szCs w:val="21"/>
        </w:rPr>
        <w:t>：</w:t>
      </w:r>
      <w:r>
        <w:rPr>
          <w:rFonts w:ascii="Times New Roman" w:hAnsi="Times New Roman" w:cs="宋体" w:hint="eastAsia"/>
          <w:sz w:val="21"/>
          <w:szCs w:val="21"/>
        </w:rPr>
        <w:t>//www.imf.org/external/pubs/ft/weo/2017/01/weodata/weoselgr.aspx</w:t>
      </w:r>
      <w:r>
        <w:rPr>
          <w:rFonts w:ascii="Times New Roman" w:hAnsi="Times New Roman" w:cs="宋体" w:hint="eastAsia"/>
          <w:sz w:val="21"/>
          <w:szCs w:val="21"/>
        </w:rPr>
        <w:t>；</w:t>
      </w:r>
      <w:r>
        <w:rPr>
          <w:rFonts w:ascii="Times New Roman" w:hAnsi="Times New Roman" w:cs="宋体" w:hint="eastAsia"/>
          <w:sz w:val="21"/>
          <w:szCs w:val="21"/>
        </w:rPr>
        <w:t>CEIC</w:t>
      </w:r>
      <w:r>
        <w:rPr>
          <w:rFonts w:ascii="Times New Roman" w:hAnsi="Times New Roman" w:cs="宋体" w:hint="eastAsia"/>
          <w:sz w:val="21"/>
          <w:szCs w:val="21"/>
        </w:rPr>
        <w:t>为香港环亚经济数据有限公司数据库，</w:t>
      </w:r>
      <w:r>
        <w:rPr>
          <w:rFonts w:ascii="Times New Roman" w:hAnsi="Times New Roman" w:cs="宋体" w:hint="eastAsia"/>
          <w:sz w:val="21"/>
          <w:szCs w:val="21"/>
        </w:rPr>
        <w:t>https</w:t>
      </w:r>
      <w:r>
        <w:rPr>
          <w:rFonts w:ascii="Times New Roman" w:hAnsi="Times New Roman" w:cs="宋体" w:hint="eastAsia"/>
          <w:sz w:val="21"/>
          <w:szCs w:val="21"/>
        </w:rPr>
        <w:t>：</w:t>
      </w:r>
      <w:r>
        <w:rPr>
          <w:rFonts w:ascii="Times New Roman" w:hAnsi="Times New Roman" w:cs="宋体" w:hint="eastAsia"/>
          <w:sz w:val="21"/>
          <w:szCs w:val="21"/>
        </w:rPr>
        <w:t>//www.ceicdata.com/zh-hans/products/global-economic-database</w:t>
      </w:r>
      <w:r>
        <w:rPr>
          <w:rFonts w:ascii="Times New Roman" w:hAnsi="Times New Roman" w:cs="宋体" w:hint="eastAsia"/>
          <w:sz w:val="21"/>
          <w:szCs w:val="21"/>
        </w:rPr>
        <w:t>；</w:t>
      </w:r>
      <w:r>
        <w:rPr>
          <w:rFonts w:ascii="Times New Roman" w:hAnsi="Times New Roman" w:cs="宋体" w:hint="eastAsia"/>
          <w:sz w:val="21"/>
          <w:szCs w:val="21"/>
        </w:rPr>
        <w:t>WDI</w:t>
      </w:r>
      <w:r>
        <w:rPr>
          <w:rFonts w:ascii="Times New Roman" w:hAnsi="Times New Roman" w:cs="宋体" w:hint="eastAsia"/>
          <w:sz w:val="21"/>
          <w:szCs w:val="21"/>
        </w:rPr>
        <w:t>为世界银行</w:t>
      </w:r>
      <w:r>
        <w:rPr>
          <w:rFonts w:ascii="Times New Roman" w:hAnsi="Times New Roman" w:cs="宋体" w:hint="eastAsia"/>
          <w:sz w:val="21"/>
          <w:szCs w:val="21"/>
        </w:rPr>
        <w:t>World Development Indicators</w:t>
      </w:r>
      <w:r>
        <w:rPr>
          <w:rFonts w:ascii="Times New Roman" w:hAnsi="Times New Roman" w:cs="宋体" w:hint="eastAsia"/>
          <w:sz w:val="21"/>
          <w:szCs w:val="21"/>
        </w:rPr>
        <w:t>，</w:t>
      </w:r>
      <w:r>
        <w:rPr>
          <w:rFonts w:ascii="Times New Roman" w:hAnsi="Times New Roman" w:cs="宋体" w:hint="eastAsia"/>
          <w:sz w:val="21"/>
          <w:szCs w:val="21"/>
        </w:rPr>
        <w:t>https</w:t>
      </w:r>
      <w:r>
        <w:rPr>
          <w:rFonts w:ascii="Times New Roman" w:hAnsi="Times New Roman" w:cs="宋体" w:hint="eastAsia"/>
          <w:sz w:val="21"/>
          <w:szCs w:val="21"/>
        </w:rPr>
        <w:t>：</w:t>
      </w:r>
      <w:r>
        <w:rPr>
          <w:rFonts w:ascii="Times New Roman" w:hAnsi="Times New Roman" w:cs="宋体" w:hint="eastAsia"/>
          <w:sz w:val="21"/>
          <w:szCs w:val="21"/>
        </w:rPr>
        <w:t>//databank.worldbank.org/data/source/world-development-indicators</w:t>
      </w:r>
    </w:p>
  </w:footnote>
  <w:footnote w:id="22">
    <w:p w14:paraId="38AE8687"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cs="宋体" w:hint="eastAsia"/>
          <w:sz w:val="21"/>
          <w:szCs w:val="21"/>
        </w:rPr>
        <w:t>WGI</w:t>
      </w:r>
      <w:r>
        <w:rPr>
          <w:rFonts w:ascii="Times New Roman" w:hAnsi="Times New Roman" w:cs="宋体" w:hint="eastAsia"/>
          <w:sz w:val="21"/>
          <w:szCs w:val="21"/>
        </w:rPr>
        <w:t>为世界银行</w:t>
      </w:r>
      <w:r>
        <w:rPr>
          <w:rFonts w:ascii="Times New Roman" w:hAnsi="Times New Roman" w:cs="宋体" w:hint="eastAsia"/>
          <w:sz w:val="21"/>
          <w:szCs w:val="21"/>
        </w:rPr>
        <w:t>World wide Governance Indicators</w:t>
      </w:r>
      <w:r>
        <w:rPr>
          <w:rFonts w:ascii="Times New Roman" w:hAnsi="Times New Roman" w:cs="宋体" w:hint="eastAsia"/>
          <w:sz w:val="21"/>
          <w:szCs w:val="21"/>
        </w:rPr>
        <w:t>，</w:t>
      </w:r>
      <w:r>
        <w:rPr>
          <w:rFonts w:ascii="Times New Roman" w:hAnsi="Times New Roman" w:cs="宋体" w:hint="eastAsia"/>
          <w:sz w:val="21"/>
          <w:szCs w:val="21"/>
        </w:rPr>
        <w:t>https</w:t>
      </w:r>
      <w:r>
        <w:rPr>
          <w:rFonts w:ascii="Times New Roman" w:hAnsi="Times New Roman" w:cs="宋体" w:hint="eastAsia"/>
          <w:sz w:val="21"/>
          <w:szCs w:val="21"/>
        </w:rPr>
        <w:t>：</w:t>
      </w:r>
      <w:r>
        <w:rPr>
          <w:rFonts w:ascii="Times New Roman" w:hAnsi="Times New Roman" w:cs="宋体" w:hint="eastAsia"/>
          <w:sz w:val="21"/>
          <w:szCs w:val="21"/>
        </w:rPr>
        <w:t>//databank.worldbank.org/data/source/worldwide-governance-indicators</w:t>
      </w:r>
    </w:p>
  </w:footnote>
  <w:footnote w:id="23">
    <w:p w14:paraId="1A6BB2B3"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历史最差数据！</w:t>
      </w:r>
      <w:r>
        <w:rPr>
          <w:rFonts w:ascii="Times New Roman" w:hAnsi="Times New Roman" w:hint="eastAsia"/>
          <w:sz w:val="21"/>
          <w:szCs w:val="21"/>
        </w:rPr>
        <w:t>2020</w:t>
      </w:r>
      <w:r>
        <w:rPr>
          <w:rFonts w:ascii="Times New Roman" w:hAnsi="Times New Roman" w:hint="eastAsia"/>
          <w:sz w:val="21"/>
          <w:szCs w:val="21"/>
        </w:rPr>
        <w:t>年，新加坡</w:t>
      </w:r>
      <w:r>
        <w:rPr>
          <w:rFonts w:ascii="Times New Roman" w:hAnsi="Times New Roman" w:hint="eastAsia"/>
          <w:sz w:val="21"/>
          <w:szCs w:val="21"/>
        </w:rPr>
        <w:t>GDP</w:t>
      </w:r>
      <w:r>
        <w:rPr>
          <w:rFonts w:ascii="Times New Roman" w:hAnsi="Times New Roman" w:hint="eastAsia"/>
          <w:sz w:val="21"/>
          <w:szCs w:val="21"/>
        </w:rPr>
        <w:t>下滑</w:t>
      </w:r>
      <w:r>
        <w:rPr>
          <w:rFonts w:ascii="Times New Roman" w:hAnsi="Times New Roman" w:hint="eastAsia"/>
          <w:sz w:val="21"/>
          <w:szCs w:val="21"/>
        </w:rPr>
        <w:t>5.8%</w:t>
      </w:r>
      <w:r>
        <w:rPr>
          <w:rFonts w:ascii="Times New Roman" w:hAnsi="Times New Roman" w:hint="eastAsia"/>
          <w:sz w:val="21"/>
          <w:szCs w:val="21"/>
        </w:rPr>
        <w:t>！</w:t>
      </w:r>
      <w:r>
        <w:rPr>
          <w:rFonts w:ascii="Times New Roman" w:hAnsi="Times New Roman" w:hint="eastAsia"/>
          <w:sz w:val="21"/>
          <w:szCs w:val="21"/>
        </w:rPr>
        <w:t>2021</w:t>
      </w:r>
      <w:r>
        <w:rPr>
          <w:rFonts w:ascii="Times New Roman" w:hAnsi="Times New Roman" w:hint="eastAsia"/>
          <w:sz w:val="21"/>
          <w:szCs w:val="21"/>
        </w:rPr>
        <w:t>年或增长</w:t>
      </w:r>
      <w:r>
        <w:rPr>
          <w:rFonts w:ascii="Times New Roman" w:hAnsi="Times New Roman" w:hint="eastAsia"/>
          <w:sz w:val="21"/>
          <w:szCs w:val="21"/>
        </w:rPr>
        <w:t>6%</w:t>
      </w:r>
      <w:r>
        <w:rPr>
          <w:rFonts w:ascii="Times New Roman" w:hAnsi="Times New Roman" w:hint="eastAsia"/>
          <w:sz w:val="21"/>
          <w:szCs w:val="21"/>
        </w:rPr>
        <w:t>？</w:t>
      </w:r>
      <w:r>
        <w:rPr>
          <w:rFonts w:ascii="Times New Roman" w:hAnsi="Times New Roman" w:hint="eastAsia"/>
          <w:sz w:val="21"/>
          <w:szCs w:val="21"/>
        </w:rPr>
        <w:t xml:space="preserve">[N/OL]. (2021-01-04)[2021-11-01]. </w:t>
      </w:r>
      <w:hyperlink r:id="rId2" w:history="1">
        <w:r>
          <w:rPr>
            <w:rFonts w:ascii="Times New Roman" w:hAnsi="Times New Roman" w:hint="eastAsia"/>
            <w:sz w:val="21"/>
            <w:szCs w:val="21"/>
          </w:rPr>
          <w:t>https://baijiahao.baidu.com/s?id=1687972453866108801&amp;wfr=spider&amp;for=pc.</w:t>
        </w:r>
      </w:hyperlink>
    </w:p>
  </w:footnote>
  <w:footnote w:id="24">
    <w:p w14:paraId="30B345B6"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hint="eastAsia"/>
          <w:sz w:val="21"/>
          <w:szCs w:val="21"/>
        </w:rPr>
        <w:t>赵平、李雅娜</w:t>
      </w:r>
      <w:r>
        <w:rPr>
          <w:rFonts w:ascii="Times New Roman" w:hAnsi="Times New Roman" w:hint="eastAsia"/>
          <w:sz w:val="21"/>
          <w:szCs w:val="21"/>
        </w:rPr>
        <w:t xml:space="preserve">. </w:t>
      </w:r>
      <w:r>
        <w:rPr>
          <w:rFonts w:ascii="Times New Roman" w:hAnsi="Times New Roman" w:hint="eastAsia"/>
          <w:sz w:val="21"/>
          <w:szCs w:val="21"/>
        </w:rPr>
        <w:t>美国政府对中国企业投资实施安全审查问题的研究</w:t>
      </w:r>
      <w:r>
        <w:rPr>
          <w:rFonts w:ascii="Times New Roman" w:hAnsi="Times New Roman" w:hint="eastAsia"/>
          <w:sz w:val="21"/>
          <w:szCs w:val="21"/>
        </w:rPr>
        <w:t xml:space="preserve">[J]. </w:t>
      </w:r>
      <w:r>
        <w:rPr>
          <w:rFonts w:ascii="Times New Roman" w:hAnsi="Times New Roman" w:hint="eastAsia"/>
          <w:sz w:val="21"/>
          <w:szCs w:val="21"/>
        </w:rPr>
        <w:t>吉林工商学院学报，</w:t>
      </w:r>
      <w:r>
        <w:rPr>
          <w:rFonts w:ascii="Times New Roman" w:hAnsi="Times New Roman" w:hint="eastAsia"/>
          <w:sz w:val="21"/>
          <w:szCs w:val="21"/>
        </w:rPr>
        <w:t>2021(6):20-25.</w:t>
      </w:r>
    </w:p>
  </w:footnote>
  <w:footnote w:id="25">
    <w:p w14:paraId="688611EF"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OECD. Interim Economic Outlook. Septmeber, 2021</w:t>
      </w:r>
    </w:p>
  </w:footnote>
  <w:footnote w:id="26">
    <w:p w14:paraId="7A6AEE37" w14:textId="77777777" w:rsidR="006B10D9" w:rsidRDefault="00BE6472">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UNCTAD. World Investment Report 2020. June,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39CA" w14:textId="77777777" w:rsidR="006B10D9" w:rsidRDefault="006B10D9">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C4A89" w14:textId="77777777" w:rsidR="006B10D9" w:rsidRDefault="006B10D9">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899D" w14:textId="77777777" w:rsidR="006B10D9" w:rsidRDefault="006B10D9">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7009" w14:textId="77777777" w:rsidR="006B10D9" w:rsidRDefault="00BE6472">
    <w:pPr>
      <w:pStyle w:val="af5"/>
      <w:rPr>
        <w:rFonts w:ascii="Times New Roman" w:hAnsi="Times New Roman"/>
      </w:rPr>
    </w:pPr>
    <w:r>
      <w:rPr>
        <w:rFonts w:ascii="Times New Roman" w:hAnsi="Times New Roman" w:hint="eastAsia"/>
      </w:rPr>
      <w:t>国家信息中心</w:t>
    </w:r>
    <w:r>
      <w:rPr>
        <w:rFonts w:ascii="Times New Roman" w:hAnsi="Times New Roman" w:hint="eastAsia"/>
      </w:rPr>
      <w:t>2021</w:t>
    </w:r>
    <w:r>
      <w:rPr>
        <w:rFonts w:ascii="Times New Roman" w:hAnsi="Times New Roman" w:hint="eastAsia"/>
      </w:rPr>
      <w:t>年度青年人才基础研究项目成果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9F9F95"/>
    <w:multiLevelType w:val="multilevel"/>
    <w:tmpl w:val="D39F9F95"/>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pStyle w:val="5"/>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1" w15:restartNumberingAfterBreak="0">
    <w:nsid w:val="4C133559"/>
    <w:multiLevelType w:val="multilevel"/>
    <w:tmpl w:val="4C1335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65FD7859"/>
    <w:multiLevelType w:val="multilevel"/>
    <w:tmpl w:val="65FD7859"/>
    <w:lvl w:ilvl="0">
      <w:start w:val="1"/>
      <w:numFmt w:val="decimal"/>
      <w:pStyle w:val="a"/>
      <w:lvlText w:val="[%1]"/>
      <w:lvlJc w:val="left"/>
      <w:pPr>
        <w:tabs>
          <w:tab w:val="left" w:pos="360"/>
        </w:tabs>
        <w:ind w:left="340" w:hanging="34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hideSpellingErrors/>
  <w:hideGrammaticalErrors/>
  <w:documentProtection w:edit="forms" w:enforcement="1" w:cryptProviderType="rsaAES" w:cryptAlgorithmClass="hash" w:cryptAlgorithmType="typeAny" w:cryptAlgorithmSid="14" w:cryptSpinCount="100000" w:hash="TXIfy/h+EH8fBTxrY059Ova2qMhLIFeu1frJPrA3RpscdZvMaulRF+RKbAUlO5m7UZ4ld2E58SCs/Z0vCxgCOw==" w:salt="5Mv6Y4GBmiFry9MvZgpF+w=="/>
  <w:defaultTabStop w:val="6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29"/>
    <w:rsid w:val="00005B07"/>
    <w:rsid w:val="000164EB"/>
    <w:rsid w:val="00021CDC"/>
    <w:rsid w:val="000227EA"/>
    <w:rsid w:val="00026F7C"/>
    <w:rsid w:val="00043223"/>
    <w:rsid w:val="00046429"/>
    <w:rsid w:val="00047614"/>
    <w:rsid w:val="00063784"/>
    <w:rsid w:val="0008522B"/>
    <w:rsid w:val="000A772F"/>
    <w:rsid w:val="000B7AFD"/>
    <w:rsid w:val="000C72F1"/>
    <w:rsid w:val="000D2E57"/>
    <w:rsid w:val="000D6ADA"/>
    <w:rsid w:val="000F0FB7"/>
    <w:rsid w:val="000F1945"/>
    <w:rsid w:val="000F1F5F"/>
    <w:rsid w:val="000F25AA"/>
    <w:rsid w:val="001140E4"/>
    <w:rsid w:val="00114B9E"/>
    <w:rsid w:val="00126F36"/>
    <w:rsid w:val="00165008"/>
    <w:rsid w:val="00170753"/>
    <w:rsid w:val="001A6F7F"/>
    <w:rsid w:val="001C3C6D"/>
    <w:rsid w:val="001D1C68"/>
    <w:rsid w:val="001F106A"/>
    <w:rsid w:val="00203D35"/>
    <w:rsid w:val="0020506E"/>
    <w:rsid w:val="00222A3B"/>
    <w:rsid w:val="00225317"/>
    <w:rsid w:val="00234140"/>
    <w:rsid w:val="00245740"/>
    <w:rsid w:val="002703E5"/>
    <w:rsid w:val="00275C72"/>
    <w:rsid w:val="002804EC"/>
    <w:rsid w:val="0028403E"/>
    <w:rsid w:val="002A00D9"/>
    <w:rsid w:val="002C02D9"/>
    <w:rsid w:val="002C498F"/>
    <w:rsid w:val="002C6BA2"/>
    <w:rsid w:val="002D115C"/>
    <w:rsid w:val="002D1272"/>
    <w:rsid w:val="002D23E2"/>
    <w:rsid w:val="002F0058"/>
    <w:rsid w:val="00320E4F"/>
    <w:rsid w:val="00326A64"/>
    <w:rsid w:val="003315A9"/>
    <w:rsid w:val="003359FA"/>
    <w:rsid w:val="00340764"/>
    <w:rsid w:val="003413CB"/>
    <w:rsid w:val="003612A3"/>
    <w:rsid w:val="00371707"/>
    <w:rsid w:val="003A379F"/>
    <w:rsid w:val="003E0BDE"/>
    <w:rsid w:val="003E3907"/>
    <w:rsid w:val="0045119D"/>
    <w:rsid w:val="0046334D"/>
    <w:rsid w:val="004669FA"/>
    <w:rsid w:val="00472DED"/>
    <w:rsid w:val="004739B6"/>
    <w:rsid w:val="00473E92"/>
    <w:rsid w:val="00480C14"/>
    <w:rsid w:val="00486B4D"/>
    <w:rsid w:val="004A0D06"/>
    <w:rsid w:val="004C300D"/>
    <w:rsid w:val="004C6B75"/>
    <w:rsid w:val="004D0C30"/>
    <w:rsid w:val="004E0E59"/>
    <w:rsid w:val="004F4207"/>
    <w:rsid w:val="00503DB1"/>
    <w:rsid w:val="00516607"/>
    <w:rsid w:val="00524C67"/>
    <w:rsid w:val="005420F0"/>
    <w:rsid w:val="00557E59"/>
    <w:rsid w:val="00566689"/>
    <w:rsid w:val="005A66E4"/>
    <w:rsid w:val="005B2A74"/>
    <w:rsid w:val="005C0D79"/>
    <w:rsid w:val="005E401C"/>
    <w:rsid w:val="005E6E70"/>
    <w:rsid w:val="005F5C9D"/>
    <w:rsid w:val="00600FDE"/>
    <w:rsid w:val="006119FB"/>
    <w:rsid w:val="0062077B"/>
    <w:rsid w:val="00622043"/>
    <w:rsid w:val="00630778"/>
    <w:rsid w:val="00655B12"/>
    <w:rsid w:val="00662093"/>
    <w:rsid w:val="006677D8"/>
    <w:rsid w:val="0067797A"/>
    <w:rsid w:val="00681AC6"/>
    <w:rsid w:val="00687353"/>
    <w:rsid w:val="00690D93"/>
    <w:rsid w:val="006958EB"/>
    <w:rsid w:val="006A15EC"/>
    <w:rsid w:val="006A48E7"/>
    <w:rsid w:val="006B10D9"/>
    <w:rsid w:val="006C0507"/>
    <w:rsid w:val="006C322B"/>
    <w:rsid w:val="006C5225"/>
    <w:rsid w:val="006D74A9"/>
    <w:rsid w:val="006E5B5D"/>
    <w:rsid w:val="006F5E9D"/>
    <w:rsid w:val="00725A74"/>
    <w:rsid w:val="00731475"/>
    <w:rsid w:val="007314B5"/>
    <w:rsid w:val="00732F22"/>
    <w:rsid w:val="0073392F"/>
    <w:rsid w:val="00736008"/>
    <w:rsid w:val="0078488D"/>
    <w:rsid w:val="00796DB0"/>
    <w:rsid w:val="007A63F8"/>
    <w:rsid w:val="007B4256"/>
    <w:rsid w:val="007C0787"/>
    <w:rsid w:val="007C3654"/>
    <w:rsid w:val="007C482F"/>
    <w:rsid w:val="007D1E17"/>
    <w:rsid w:val="007F009C"/>
    <w:rsid w:val="007F3230"/>
    <w:rsid w:val="007F76CC"/>
    <w:rsid w:val="0080630F"/>
    <w:rsid w:val="0080680A"/>
    <w:rsid w:val="0080700B"/>
    <w:rsid w:val="00814F04"/>
    <w:rsid w:val="00815A48"/>
    <w:rsid w:val="00824753"/>
    <w:rsid w:val="0083010A"/>
    <w:rsid w:val="008524A8"/>
    <w:rsid w:val="00855D16"/>
    <w:rsid w:val="00863615"/>
    <w:rsid w:val="00865A02"/>
    <w:rsid w:val="00883D7D"/>
    <w:rsid w:val="008A0590"/>
    <w:rsid w:val="008C09CC"/>
    <w:rsid w:val="008C46C6"/>
    <w:rsid w:val="008D3BBC"/>
    <w:rsid w:val="008D67FB"/>
    <w:rsid w:val="008E410E"/>
    <w:rsid w:val="008E6DE2"/>
    <w:rsid w:val="008F5FB1"/>
    <w:rsid w:val="00921C3E"/>
    <w:rsid w:val="00954F21"/>
    <w:rsid w:val="0096209D"/>
    <w:rsid w:val="009B5147"/>
    <w:rsid w:val="009E2A51"/>
    <w:rsid w:val="00A0660F"/>
    <w:rsid w:val="00A13C37"/>
    <w:rsid w:val="00A25F49"/>
    <w:rsid w:val="00A462A1"/>
    <w:rsid w:val="00A538A8"/>
    <w:rsid w:val="00A5601E"/>
    <w:rsid w:val="00A629CE"/>
    <w:rsid w:val="00A72370"/>
    <w:rsid w:val="00A74D16"/>
    <w:rsid w:val="00A76FEA"/>
    <w:rsid w:val="00A90944"/>
    <w:rsid w:val="00AA7807"/>
    <w:rsid w:val="00AB7EFA"/>
    <w:rsid w:val="00AC581C"/>
    <w:rsid w:val="00AE1505"/>
    <w:rsid w:val="00AE7D2A"/>
    <w:rsid w:val="00AF2F99"/>
    <w:rsid w:val="00B03057"/>
    <w:rsid w:val="00B16F88"/>
    <w:rsid w:val="00B20846"/>
    <w:rsid w:val="00B26709"/>
    <w:rsid w:val="00B53F4D"/>
    <w:rsid w:val="00B603CE"/>
    <w:rsid w:val="00B66E1B"/>
    <w:rsid w:val="00B6718B"/>
    <w:rsid w:val="00B71B04"/>
    <w:rsid w:val="00B74478"/>
    <w:rsid w:val="00B90C7E"/>
    <w:rsid w:val="00BA5A38"/>
    <w:rsid w:val="00BA6469"/>
    <w:rsid w:val="00BC7D54"/>
    <w:rsid w:val="00BD6FDC"/>
    <w:rsid w:val="00BE0FD8"/>
    <w:rsid w:val="00BE6472"/>
    <w:rsid w:val="00BE77F7"/>
    <w:rsid w:val="00BF40A5"/>
    <w:rsid w:val="00C134E1"/>
    <w:rsid w:val="00C17F9D"/>
    <w:rsid w:val="00C3234E"/>
    <w:rsid w:val="00C52EBB"/>
    <w:rsid w:val="00C67165"/>
    <w:rsid w:val="00C80199"/>
    <w:rsid w:val="00C972DD"/>
    <w:rsid w:val="00CA5608"/>
    <w:rsid w:val="00CA7262"/>
    <w:rsid w:val="00CB39DA"/>
    <w:rsid w:val="00CC600C"/>
    <w:rsid w:val="00CD128D"/>
    <w:rsid w:val="00CE180E"/>
    <w:rsid w:val="00D1581C"/>
    <w:rsid w:val="00D25353"/>
    <w:rsid w:val="00D32762"/>
    <w:rsid w:val="00D3323B"/>
    <w:rsid w:val="00D3722E"/>
    <w:rsid w:val="00D37641"/>
    <w:rsid w:val="00D37DD1"/>
    <w:rsid w:val="00D40A70"/>
    <w:rsid w:val="00D508BC"/>
    <w:rsid w:val="00D86206"/>
    <w:rsid w:val="00D91456"/>
    <w:rsid w:val="00D967E5"/>
    <w:rsid w:val="00DA6A9D"/>
    <w:rsid w:val="00DB2D0E"/>
    <w:rsid w:val="00DB3C6F"/>
    <w:rsid w:val="00DC67D9"/>
    <w:rsid w:val="00DD48CD"/>
    <w:rsid w:val="00DF484B"/>
    <w:rsid w:val="00DF52B1"/>
    <w:rsid w:val="00E01460"/>
    <w:rsid w:val="00E06763"/>
    <w:rsid w:val="00E12EF5"/>
    <w:rsid w:val="00E35250"/>
    <w:rsid w:val="00E5155C"/>
    <w:rsid w:val="00E575B5"/>
    <w:rsid w:val="00E7625B"/>
    <w:rsid w:val="00E8389E"/>
    <w:rsid w:val="00E93209"/>
    <w:rsid w:val="00E93BD1"/>
    <w:rsid w:val="00E93DA9"/>
    <w:rsid w:val="00E947B3"/>
    <w:rsid w:val="00EB2E74"/>
    <w:rsid w:val="00EC366F"/>
    <w:rsid w:val="00EC4E41"/>
    <w:rsid w:val="00ED319C"/>
    <w:rsid w:val="00EE1A67"/>
    <w:rsid w:val="00F041DA"/>
    <w:rsid w:val="00F0539E"/>
    <w:rsid w:val="00F06840"/>
    <w:rsid w:val="00F06B6C"/>
    <w:rsid w:val="00F345B0"/>
    <w:rsid w:val="00F35419"/>
    <w:rsid w:val="00F7062A"/>
    <w:rsid w:val="00F774E2"/>
    <w:rsid w:val="00F80AB0"/>
    <w:rsid w:val="00F82A44"/>
    <w:rsid w:val="00F83FD6"/>
    <w:rsid w:val="00F95332"/>
    <w:rsid w:val="00FD4CB3"/>
    <w:rsid w:val="00FD5913"/>
    <w:rsid w:val="00FE38F3"/>
    <w:rsid w:val="00FF2347"/>
    <w:rsid w:val="00FF3031"/>
    <w:rsid w:val="00FF6073"/>
    <w:rsid w:val="1ADC0670"/>
    <w:rsid w:val="20B41493"/>
    <w:rsid w:val="365E05F2"/>
    <w:rsid w:val="48017C5C"/>
    <w:rsid w:val="4824126F"/>
    <w:rsid w:val="4C8D4010"/>
    <w:rsid w:val="63CA2281"/>
    <w:rsid w:val="74233661"/>
    <w:rsid w:val="7B87631C"/>
    <w:rsid w:val="7CE80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B6EE6"/>
  <w15:docId w15:val="{BD10C85F-6FBE-4AAA-9910-8623CFAB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qFormat="1"/>
    <w:lsdException w:name="toc 9" w:uiPriority="39" w:unhideWhenUsed="1"/>
    <w:lsdException w:name="Normal Indent" w:semiHidden="1" w:unhideWhenUsed="1"/>
    <w:lsdException w:name="footnote text" w:uiPriority="0" w:unhideWhenUsed="1"/>
    <w:lsdException w:name="annotation text" w:uiPriority="0"/>
    <w:lsdException w:name="header" w:uiPriority="0" w:unhideWhenUsed="1" w:qFormat="1"/>
    <w:lsdException w:name="footer" w:unhideWhenUsed="1"/>
    <w:lsdException w:name="index heading" w:semiHidden="1"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uiPriority="0"/>
    <w:lsdException w:name="line number" w:semiHidden="1" w:unhideWhenUsed="1"/>
    <w:lsdException w:name="page number" w:semiHidden="1"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0" w:unhideWhenUsed="1"/>
    <w:lsdException w:name="Strong" w:uiPriority="0"/>
    <w:lsdException w:name="Emphasis" w:uiPriority="20"/>
    <w:lsdException w:name="Document Map"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pPr>
      <w:widowControl w:val="0"/>
      <w:spacing w:line="588" w:lineRule="exact"/>
      <w:ind w:firstLineChars="200" w:firstLine="600"/>
      <w:jc w:val="both"/>
    </w:pPr>
    <w:rPr>
      <w:rFonts w:ascii="Times New Roman" w:eastAsia="方正仿宋_GBK" w:hAnsi="Times New Roman" w:cs="宋体"/>
      <w:kern w:val="2"/>
      <w:sz w:val="30"/>
      <w:szCs w:val="28"/>
    </w:rPr>
  </w:style>
  <w:style w:type="paragraph" w:styleId="1">
    <w:name w:val="heading 1"/>
    <w:basedOn w:val="a0"/>
    <w:next w:val="a0"/>
    <w:link w:val="11"/>
    <w:qFormat/>
    <w:pPr>
      <w:spacing w:line="360" w:lineRule="auto"/>
      <w:ind w:firstLineChars="0" w:firstLine="0"/>
      <w:jc w:val="center"/>
      <w:outlineLvl w:val="0"/>
    </w:pPr>
    <w:rPr>
      <w:rFonts w:eastAsia="黑体" w:cs="Times New Roman"/>
      <w:sz w:val="44"/>
      <w:szCs w:val="44"/>
    </w:rPr>
  </w:style>
  <w:style w:type="paragraph" w:styleId="2">
    <w:name w:val="heading 2"/>
    <w:basedOn w:val="a0"/>
    <w:next w:val="a0"/>
    <w:link w:val="20"/>
    <w:unhideWhenUsed/>
    <w:qFormat/>
    <w:pPr>
      <w:keepNext/>
      <w:keepLines/>
      <w:adjustRightInd w:val="0"/>
      <w:spacing w:before="240" w:after="240" w:line="480" w:lineRule="exact"/>
      <w:ind w:firstLine="200"/>
      <w:outlineLvl w:val="1"/>
    </w:pPr>
    <w:rPr>
      <w:rFonts w:eastAsia="黑体" w:cs="黑体"/>
      <w:color w:val="000000"/>
      <w:kern w:val="0"/>
      <w:sz w:val="24"/>
      <w:szCs w:val="24"/>
      <w:lang w:val="zh-CN"/>
    </w:rPr>
  </w:style>
  <w:style w:type="paragraph" w:styleId="3">
    <w:name w:val="heading 3"/>
    <w:basedOn w:val="a0"/>
    <w:next w:val="a0"/>
    <w:link w:val="30"/>
    <w:unhideWhenUsed/>
    <w:qFormat/>
    <w:pPr>
      <w:keepNext/>
      <w:snapToGrid w:val="0"/>
      <w:spacing w:beforeLines="50" w:before="50" w:afterLines="100" w:after="100" w:line="240" w:lineRule="auto"/>
      <w:ind w:firstLine="480"/>
      <w:outlineLvl w:val="2"/>
    </w:pPr>
    <w:rPr>
      <w:rFonts w:eastAsia="楷体_GB2312"/>
      <w:color w:val="000000"/>
      <w:kern w:val="0"/>
      <w:sz w:val="24"/>
      <w:szCs w:val="24"/>
      <w:lang w:val="zh-CN"/>
    </w:rPr>
  </w:style>
  <w:style w:type="paragraph" w:styleId="4">
    <w:name w:val="heading 4"/>
    <w:basedOn w:val="a0"/>
    <w:next w:val="a0"/>
    <w:link w:val="41"/>
    <w:qFormat/>
    <w:pPr>
      <w:adjustRightInd w:val="0"/>
      <w:spacing w:line="360" w:lineRule="auto"/>
      <w:ind w:firstLine="480"/>
      <w:outlineLvl w:val="3"/>
    </w:pPr>
    <w:rPr>
      <w:rFonts w:ascii="楷体" w:eastAsia="楷体" w:hAnsi="楷体" w:cs="方正仿宋_GBK"/>
      <w:sz w:val="24"/>
      <w:szCs w:val="24"/>
    </w:rPr>
  </w:style>
  <w:style w:type="paragraph" w:styleId="5">
    <w:name w:val="heading 5"/>
    <w:basedOn w:val="a0"/>
    <w:next w:val="a1"/>
    <w:link w:val="50"/>
    <w:pPr>
      <w:keepNext/>
      <w:keepLines/>
      <w:numPr>
        <w:ilvl w:val="4"/>
        <w:numId w:val="1"/>
      </w:numPr>
      <w:adjustRightInd w:val="0"/>
      <w:spacing w:beforeLines="50" w:before="50" w:afterLines="50" w:after="50" w:line="560" w:lineRule="exact"/>
      <w:ind w:firstLineChars="0" w:firstLine="0"/>
      <w:jc w:val="left"/>
      <w:textAlignment w:val="baseline"/>
      <w:outlineLvl w:val="4"/>
    </w:pPr>
    <w:rPr>
      <w:rFonts w:ascii="仿宋_GB2312" w:eastAsia="仿宋_GB2312" w:cs="Times New Roman"/>
      <w:bCs/>
      <w:kern w:val="0"/>
      <w:sz w:val="32"/>
    </w:rPr>
  </w:style>
  <w:style w:type="paragraph" w:styleId="6">
    <w:name w:val="heading 6"/>
    <w:basedOn w:val="a0"/>
    <w:next w:val="a0"/>
    <w:link w:val="60"/>
    <w:semiHidden/>
    <w:unhideWhenUsed/>
    <w:pPr>
      <w:keepNext/>
      <w:spacing w:beforeLines="100" w:afterLines="100" w:line="240" w:lineRule="auto"/>
      <w:ind w:firstLineChars="0" w:firstLine="0"/>
      <w:jc w:val="center"/>
      <w:outlineLvl w:val="5"/>
    </w:pPr>
    <w:rPr>
      <w:rFonts w:ascii="Calibri" w:eastAsia="黑体" w:hAnsi="Calibri" w:cs="Times New Roman"/>
      <w:b/>
      <w:bCs/>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pPr>
      <w:adjustRightInd w:val="0"/>
      <w:spacing w:line="560" w:lineRule="exact"/>
      <w:ind w:firstLine="640"/>
      <w:jc w:val="left"/>
      <w:textAlignment w:val="baseline"/>
    </w:pPr>
    <w:rPr>
      <w:rFonts w:ascii="仿宋_GB2312" w:eastAsia="仿宋_GB2312" w:cs="Times New Roman"/>
      <w:kern w:val="0"/>
      <w:sz w:val="32"/>
      <w:szCs w:val="32"/>
    </w:rPr>
  </w:style>
  <w:style w:type="paragraph" w:styleId="TOC7">
    <w:name w:val="toc 7"/>
    <w:basedOn w:val="a0"/>
    <w:next w:val="a0"/>
    <w:uiPriority w:val="39"/>
    <w:unhideWhenUsed/>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caption"/>
    <w:basedOn w:val="a0"/>
    <w:next w:val="a0"/>
    <w:unhideWhenUsed/>
    <w:pPr>
      <w:spacing w:line="240" w:lineRule="auto"/>
      <w:ind w:firstLineChars="0" w:firstLine="0"/>
    </w:pPr>
    <w:rPr>
      <w:rFonts w:ascii="Arial" w:eastAsia="黑体" w:hAnsi="Arial" w:cs="Arial"/>
      <w:sz w:val="20"/>
      <w:szCs w:val="20"/>
    </w:rPr>
  </w:style>
  <w:style w:type="paragraph" w:styleId="a6">
    <w:name w:val="Document Map"/>
    <w:basedOn w:val="a0"/>
    <w:link w:val="a7"/>
    <w:uiPriority w:val="99"/>
    <w:unhideWhenUsed/>
    <w:pPr>
      <w:spacing w:line="240" w:lineRule="auto"/>
      <w:ind w:firstLineChars="0" w:firstLine="0"/>
    </w:pPr>
    <w:rPr>
      <w:rFonts w:ascii="宋体" w:eastAsia="宋体" w:cs="Times New Roman"/>
      <w:sz w:val="18"/>
      <w:szCs w:val="18"/>
    </w:rPr>
  </w:style>
  <w:style w:type="paragraph" w:styleId="a8">
    <w:name w:val="annotation text"/>
    <w:basedOn w:val="a0"/>
    <w:link w:val="10"/>
    <w:pPr>
      <w:adjustRightInd w:val="0"/>
      <w:spacing w:line="560" w:lineRule="exact"/>
      <w:ind w:firstLineChars="0" w:firstLine="0"/>
      <w:jc w:val="left"/>
      <w:textAlignment w:val="baseline"/>
    </w:pPr>
    <w:rPr>
      <w:rFonts w:ascii="仿宋_GB2312" w:eastAsia="仿宋_GB2312" w:cs="Times New Roman"/>
      <w:kern w:val="0"/>
      <w:sz w:val="32"/>
      <w:szCs w:val="32"/>
    </w:rPr>
  </w:style>
  <w:style w:type="paragraph" w:styleId="a9">
    <w:name w:val="Body Text"/>
    <w:basedOn w:val="a0"/>
    <w:link w:val="aa"/>
    <w:pPr>
      <w:spacing w:after="120" w:line="240" w:lineRule="auto"/>
    </w:pPr>
    <w:rPr>
      <w:rFonts w:eastAsia="宋体" w:cs="Times New Roman"/>
      <w:sz w:val="24"/>
      <w:szCs w:val="24"/>
    </w:rPr>
  </w:style>
  <w:style w:type="paragraph" w:styleId="ab">
    <w:name w:val="Body Text Indent"/>
    <w:basedOn w:val="a0"/>
    <w:link w:val="ac"/>
    <w:qFormat/>
    <w:pPr>
      <w:adjustRightInd w:val="0"/>
      <w:spacing w:line="360" w:lineRule="auto"/>
      <w:ind w:firstLineChars="0" w:firstLine="555"/>
      <w:jc w:val="left"/>
      <w:textAlignment w:val="baseline"/>
    </w:pPr>
    <w:rPr>
      <w:rFonts w:ascii="楷体_GB2312" w:eastAsia="楷体_GB2312" w:cs="Times New Roman"/>
      <w:kern w:val="0"/>
      <w:sz w:val="28"/>
      <w:szCs w:val="20"/>
    </w:rPr>
  </w:style>
  <w:style w:type="paragraph" w:styleId="TOC5">
    <w:name w:val="toc 5"/>
    <w:basedOn w:val="a0"/>
    <w:next w:val="a0"/>
    <w:uiPriority w:val="39"/>
    <w:unhideWhenUsed/>
    <w:pPr>
      <w:spacing w:line="240" w:lineRule="auto"/>
      <w:ind w:leftChars="800" w:left="1680" w:firstLineChars="0" w:firstLine="0"/>
    </w:pPr>
    <w:rPr>
      <w:rFonts w:asciiTheme="minorHAnsi" w:eastAsiaTheme="minorEastAsia" w:hAnsiTheme="minorHAnsi" w:cstheme="minorBidi"/>
      <w:sz w:val="21"/>
      <w:szCs w:val="22"/>
    </w:rPr>
  </w:style>
  <w:style w:type="paragraph" w:styleId="TOC3">
    <w:name w:val="toc 3"/>
    <w:basedOn w:val="a0"/>
    <w:next w:val="a0"/>
    <w:uiPriority w:val="39"/>
    <w:qFormat/>
    <w:pPr>
      <w:adjustRightInd w:val="0"/>
      <w:spacing w:line="560" w:lineRule="exact"/>
      <w:ind w:leftChars="400" w:left="840" w:firstLineChars="0" w:firstLine="0"/>
      <w:jc w:val="left"/>
      <w:textAlignment w:val="baseline"/>
    </w:pPr>
    <w:rPr>
      <w:rFonts w:ascii="仿宋_GB2312" w:eastAsia="仿宋_GB2312" w:cs="Times New Roman"/>
      <w:kern w:val="0"/>
      <w:sz w:val="32"/>
      <w:szCs w:val="32"/>
    </w:rPr>
  </w:style>
  <w:style w:type="paragraph" w:styleId="ad">
    <w:name w:val="Plain Text"/>
    <w:basedOn w:val="a0"/>
    <w:link w:val="ae"/>
    <w:pPr>
      <w:spacing w:line="240" w:lineRule="auto"/>
      <w:ind w:firstLineChars="0" w:firstLine="0"/>
      <w:jc w:val="center"/>
    </w:pPr>
    <w:rPr>
      <w:rFonts w:ascii="宋体" w:eastAsia="宋体" w:hAnsi="Courier New" w:cs="Courier New"/>
      <w:sz w:val="21"/>
      <w:szCs w:val="21"/>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f">
    <w:name w:val="Date"/>
    <w:basedOn w:val="a0"/>
    <w:next w:val="a0"/>
    <w:link w:val="af0"/>
    <w:uiPriority w:val="99"/>
    <w:semiHidden/>
    <w:unhideWhenUsed/>
    <w:pPr>
      <w:spacing w:line="240" w:lineRule="auto"/>
      <w:ind w:leftChars="2500" w:left="100" w:firstLineChars="0" w:firstLine="0"/>
    </w:pPr>
    <w:rPr>
      <w:rFonts w:asciiTheme="minorHAnsi" w:eastAsiaTheme="minorEastAsia" w:hAnsiTheme="minorHAnsi" w:cstheme="minorBidi"/>
      <w:sz w:val="21"/>
      <w:szCs w:val="22"/>
    </w:rPr>
  </w:style>
  <w:style w:type="paragraph" w:styleId="af1">
    <w:name w:val="endnote text"/>
    <w:basedOn w:val="a0"/>
    <w:link w:val="12"/>
    <w:uiPriority w:val="99"/>
    <w:unhideWhenUsed/>
    <w:qFormat/>
    <w:pPr>
      <w:snapToGrid w:val="0"/>
      <w:spacing w:line="240" w:lineRule="auto"/>
      <w:ind w:firstLineChars="0" w:firstLine="0"/>
      <w:jc w:val="left"/>
    </w:pPr>
    <w:rPr>
      <w:rFonts w:ascii="Calibri" w:eastAsia="宋体" w:hAnsi="Calibri" w:cs="Times New Roman"/>
      <w:sz w:val="21"/>
      <w:szCs w:val="24"/>
    </w:rPr>
  </w:style>
  <w:style w:type="paragraph" w:styleId="af2">
    <w:name w:val="Balloon Text"/>
    <w:basedOn w:val="a0"/>
    <w:link w:val="af3"/>
    <w:uiPriority w:val="99"/>
    <w:unhideWhenUsed/>
    <w:qFormat/>
    <w:pPr>
      <w:spacing w:line="240" w:lineRule="auto"/>
      <w:ind w:firstLine="200"/>
    </w:pPr>
    <w:rPr>
      <w:rFonts w:eastAsia="宋体" w:cs="Times New Roman"/>
      <w:sz w:val="18"/>
      <w:szCs w:val="18"/>
    </w:rPr>
  </w:style>
  <w:style w:type="paragraph" w:styleId="af4">
    <w:name w:val="footer"/>
    <w:basedOn w:val="a0"/>
    <w:link w:val="21"/>
    <w:uiPriority w:val="99"/>
    <w:unhideWhenUsed/>
    <w:pPr>
      <w:tabs>
        <w:tab w:val="center" w:pos="4153"/>
        <w:tab w:val="right" w:pos="8306"/>
      </w:tabs>
      <w:snapToGrid w:val="0"/>
      <w:spacing w:line="240" w:lineRule="atLeast"/>
      <w:jc w:val="left"/>
    </w:pPr>
    <w:rPr>
      <w:sz w:val="18"/>
      <w:szCs w:val="18"/>
    </w:rPr>
  </w:style>
  <w:style w:type="paragraph" w:styleId="af5">
    <w:name w:val="header"/>
    <w:basedOn w:val="a0"/>
    <w:link w:val="13"/>
    <w:unhideWhenUsed/>
    <w:qFormat/>
    <w:pPr>
      <w:pBdr>
        <w:bottom w:val="single" w:sz="6" w:space="1" w:color="auto"/>
      </w:pBdr>
      <w:tabs>
        <w:tab w:val="center" w:pos="4153"/>
        <w:tab w:val="right" w:pos="8306"/>
      </w:tabs>
      <w:snapToGrid w:val="0"/>
      <w:spacing w:line="240" w:lineRule="auto"/>
      <w:ind w:firstLineChars="0" w:firstLine="0"/>
      <w:jc w:val="center"/>
    </w:pPr>
    <w:rPr>
      <w:rFonts w:ascii="仿宋" w:eastAsia="仿宋" w:hAnsi="仿宋"/>
      <w:sz w:val="21"/>
      <w:szCs w:val="21"/>
    </w:rPr>
  </w:style>
  <w:style w:type="paragraph" w:styleId="TOC1">
    <w:name w:val="toc 1"/>
    <w:basedOn w:val="a0"/>
    <w:next w:val="a0"/>
    <w:uiPriority w:val="39"/>
    <w:pPr>
      <w:adjustRightInd w:val="0"/>
      <w:spacing w:line="500" w:lineRule="exact"/>
      <w:ind w:firstLineChars="0" w:firstLine="0"/>
      <w:jc w:val="left"/>
      <w:textAlignment w:val="baseline"/>
    </w:pPr>
    <w:rPr>
      <w:rFonts w:eastAsia="宋体" w:cs="Times New Roman"/>
      <w:b/>
      <w:kern w:val="0"/>
      <w:sz w:val="24"/>
      <w:szCs w:val="32"/>
    </w:rPr>
  </w:style>
  <w:style w:type="paragraph" w:styleId="TOC4">
    <w:name w:val="toc 4"/>
    <w:basedOn w:val="a0"/>
    <w:next w:val="a0"/>
    <w:uiPriority w:val="39"/>
    <w:unhideWhenUsed/>
    <w:pPr>
      <w:spacing w:line="240" w:lineRule="auto"/>
      <w:ind w:leftChars="600" w:left="1260" w:firstLineChars="0" w:firstLine="0"/>
    </w:pPr>
    <w:rPr>
      <w:rFonts w:asciiTheme="minorHAnsi" w:eastAsiaTheme="minorEastAsia" w:hAnsiTheme="minorHAnsi" w:cstheme="minorBidi"/>
      <w:sz w:val="21"/>
      <w:szCs w:val="22"/>
    </w:rPr>
  </w:style>
  <w:style w:type="paragraph" w:styleId="af6">
    <w:name w:val="Subtitle"/>
    <w:basedOn w:val="a0"/>
    <w:link w:val="af7"/>
    <w:pPr>
      <w:snapToGrid w:val="0"/>
      <w:spacing w:beforeLines="50" w:before="156" w:afterLines="50" w:after="156" w:line="240" w:lineRule="auto"/>
      <w:ind w:firstLineChars="0" w:firstLine="0"/>
      <w:jc w:val="center"/>
    </w:pPr>
    <w:rPr>
      <w:rFonts w:eastAsia="黑体" w:cs="Times New Roman"/>
      <w:sz w:val="36"/>
      <w:szCs w:val="36"/>
    </w:rPr>
  </w:style>
  <w:style w:type="paragraph" w:styleId="af8">
    <w:name w:val="footnote text"/>
    <w:basedOn w:val="a0"/>
    <w:link w:val="22"/>
    <w:unhideWhenUsed/>
    <w:pPr>
      <w:snapToGrid w:val="0"/>
      <w:spacing w:line="240" w:lineRule="auto"/>
      <w:ind w:firstLineChars="0" w:firstLine="0"/>
      <w:jc w:val="left"/>
    </w:pPr>
    <w:rPr>
      <w:rFonts w:ascii="Calibri" w:eastAsia="宋体" w:hAnsi="Calibri" w:cs="Times New Roman"/>
      <w:sz w:val="18"/>
      <w:szCs w:val="24"/>
    </w:rPr>
  </w:style>
  <w:style w:type="paragraph" w:styleId="TOC6">
    <w:name w:val="toc 6"/>
    <w:basedOn w:val="a0"/>
    <w:next w:val="a0"/>
    <w:uiPriority w:val="39"/>
    <w:unhideWhenUsed/>
    <w:pPr>
      <w:spacing w:line="240" w:lineRule="auto"/>
      <w:ind w:leftChars="1000" w:left="2100" w:firstLineChars="0" w:firstLine="0"/>
    </w:pPr>
    <w:rPr>
      <w:rFonts w:asciiTheme="minorHAnsi" w:eastAsiaTheme="minorEastAsia" w:hAnsiTheme="minorHAnsi" w:cstheme="minorBidi"/>
      <w:sz w:val="21"/>
      <w:szCs w:val="22"/>
    </w:rPr>
  </w:style>
  <w:style w:type="paragraph" w:styleId="TOC2">
    <w:name w:val="toc 2"/>
    <w:basedOn w:val="a0"/>
    <w:next w:val="a0"/>
    <w:link w:val="TOC20"/>
    <w:uiPriority w:val="39"/>
    <w:pPr>
      <w:spacing w:line="500" w:lineRule="exact"/>
      <w:ind w:leftChars="200" w:left="200" w:firstLineChars="0" w:firstLine="0"/>
      <w:jc w:val="left"/>
    </w:pPr>
    <w:rPr>
      <w:rFonts w:eastAsia="宋体" w:cs="Times New Roman"/>
      <w:smallCaps/>
      <w:kern w:val="0"/>
      <w:sz w:val="24"/>
      <w:szCs w:val="24"/>
    </w:rPr>
  </w:style>
  <w:style w:type="paragraph" w:styleId="TOC9">
    <w:name w:val="toc 9"/>
    <w:basedOn w:val="a0"/>
    <w:next w:val="a0"/>
    <w:uiPriority w:val="39"/>
    <w:unhideWhenUsed/>
    <w:pPr>
      <w:spacing w:line="240" w:lineRule="auto"/>
      <w:ind w:leftChars="1600" w:left="3360" w:firstLineChars="0" w:firstLine="0"/>
    </w:pPr>
    <w:rPr>
      <w:rFonts w:asciiTheme="minorHAnsi" w:eastAsiaTheme="minorEastAsia" w:hAnsiTheme="minorHAnsi" w:cstheme="minorBidi"/>
      <w:sz w:val="21"/>
      <w:szCs w:val="22"/>
    </w:rPr>
  </w:style>
  <w:style w:type="paragraph" w:styleId="af9">
    <w:name w:val="Normal (Web)"/>
    <w:basedOn w:val="a0"/>
    <w:uiPriority w:val="99"/>
    <w:qFormat/>
    <w:pPr>
      <w:spacing w:after="150" w:line="240" w:lineRule="auto"/>
      <w:ind w:firstLineChars="0" w:firstLine="0"/>
      <w:jc w:val="left"/>
    </w:pPr>
    <w:rPr>
      <w:rFonts w:ascii="Calibri" w:eastAsia="宋体" w:hAnsi="Calibri" w:cs="Times New Roman"/>
      <w:kern w:val="0"/>
      <w:sz w:val="24"/>
      <w:szCs w:val="24"/>
    </w:rPr>
  </w:style>
  <w:style w:type="paragraph" w:styleId="afa">
    <w:name w:val="Title"/>
    <w:basedOn w:val="a0"/>
    <w:next w:val="a0"/>
    <w:link w:val="afb"/>
    <w:uiPriority w:val="10"/>
    <w:pPr>
      <w:spacing w:before="240" w:after="60" w:line="720" w:lineRule="auto"/>
      <w:ind w:firstLine="200"/>
      <w:jc w:val="center"/>
      <w:outlineLvl w:val="0"/>
    </w:pPr>
    <w:rPr>
      <w:rFonts w:asciiTheme="majorHAnsi" w:eastAsia="黑体" w:hAnsiTheme="majorHAnsi" w:cstheme="majorBidi"/>
      <w:b/>
      <w:bCs/>
      <w:sz w:val="32"/>
      <w:szCs w:val="32"/>
    </w:rPr>
  </w:style>
  <w:style w:type="paragraph" w:styleId="afc">
    <w:name w:val="annotation subject"/>
    <w:basedOn w:val="a8"/>
    <w:next w:val="a8"/>
    <w:link w:val="afd"/>
    <w:uiPriority w:val="99"/>
    <w:unhideWhenUsed/>
    <w:pPr>
      <w:adjustRightInd/>
      <w:spacing w:line="240" w:lineRule="auto"/>
      <w:textAlignment w:val="auto"/>
    </w:pPr>
    <w:rPr>
      <w:rFonts w:ascii="Calibri" w:eastAsia="宋体" w:hAnsi="Calibri"/>
      <w:b/>
      <w:bCs/>
      <w:kern w:val="2"/>
      <w:sz w:val="21"/>
      <w:szCs w:val="22"/>
    </w:rPr>
  </w:style>
  <w:style w:type="paragraph" w:styleId="23">
    <w:name w:val="Body Text First Indent 2"/>
    <w:basedOn w:val="ab"/>
    <w:link w:val="24"/>
    <w:pPr>
      <w:adjustRightInd/>
      <w:spacing w:after="120" w:line="240" w:lineRule="auto"/>
      <w:ind w:leftChars="200" w:left="420" w:firstLineChars="200" w:firstLine="420"/>
      <w:jc w:val="both"/>
      <w:textAlignment w:val="auto"/>
    </w:pPr>
    <w:rPr>
      <w:rFonts w:ascii="Calibri" w:eastAsia="宋体" w:hAnsi="Calibri"/>
      <w:kern w:val="2"/>
      <w:sz w:val="21"/>
      <w:szCs w:val="24"/>
    </w:rPr>
  </w:style>
  <w:style w:type="table" w:styleId="afe">
    <w:name w:val="Table Grid"/>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2"/>
    <w:rPr>
      <w:b/>
      <w:bCs/>
    </w:rPr>
  </w:style>
  <w:style w:type="character" w:styleId="aff0">
    <w:name w:val="endnote reference"/>
    <w:basedOn w:val="a2"/>
    <w:uiPriority w:val="99"/>
    <w:unhideWhenUsed/>
    <w:qFormat/>
    <w:rPr>
      <w:vertAlign w:val="superscript"/>
    </w:rPr>
  </w:style>
  <w:style w:type="character" w:styleId="aff1">
    <w:name w:val="FollowedHyperlink"/>
    <w:basedOn w:val="a2"/>
    <w:unhideWhenUsed/>
    <w:rPr>
      <w:color w:val="337AB7"/>
      <w:u w:val="none"/>
    </w:rPr>
  </w:style>
  <w:style w:type="character" w:styleId="aff2">
    <w:name w:val="Emphasis"/>
    <w:basedOn w:val="a2"/>
    <w:uiPriority w:val="20"/>
  </w:style>
  <w:style w:type="character" w:styleId="HTML">
    <w:name w:val="HTML Variable"/>
    <w:basedOn w:val="a2"/>
    <w:uiPriority w:val="99"/>
    <w:semiHidden/>
    <w:unhideWhenUsed/>
    <w:qFormat/>
  </w:style>
  <w:style w:type="character" w:styleId="aff3">
    <w:name w:val="Hyperlink"/>
    <w:basedOn w:val="a2"/>
    <w:uiPriority w:val="99"/>
    <w:unhideWhenUsed/>
    <w:rPr>
      <w:color w:val="337AB7"/>
      <w:u w:val="none"/>
    </w:rPr>
  </w:style>
  <w:style w:type="character" w:styleId="HTML0">
    <w:name w:val="HTML Code"/>
    <w:basedOn w:val="a2"/>
    <w:uiPriority w:val="99"/>
    <w:semiHidden/>
    <w:unhideWhenUsed/>
    <w:qFormat/>
    <w:rPr>
      <w:rFonts w:ascii="Consolas" w:eastAsia="Consolas" w:hAnsi="Consolas" w:cs="Consolas" w:hint="default"/>
      <w:color w:val="C7254E"/>
      <w:sz w:val="21"/>
      <w:szCs w:val="21"/>
      <w:shd w:val="clear" w:color="auto" w:fill="F9F2F4"/>
    </w:rPr>
  </w:style>
  <w:style w:type="character" w:styleId="aff4">
    <w:name w:val="annotation reference"/>
    <w:basedOn w:val="a2"/>
    <w:rPr>
      <w:sz w:val="21"/>
      <w:szCs w:val="21"/>
    </w:rPr>
  </w:style>
  <w:style w:type="character" w:styleId="HTML1">
    <w:name w:val="HTML Cite"/>
    <w:basedOn w:val="a2"/>
    <w:uiPriority w:val="99"/>
    <w:semiHidden/>
    <w:unhideWhenUsed/>
    <w:qFormat/>
  </w:style>
  <w:style w:type="character" w:styleId="aff5">
    <w:name w:val="footnote reference"/>
    <w:basedOn w:val="a2"/>
    <w:unhideWhenUsed/>
    <w:rPr>
      <w:vertAlign w:val="superscript"/>
    </w:rPr>
  </w:style>
  <w:style w:type="character" w:styleId="HTML2">
    <w:name w:val="HTML Keyboard"/>
    <w:basedOn w:val="a2"/>
    <w:uiPriority w:val="99"/>
    <w:semiHidden/>
    <w:unhideWhenUsed/>
    <w:qFormat/>
    <w:rPr>
      <w:rFonts w:ascii="Consolas" w:eastAsia="Consolas" w:hAnsi="Consolas" w:cs="Consolas"/>
      <w:color w:val="FFFFFF"/>
      <w:sz w:val="21"/>
      <w:szCs w:val="21"/>
      <w:shd w:val="clear" w:color="auto" w:fill="333333"/>
    </w:rPr>
  </w:style>
  <w:style w:type="character" w:styleId="HTML3">
    <w:name w:val="HTML Sample"/>
    <w:basedOn w:val="a2"/>
    <w:uiPriority w:val="99"/>
    <w:semiHidden/>
    <w:unhideWhenUsed/>
    <w:qFormat/>
    <w:rPr>
      <w:rFonts w:ascii="Consolas" w:eastAsia="Consolas" w:hAnsi="Consolas" w:cs="Consolas" w:hint="default"/>
      <w:sz w:val="21"/>
      <w:szCs w:val="21"/>
    </w:rPr>
  </w:style>
  <w:style w:type="character" w:customStyle="1" w:styleId="af7">
    <w:name w:val="副标题 字符"/>
    <w:basedOn w:val="a2"/>
    <w:link w:val="af6"/>
    <w:rPr>
      <w:rFonts w:ascii="Times New Roman" w:eastAsia="黑体" w:hAnsi="Times New Roman" w:cs="Times New Roman"/>
      <w:sz w:val="36"/>
      <w:szCs w:val="36"/>
    </w:rPr>
  </w:style>
  <w:style w:type="character" w:customStyle="1" w:styleId="11">
    <w:name w:val="标题 1 字符1"/>
    <w:basedOn w:val="a2"/>
    <w:link w:val="1"/>
    <w:qFormat/>
    <w:rPr>
      <w:rFonts w:ascii="Times New Roman" w:eastAsia="黑体" w:hAnsi="Times New Roman" w:cs="Times New Roman"/>
      <w:kern w:val="2"/>
      <w:sz w:val="44"/>
      <w:szCs w:val="44"/>
    </w:rPr>
  </w:style>
  <w:style w:type="character" w:customStyle="1" w:styleId="20">
    <w:name w:val="标题 2 字符"/>
    <w:basedOn w:val="a2"/>
    <w:link w:val="2"/>
    <w:qFormat/>
    <w:rPr>
      <w:rFonts w:ascii="Times New Roman" w:eastAsia="黑体" w:hAnsi="Times New Roman" w:cs="黑体"/>
      <w:color w:val="000000"/>
      <w:sz w:val="24"/>
      <w:szCs w:val="24"/>
      <w:lang w:val="zh-CN"/>
    </w:rPr>
  </w:style>
  <w:style w:type="character" w:customStyle="1" w:styleId="30">
    <w:name w:val="标题 3 字符"/>
    <w:basedOn w:val="a2"/>
    <w:link w:val="3"/>
    <w:qFormat/>
    <w:rPr>
      <w:rFonts w:ascii="Times New Roman" w:eastAsia="楷体_GB2312" w:hAnsi="Times New Roman" w:cs="宋体"/>
      <w:color w:val="000000"/>
      <w:kern w:val="0"/>
      <w:sz w:val="24"/>
      <w:szCs w:val="24"/>
      <w:lang w:val="zh-CN"/>
    </w:rPr>
  </w:style>
  <w:style w:type="character" w:customStyle="1" w:styleId="41">
    <w:name w:val="标题 4 字符1"/>
    <w:basedOn w:val="a2"/>
    <w:link w:val="4"/>
    <w:qFormat/>
    <w:rPr>
      <w:rFonts w:ascii="楷体" w:eastAsia="楷体" w:hAnsi="楷体" w:cs="方正仿宋_GBK"/>
      <w:kern w:val="2"/>
      <w:sz w:val="24"/>
      <w:szCs w:val="24"/>
    </w:rPr>
  </w:style>
  <w:style w:type="character" w:customStyle="1" w:styleId="50">
    <w:name w:val="标题 5 字符"/>
    <w:basedOn w:val="a2"/>
    <w:link w:val="5"/>
    <w:qFormat/>
    <w:rPr>
      <w:rFonts w:ascii="仿宋_GB2312" w:eastAsia="仿宋_GB2312" w:hAnsi="Times New Roman" w:cs="Times New Roman"/>
      <w:bCs/>
      <w:kern w:val="0"/>
      <w:sz w:val="32"/>
      <w:szCs w:val="28"/>
    </w:rPr>
  </w:style>
  <w:style w:type="character" w:customStyle="1" w:styleId="60">
    <w:name w:val="标题 6 字符"/>
    <w:basedOn w:val="a2"/>
    <w:link w:val="6"/>
    <w:semiHidden/>
    <w:rPr>
      <w:rFonts w:ascii="Calibri" w:eastAsia="黑体" w:hAnsi="Calibri" w:cs="Times New Roman"/>
      <w:b/>
      <w:bCs/>
      <w:szCs w:val="24"/>
    </w:rPr>
  </w:style>
  <w:style w:type="character" w:customStyle="1" w:styleId="13">
    <w:name w:val="页眉 字符1"/>
    <w:basedOn w:val="a2"/>
    <w:link w:val="af5"/>
    <w:qFormat/>
    <w:rPr>
      <w:rFonts w:ascii="仿宋" w:eastAsia="仿宋" w:hAnsi="仿宋" w:cs="宋体"/>
      <w:kern w:val="2"/>
      <w:sz w:val="21"/>
      <w:szCs w:val="21"/>
    </w:rPr>
  </w:style>
  <w:style w:type="character" w:customStyle="1" w:styleId="21">
    <w:name w:val="页脚 字符2"/>
    <w:basedOn w:val="a2"/>
    <w:link w:val="af4"/>
    <w:uiPriority w:val="99"/>
    <w:qFormat/>
    <w:rPr>
      <w:rFonts w:ascii="Times New Roman" w:eastAsia="方正仿宋_GBK" w:hAnsi="Times New Roman" w:cs="宋体"/>
      <w:sz w:val="18"/>
      <w:szCs w:val="18"/>
    </w:rPr>
  </w:style>
  <w:style w:type="character" w:customStyle="1" w:styleId="10">
    <w:name w:val="批注文字 字符1"/>
    <w:basedOn w:val="a2"/>
    <w:link w:val="a8"/>
    <w:qFormat/>
    <w:rPr>
      <w:rFonts w:ascii="仿宋_GB2312" w:eastAsia="仿宋_GB2312" w:hAnsi="Times New Roman" w:cs="Times New Roman"/>
      <w:kern w:val="0"/>
      <w:sz w:val="32"/>
      <w:szCs w:val="32"/>
    </w:rPr>
  </w:style>
  <w:style w:type="character" w:customStyle="1" w:styleId="ac">
    <w:name w:val="正文文本缩进 字符"/>
    <w:basedOn w:val="a2"/>
    <w:link w:val="ab"/>
    <w:qFormat/>
    <w:rPr>
      <w:rFonts w:ascii="楷体_GB2312" w:eastAsia="楷体_GB2312" w:hAnsi="Times New Roman" w:cs="Times New Roman"/>
      <w:kern w:val="0"/>
      <w:sz w:val="28"/>
      <w:szCs w:val="20"/>
    </w:rPr>
  </w:style>
  <w:style w:type="character" w:customStyle="1" w:styleId="ae">
    <w:name w:val="纯文本 字符"/>
    <w:basedOn w:val="a2"/>
    <w:link w:val="ad"/>
    <w:qFormat/>
    <w:rPr>
      <w:rFonts w:ascii="宋体" w:eastAsia="宋体" w:hAnsi="Courier New" w:cs="Courier New"/>
      <w:szCs w:val="21"/>
    </w:rPr>
  </w:style>
  <w:style w:type="character" w:customStyle="1" w:styleId="12">
    <w:name w:val="尾注文本 字符1"/>
    <w:basedOn w:val="a2"/>
    <w:link w:val="af1"/>
    <w:uiPriority w:val="99"/>
    <w:rPr>
      <w:rFonts w:ascii="Calibri" w:eastAsia="宋体" w:hAnsi="Calibri" w:cs="Times New Roman"/>
      <w:szCs w:val="24"/>
    </w:rPr>
  </w:style>
  <w:style w:type="character" w:customStyle="1" w:styleId="22">
    <w:name w:val="脚注文本 字符2"/>
    <w:basedOn w:val="a2"/>
    <w:link w:val="af8"/>
    <w:qFormat/>
    <w:rPr>
      <w:rFonts w:ascii="Calibri" w:eastAsia="宋体" w:hAnsi="Calibri" w:cs="Times New Roman"/>
      <w:sz w:val="18"/>
      <w:szCs w:val="24"/>
    </w:rPr>
  </w:style>
  <w:style w:type="paragraph" w:styleId="aff6">
    <w:name w:val="List Paragraph"/>
    <w:basedOn w:val="a0"/>
    <w:uiPriority w:val="34"/>
    <w:qFormat/>
    <w:pPr>
      <w:spacing w:line="240" w:lineRule="auto"/>
      <w:ind w:firstLine="420"/>
    </w:pPr>
    <w:rPr>
      <w:rFonts w:ascii="Calibri" w:eastAsia="宋体" w:hAnsi="Calibri" w:cs="Times New Roman"/>
      <w:sz w:val="21"/>
      <w:szCs w:val="24"/>
    </w:rPr>
  </w:style>
  <w:style w:type="paragraph" w:customStyle="1" w:styleId="WPSOffice1">
    <w:name w:val="WPSOffice手动目录 1"/>
    <w:rPr>
      <w:rFonts w:ascii="Times New Roman" w:eastAsia="宋体" w:hAnsi="Times New Roman" w:cs="Times New Roman"/>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WPSOffice3">
    <w:name w:val="WPSOffice手动目录 3"/>
    <w:pPr>
      <w:ind w:leftChars="400" w:left="400"/>
    </w:pPr>
    <w:rPr>
      <w:rFonts w:ascii="Times New Roman" w:eastAsia="宋体" w:hAnsi="Times New Roman" w:cs="Times New Roman"/>
    </w:rPr>
  </w:style>
  <w:style w:type="character" w:customStyle="1" w:styleId="s1">
    <w:name w:val="s1"/>
    <w:basedOn w:val="a2"/>
  </w:style>
  <w:style w:type="character" w:customStyle="1" w:styleId="cur">
    <w:name w:val="cur"/>
    <w:basedOn w:val="a2"/>
    <w:rPr>
      <w:shd w:val="clear" w:color="auto" w:fill="FF0000"/>
    </w:rPr>
  </w:style>
  <w:style w:type="character" w:customStyle="1" w:styleId="active2">
    <w:name w:val="active2"/>
    <w:basedOn w:val="a2"/>
    <w:rPr>
      <w:color w:val="FFFFFF"/>
      <w:shd w:val="clear" w:color="auto" w:fill="CC0001"/>
    </w:rPr>
  </w:style>
  <w:style w:type="character" w:customStyle="1" w:styleId="text">
    <w:name w:val="text"/>
    <w:basedOn w:val="a2"/>
    <w:rPr>
      <w:color w:val="333333"/>
      <w:bdr w:val="single" w:sz="6" w:space="0" w:color="DDDDDD"/>
    </w:rPr>
  </w:style>
  <w:style w:type="character" w:customStyle="1" w:styleId="fontstrikethrough">
    <w:name w:val="fontstrikethrough"/>
    <w:basedOn w:val="a2"/>
    <w:rPr>
      <w:strike/>
    </w:rPr>
  </w:style>
  <w:style w:type="character" w:customStyle="1" w:styleId="fontborder">
    <w:name w:val="fontborder"/>
    <w:basedOn w:val="a2"/>
    <w:rPr>
      <w:bdr w:val="single" w:sz="6" w:space="0" w:color="000000"/>
    </w:rPr>
  </w:style>
  <w:style w:type="character" w:customStyle="1" w:styleId="active4">
    <w:name w:val="active4"/>
    <w:basedOn w:val="a2"/>
    <w:rPr>
      <w:color w:val="FFFFFF"/>
      <w:shd w:val="clear" w:color="auto" w:fill="CC0001"/>
    </w:rPr>
  </w:style>
  <w:style w:type="paragraph" w:customStyle="1" w:styleId="TOC10">
    <w:name w:val="TOC 标题1"/>
    <w:basedOn w:val="1"/>
    <w:next w:val="a0"/>
    <w:uiPriority w:val="39"/>
    <w:unhideWhenUsed/>
    <w:qFormat/>
    <w:pPr>
      <w:widowControl/>
      <w:spacing w:before="240" w:line="259" w:lineRule="auto"/>
      <w:jc w:val="left"/>
      <w:outlineLvl w:val="9"/>
    </w:pPr>
    <w:rPr>
      <w:rFonts w:asciiTheme="majorHAnsi" w:eastAsiaTheme="majorEastAsia" w:hAnsiTheme="majorHAnsi" w:cstheme="majorBidi"/>
      <w:b/>
      <w:color w:val="2F5496" w:themeColor="accent1" w:themeShade="BF"/>
      <w:kern w:val="0"/>
      <w:szCs w:val="32"/>
    </w:rPr>
  </w:style>
  <w:style w:type="paragraph" w:customStyle="1" w:styleId="a">
    <w:name w:val="参考文献"/>
    <w:basedOn w:val="a0"/>
    <w:pPr>
      <w:numPr>
        <w:numId w:val="2"/>
      </w:numPr>
      <w:spacing w:line="240" w:lineRule="auto"/>
      <w:ind w:firstLineChars="0" w:firstLine="0"/>
    </w:pPr>
    <w:rPr>
      <w:rFonts w:ascii="Calibri" w:eastAsia="宋体" w:hAnsi="Calibri" w:cs="Times New Roman"/>
      <w:sz w:val="18"/>
      <w:szCs w:val="18"/>
    </w:rPr>
  </w:style>
  <w:style w:type="paragraph" w:customStyle="1" w:styleId="14">
    <w:name w:val="修订1"/>
    <w:hidden/>
    <w:uiPriority w:val="99"/>
    <w:semiHidden/>
    <w:rPr>
      <w:rFonts w:ascii="Calibri" w:eastAsia="宋体" w:hAnsi="Calibri" w:cs="Times New Roman"/>
      <w:kern w:val="2"/>
      <w:sz w:val="21"/>
      <w:szCs w:val="24"/>
    </w:rPr>
  </w:style>
  <w:style w:type="paragraph" w:customStyle="1" w:styleId="aff7">
    <w:name w:val="作者"/>
    <w:basedOn w:val="a0"/>
    <w:pPr>
      <w:widowControl/>
      <w:spacing w:line="240" w:lineRule="auto"/>
      <w:ind w:firstLineChars="0" w:firstLine="0"/>
      <w:jc w:val="center"/>
    </w:pPr>
    <w:rPr>
      <w:rFonts w:eastAsia="宋体" w:cs="Times New Roman"/>
      <w:kern w:val="0"/>
      <w:sz w:val="24"/>
      <w:szCs w:val="24"/>
      <w:lang w:eastAsia="en-US"/>
    </w:rPr>
  </w:style>
  <w:style w:type="character" w:customStyle="1" w:styleId="af0">
    <w:name w:val="日期 字符"/>
    <w:basedOn w:val="a2"/>
    <w:link w:val="af"/>
    <w:uiPriority w:val="99"/>
    <w:semiHidden/>
    <w:qFormat/>
  </w:style>
  <w:style w:type="character" w:customStyle="1" w:styleId="Char1">
    <w:name w:val="日期 Char1"/>
    <w:basedOn w:val="a2"/>
    <w:uiPriority w:val="99"/>
    <w:semiHidden/>
    <w:rPr>
      <w:rFonts w:ascii="Times New Roman" w:eastAsia="方正仿宋_GBK" w:hAnsi="Times New Roman" w:cs="宋体"/>
      <w:sz w:val="30"/>
      <w:szCs w:val="28"/>
    </w:rPr>
  </w:style>
  <w:style w:type="character" w:customStyle="1" w:styleId="Char">
    <w:name w:val="图标题 Char"/>
    <w:link w:val="aff8"/>
    <w:locked/>
    <w:rPr>
      <w:rFonts w:ascii="Times New Roman" w:eastAsia="黑体" w:hAnsi="Times New Roman" w:cs="Times New Roman"/>
      <w:bCs/>
      <w:sz w:val="28"/>
      <w:szCs w:val="28"/>
    </w:rPr>
  </w:style>
  <w:style w:type="paragraph" w:customStyle="1" w:styleId="aff8">
    <w:name w:val="图标题"/>
    <w:basedOn w:val="4"/>
    <w:next w:val="a0"/>
    <w:link w:val="Char"/>
    <w:pPr>
      <w:wordWrap w:val="0"/>
      <w:ind w:firstLineChars="0" w:firstLine="0"/>
      <w:jc w:val="center"/>
    </w:pPr>
    <w:rPr>
      <w:rFonts w:eastAsia="黑体"/>
      <w:sz w:val="28"/>
    </w:rPr>
  </w:style>
  <w:style w:type="character" w:customStyle="1" w:styleId="aff9">
    <w:name w:val="二级标题 字符"/>
    <w:basedOn w:val="a2"/>
    <w:link w:val="affa"/>
    <w:qFormat/>
    <w:locked/>
    <w:rPr>
      <w:rFonts w:ascii="Times New Roman" w:eastAsia="楷体_GB2312" w:hAnsi="Times New Roman" w:cs="Times New Roman"/>
      <w:spacing w:val="6"/>
      <w:sz w:val="32"/>
      <w:szCs w:val="21"/>
    </w:rPr>
  </w:style>
  <w:style w:type="paragraph" w:customStyle="1" w:styleId="affa">
    <w:name w:val="二级标题"/>
    <w:basedOn w:val="a0"/>
    <w:next w:val="a0"/>
    <w:link w:val="aff9"/>
    <w:pPr>
      <w:topLinePunct/>
      <w:autoSpaceDN w:val="0"/>
      <w:spacing w:line="560" w:lineRule="atLeast"/>
      <w:ind w:firstLine="200"/>
      <w:outlineLvl w:val="1"/>
    </w:pPr>
    <w:rPr>
      <w:rFonts w:eastAsia="楷体_GB2312" w:cs="Times New Roman"/>
      <w:spacing w:val="6"/>
      <w:sz w:val="32"/>
      <w:szCs w:val="21"/>
    </w:rPr>
  </w:style>
  <w:style w:type="paragraph" w:customStyle="1" w:styleId="TOC21">
    <w:name w:val="TOC 标题2"/>
    <w:basedOn w:val="1"/>
    <w:next w:val="a0"/>
    <w:uiPriority w:val="39"/>
    <w:unhideWhenUsed/>
    <w:qFormat/>
    <w:pPr>
      <w:widowControl/>
      <w:spacing w:before="240" w:line="259" w:lineRule="auto"/>
      <w:jc w:val="left"/>
      <w:outlineLvl w:val="9"/>
    </w:pPr>
    <w:rPr>
      <w:rFonts w:asciiTheme="majorHAnsi" w:eastAsiaTheme="majorEastAsia" w:hAnsiTheme="majorHAnsi" w:cstheme="majorBidi"/>
      <w:b/>
      <w:bCs/>
      <w:color w:val="2F5496" w:themeColor="accent1" w:themeShade="BF"/>
      <w:kern w:val="0"/>
      <w:sz w:val="32"/>
      <w:szCs w:val="32"/>
    </w:rPr>
  </w:style>
  <w:style w:type="paragraph" w:customStyle="1" w:styleId="affb">
    <w:name w:val="图题"/>
    <w:basedOn w:val="a0"/>
    <w:link w:val="Char0"/>
    <w:qFormat/>
    <w:pPr>
      <w:adjustRightInd w:val="0"/>
      <w:snapToGrid w:val="0"/>
      <w:spacing w:beforeLines="50" w:before="120" w:afterLines="100" w:after="240" w:line="240" w:lineRule="auto"/>
      <w:ind w:firstLineChars="0" w:firstLine="0"/>
      <w:jc w:val="center"/>
    </w:pPr>
    <w:rPr>
      <w:rFonts w:eastAsia="宋体" w:cs="Times New Roman"/>
      <w:b/>
      <w:bCs/>
      <w:kern w:val="0"/>
      <w:sz w:val="24"/>
      <w:szCs w:val="21"/>
    </w:rPr>
  </w:style>
  <w:style w:type="character" w:customStyle="1" w:styleId="Char0">
    <w:name w:val="图题 Char"/>
    <w:basedOn w:val="a2"/>
    <w:link w:val="affb"/>
    <w:rPr>
      <w:rFonts w:ascii="Times New Roman" w:eastAsia="宋体" w:hAnsi="Times New Roman" w:cs="Times New Roman"/>
      <w:b/>
      <w:bCs/>
      <w:sz w:val="24"/>
      <w:szCs w:val="21"/>
    </w:rPr>
  </w:style>
  <w:style w:type="paragraph" w:customStyle="1" w:styleId="affc">
    <w:name w:val="图行"/>
    <w:basedOn w:val="a0"/>
    <w:link w:val="Char2"/>
    <w:qFormat/>
    <w:pPr>
      <w:adjustRightInd w:val="0"/>
      <w:snapToGrid w:val="0"/>
      <w:spacing w:line="240" w:lineRule="auto"/>
      <w:ind w:firstLineChars="0" w:firstLine="0"/>
      <w:jc w:val="center"/>
    </w:pPr>
    <w:rPr>
      <w:rFonts w:eastAsia="宋体" w:cs="Times New Roman"/>
      <w:kern w:val="0"/>
      <w:sz w:val="24"/>
      <w:szCs w:val="24"/>
    </w:rPr>
  </w:style>
  <w:style w:type="character" w:customStyle="1" w:styleId="Char2">
    <w:name w:val="图行 Char"/>
    <w:basedOn w:val="a2"/>
    <w:link w:val="affc"/>
    <w:rPr>
      <w:rFonts w:ascii="Times New Roman" w:eastAsia="宋体" w:hAnsi="Times New Roman" w:cs="Times New Roman"/>
      <w:sz w:val="24"/>
      <w:szCs w:val="24"/>
    </w:rPr>
  </w:style>
  <w:style w:type="paragraph" w:customStyle="1" w:styleId="affd">
    <w:name w:val="表题"/>
    <w:basedOn w:val="affb"/>
    <w:link w:val="Char3"/>
    <w:qFormat/>
    <w:pPr>
      <w:spacing w:afterLines="50" w:after="120"/>
    </w:pPr>
  </w:style>
  <w:style w:type="character" w:customStyle="1" w:styleId="Char3">
    <w:name w:val="表题 Char"/>
    <w:basedOn w:val="Char0"/>
    <w:link w:val="affd"/>
    <w:rPr>
      <w:rFonts w:ascii="Times New Roman" w:eastAsia="仿宋" w:hAnsi="Times New Roman" w:cs="Times New Roman"/>
      <w:b/>
      <w:bCs/>
      <w:sz w:val="24"/>
      <w:szCs w:val="21"/>
    </w:rPr>
  </w:style>
  <w:style w:type="character" w:customStyle="1" w:styleId="aa">
    <w:name w:val="正文文本 字符"/>
    <w:basedOn w:val="a2"/>
    <w:link w:val="a9"/>
    <w:qFormat/>
    <w:rPr>
      <w:rFonts w:ascii="Times New Roman" w:eastAsia="宋体" w:hAnsi="Times New Roman" w:cs="Times New Roman"/>
      <w:sz w:val="24"/>
      <w:szCs w:val="24"/>
    </w:rPr>
  </w:style>
  <w:style w:type="table" w:customStyle="1" w:styleId="3-51">
    <w:name w:val="网格表 3 - 着色 51"/>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
    <w:name w:val="无格式表格 31"/>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
    <w:name w:val="网格表 3 - 着色 61"/>
    <w:basedOn w:val="a3"/>
    <w:uiPriority w:val="48"/>
    <w:qFormat/>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
    <w:name w:val="网格表 3 - 着色 21"/>
    <w:basedOn w:val="a3"/>
    <w:uiPriority w:val="48"/>
    <w:qFormat/>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
    <w:name w:val="无格式表格 32"/>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
    <w:name w:val="网格表 3 - 着色 52"/>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24">
    <w:name w:val="正文文本首行缩进 2 字符"/>
    <w:basedOn w:val="ac"/>
    <w:link w:val="23"/>
    <w:rPr>
      <w:rFonts w:ascii="Calibri" w:eastAsia="宋体" w:hAnsi="Calibri" w:cs="Times New Roman"/>
      <w:kern w:val="0"/>
      <w:sz w:val="28"/>
      <w:szCs w:val="24"/>
    </w:rPr>
  </w:style>
  <w:style w:type="paragraph" w:customStyle="1" w:styleId="15">
    <w:name w:val="普通(网站)1"/>
    <w:basedOn w:val="a0"/>
    <w:pPr>
      <w:spacing w:line="240" w:lineRule="auto"/>
      <w:ind w:firstLineChars="0" w:firstLine="0"/>
      <w:jc w:val="left"/>
    </w:pPr>
    <w:rPr>
      <w:rFonts w:eastAsia="宋体" w:cs="Times New Roman"/>
      <w:kern w:val="0"/>
      <w:sz w:val="24"/>
      <w:szCs w:val="24"/>
    </w:rPr>
  </w:style>
  <w:style w:type="character" w:customStyle="1" w:styleId="a7">
    <w:name w:val="文档结构图 字符"/>
    <w:link w:val="a6"/>
    <w:uiPriority w:val="99"/>
    <w:rPr>
      <w:rFonts w:ascii="宋体" w:eastAsia="宋体" w:hAnsi="Times New Roman" w:cs="Times New Roman"/>
      <w:sz w:val="18"/>
      <w:szCs w:val="18"/>
    </w:rPr>
  </w:style>
  <w:style w:type="character" w:customStyle="1" w:styleId="Char4">
    <w:name w:val="文档结构图 Char"/>
    <w:basedOn w:val="a2"/>
    <w:uiPriority w:val="99"/>
    <w:rPr>
      <w:rFonts w:ascii="Microsoft YaHei UI" w:eastAsia="Microsoft YaHei UI" w:hAnsi="Times New Roman" w:cs="宋体"/>
      <w:sz w:val="18"/>
      <w:szCs w:val="18"/>
    </w:rPr>
  </w:style>
  <w:style w:type="character" w:customStyle="1" w:styleId="af3">
    <w:name w:val="批注框文本 字符"/>
    <w:link w:val="af2"/>
    <w:uiPriority w:val="99"/>
    <w:rPr>
      <w:rFonts w:ascii="Times New Roman" w:eastAsia="宋体" w:hAnsi="Times New Roman" w:cs="Times New Roman"/>
      <w:sz w:val="18"/>
      <w:szCs w:val="18"/>
    </w:rPr>
  </w:style>
  <w:style w:type="character" w:customStyle="1" w:styleId="Char5">
    <w:name w:val="批注框文本 Char"/>
    <w:basedOn w:val="a2"/>
    <w:uiPriority w:val="99"/>
    <w:qFormat/>
    <w:rPr>
      <w:rFonts w:ascii="Times New Roman" w:eastAsia="方正仿宋_GBK" w:hAnsi="Times New Roman" w:cs="宋体"/>
      <w:sz w:val="18"/>
      <w:szCs w:val="18"/>
    </w:rPr>
  </w:style>
  <w:style w:type="character" w:customStyle="1" w:styleId="afd">
    <w:name w:val="批注主题 字符"/>
    <w:link w:val="afc"/>
    <w:uiPriority w:val="99"/>
    <w:rPr>
      <w:rFonts w:ascii="Calibri" w:eastAsia="宋体" w:hAnsi="Calibri" w:cs="Times New Roman"/>
      <w:b/>
      <w:bCs/>
    </w:rPr>
  </w:style>
  <w:style w:type="character" w:customStyle="1" w:styleId="Char6">
    <w:name w:val="批注主题 Char"/>
    <w:basedOn w:val="10"/>
    <w:uiPriority w:val="99"/>
    <w:rPr>
      <w:rFonts w:ascii="Times New Roman" w:eastAsia="方正仿宋_GBK" w:hAnsi="Times New Roman" w:cs="宋体"/>
      <w:b/>
      <w:bCs/>
      <w:kern w:val="0"/>
      <w:sz w:val="30"/>
      <w:szCs w:val="28"/>
    </w:rPr>
  </w:style>
  <w:style w:type="paragraph" w:styleId="affe">
    <w:name w:val="No Spacing"/>
    <w:link w:val="afff"/>
    <w:uiPriority w:val="1"/>
    <w:pPr>
      <w:widowControl w:val="0"/>
      <w:ind w:firstLineChars="200" w:firstLine="200"/>
      <w:jc w:val="both"/>
    </w:pPr>
    <w:rPr>
      <w:rFonts w:ascii="Times New Roman" w:eastAsia="宋体" w:hAnsi="Times New Roman" w:cs="Times New Roman"/>
      <w:kern w:val="2"/>
      <w:sz w:val="21"/>
      <w:szCs w:val="22"/>
    </w:rPr>
  </w:style>
  <w:style w:type="character" w:customStyle="1" w:styleId="afff">
    <w:name w:val="无间隔 字符"/>
    <w:link w:val="affe"/>
    <w:uiPriority w:val="1"/>
    <w:rPr>
      <w:rFonts w:ascii="Times New Roman" w:eastAsia="宋体" w:hAnsi="Times New Roman" w:cs="Times New Roman"/>
    </w:rPr>
  </w:style>
  <w:style w:type="character" w:customStyle="1" w:styleId="16">
    <w:name w:val="标题 1 字符"/>
    <w:uiPriority w:val="9"/>
    <w:rPr>
      <w:b/>
      <w:bCs/>
      <w:kern w:val="44"/>
      <w:sz w:val="44"/>
      <w:szCs w:val="44"/>
    </w:rPr>
  </w:style>
  <w:style w:type="character" w:customStyle="1" w:styleId="40">
    <w:name w:val="标题 4 字符"/>
    <w:uiPriority w:val="9"/>
    <w:rPr>
      <w:rFonts w:ascii="Cambria" w:hAnsi="Cambria"/>
      <w:b/>
      <w:bCs/>
      <w:kern w:val="2"/>
      <w:sz w:val="28"/>
      <w:szCs w:val="28"/>
    </w:rPr>
  </w:style>
  <w:style w:type="paragraph" w:customStyle="1" w:styleId="Style101">
    <w:name w:val="_Style 101"/>
    <w:basedOn w:val="a0"/>
    <w:next w:val="aff6"/>
    <w:uiPriority w:val="34"/>
    <w:qFormat/>
    <w:pPr>
      <w:spacing w:line="400" w:lineRule="exact"/>
      <w:ind w:firstLine="420"/>
    </w:pPr>
    <w:rPr>
      <w:rFonts w:eastAsia="宋体" w:cs="Times New Roman"/>
      <w:sz w:val="21"/>
      <w:szCs w:val="22"/>
    </w:rPr>
  </w:style>
  <w:style w:type="character" w:customStyle="1" w:styleId="afff0">
    <w:name w:val="批注文字 字符"/>
    <w:uiPriority w:val="99"/>
    <w:rPr>
      <w:rFonts w:ascii="Calibri" w:hAnsi="Calibri"/>
      <w:kern w:val="2"/>
      <w:sz w:val="21"/>
      <w:szCs w:val="22"/>
    </w:rPr>
  </w:style>
  <w:style w:type="character" w:customStyle="1" w:styleId="afff1">
    <w:name w:val="尾注文本 字符"/>
    <w:uiPriority w:val="99"/>
    <w:rPr>
      <w:kern w:val="2"/>
      <w:sz w:val="21"/>
      <w:szCs w:val="22"/>
    </w:rPr>
  </w:style>
  <w:style w:type="character" w:customStyle="1" w:styleId="17">
    <w:name w:val="页脚 字符1"/>
    <w:uiPriority w:val="99"/>
    <w:rPr>
      <w:rFonts w:ascii="Calibri" w:hAnsi="Calibri"/>
      <w:kern w:val="2"/>
      <w:sz w:val="18"/>
      <w:szCs w:val="18"/>
    </w:rPr>
  </w:style>
  <w:style w:type="character" w:customStyle="1" w:styleId="afff2">
    <w:name w:val="页眉 字符"/>
    <w:uiPriority w:val="99"/>
    <w:rPr>
      <w:rFonts w:ascii="Calibri" w:hAnsi="Calibri"/>
      <w:kern w:val="2"/>
      <w:sz w:val="18"/>
      <w:szCs w:val="18"/>
    </w:rPr>
  </w:style>
  <w:style w:type="character" w:customStyle="1" w:styleId="18">
    <w:name w:val="脚注文本 字符1"/>
    <w:rPr>
      <w:rFonts w:ascii="Calibri" w:hAnsi="Calibri"/>
      <w:kern w:val="2"/>
      <w:sz w:val="18"/>
      <w:szCs w:val="18"/>
    </w:rPr>
  </w:style>
  <w:style w:type="table" w:customStyle="1" w:styleId="19">
    <w:name w:val="网格型1"/>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inary-span-edit2">
    <w:name w:val="ordinary-span-edit2"/>
  </w:style>
  <w:style w:type="character" w:customStyle="1" w:styleId="high-light-bg4">
    <w:name w:val="high-light-bg4"/>
  </w:style>
  <w:style w:type="character" w:customStyle="1" w:styleId="apple-converted-space">
    <w:name w:val="apple-converted-space"/>
  </w:style>
  <w:style w:type="character" w:customStyle="1" w:styleId="highlight">
    <w:name w:val="highlight"/>
  </w:style>
  <w:style w:type="character" w:customStyle="1" w:styleId="contenttitle3">
    <w:name w:val="contenttitle3"/>
    <w:rPr>
      <w:b/>
      <w:bCs/>
      <w:color w:val="35A1D4"/>
    </w:rPr>
  </w:style>
  <w:style w:type="character" w:customStyle="1" w:styleId="titlefont">
    <w:name w:val="titlefont"/>
  </w:style>
  <w:style w:type="paragraph" w:customStyle="1" w:styleId="tgt1">
    <w:name w:val="tgt1"/>
    <w:basedOn w:val="a0"/>
    <w:pPr>
      <w:widowControl/>
      <w:spacing w:after="150" w:line="360" w:lineRule="auto"/>
      <w:ind w:firstLineChars="0" w:firstLine="0"/>
      <w:jc w:val="left"/>
    </w:pPr>
    <w:rPr>
      <w:rFonts w:ascii="宋体" w:eastAsia="宋体" w:hAnsi="宋体"/>
      <w:kern w:val="0"/>
      <w:sz w:val="24"/>
      <w:szCs w:val="24"/>
    </w:rPr>
  </w:style>
  <w:style w:type="character" w:customStyle="1" w:styleId="afff3">
    <w:name w:val="脚注文本 字符"/>
    <w:rPr>
      <w:sz w:val="18"/>
      <w:szCs w:val="18"/>
    </w:rPr>
  </w:style>
  <w:style w:type="character" w:customStyle="1" w:styleId="1a">
    <w:name w:val="未处理的提及1"/>
    <w:uiPriority w:val="99"/>
    <w:unhideWhenUsed/>
    <w:rPr>
      <w:color w:val="605E5C"/>
      <w:shd w:val="clear" w:color="auto" w:fill="E1DFDD"/>
    </w:rPr>
  </w:style>
  <w:style w:type="character" w:customStyle="1" w:styleId="afff4">
    <w:name w:val="页脚 字符"/>
    <w:uiPriority w:val="99"/>
  </w:style>
  <w:style w:type="table" w:customStyle="1" w:styleId="110">
    <w:name w:val="网格型11"/>
    <w:basedOn w:val="a3"/>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Placeholder Text"/>
    <w:uiPriority w:val="99"/>
    <w:semiHidden/>
    <w:rPr>
      <w:color w:val="808080"/>
    </w:rPr>
  </w:style>
  <w:style w:type="paragraph" w:customStyle="1" w:styleId="afff6">
    <w:name w:val="预测正文"/>
    <w:pPr>
      <w:widowControl w:val="0"/>
      <w:adjustRightInd w:val="0"/>
      <w:snapToGrid w:val="0"/>
      <w:spacing w:line="510" w:lineRule="exact"/>
      <w:ind w:firstLineChars="200" w:firstLine="598"/>
      <w:jc w:val="both"/>
    </w:pPr>
    <w:rPr>
      <w:rFonts w:ascii="仿宋_GB2312" w:eastAsia="仿宋_GB2312" w:hAnsi="仿宋_GB2312" w:cs="Times New Roman"/>
      <w:kern w:val="2"/>
      <w:sz w:val="28"/>
      <w:szCs w:val="28"/>
    </w:rPr>
  </w:style>
  <w:style w:type="paragraph" w:customStyle="1" w:styleId="25">
    <w:name w:val="预测标题2"/>
    <w:pPr>
      <w:widowControl w:val="0"/>
      <w:adjustRightInd w:val="0"/>
      <w:snapToGrid w:val="0"/>
      <w:spacing w:beforeLines="50" w:before="240" w:afterLines="50" w:after="240" w:line="510" w:lineRule="exact"/>
      <w:ind w:firstLineChars="200" w:firstLine="599"/>
      <w:jc w:val="both"/>
    </w:pPr>
    <w:rPr>
      <w:rFonts w:ascii="黑体" w:eastAsia="黑体" w:hAnsi="黑体" w:cs="Times New Roman"/>
      <w:b/>
      <w:kern w:val="2"/>
      <w:sz w:val="28"/>
      <w:szCs w:val="28"/>
    </w:rPr>
  </w:style>
  <w:style w:type="paragraph" w:customStyle="1" w:styleId="afff7">
    <w:name w:val="预测表头"/>
    <w:pPr>
      <w:widowControl w:val="0"/>
      <w:adjustRightInd w:val="0"/>
      <w:snapToGrid w:val="0"/>
      <w:spacing w:beforeLines="50" w:before="240" w:line="360" w:lineRule="exact"/>
      <w:jc w:val="center"/>
    </w:pPr>
    <w:rPr>
      <w:rFonts w:ascii="宋体" w:eastAsia="宋体" w:hAnsi="宋体" w:cs="Times New Roman"/>
      <w:b/>
      <w:kern w:val="2"/>
      <w:sz w:val="24"/>
      <w:szCs w:val="24"/>
    </w:rPr>
  </w:style>
  <w:style w:type="paragraph" w:customStyle="1" w:styleId="afff8">
    <w:name w:val="预测表格"/>
    <w:pPr>
      <w:widowControl w:val="0"/>
      <w:adjustRightInd w:val="0"/>
      <w:snapToGrid w:val="0"/>
      <w:jc w:val="both"/>
    </w:pPr>
    <w:rPr>
      <w:rFonts w:ascii="仿宋_GB2312" w:eastAsia="宋体" w:hAnsi="仿宋_GB2312" w:cs="Times New Roman" w:hint="eastAsia"/>
      <w:kern w:val="2"/>
      <w:sz w:val="21"/>
      <w:szCs w:val="28"/>
    </w:rPr>
  </w:style>
  <w:style w:type="character" w:customStyle="1" w:styleId="afb">
    <w:name w:val="标题 字符"/>
    <w:basedOn w:val="a2"/>
    <w:link w:val="afa"/>
    <w:uiPriority w:val="10"/>
    <w:qFormat/>
    <w:rPr>
      <w:rFonts w:asciiTheme="majorHAnsi" w:eastAsia="黑体" w:hAnsiTheme="majorHAnsi" w:cstheme="majorBidi"/>
      <w:b/>
      <w:bCs/>
      <w:sz w:val="32"/>
      <w:szCs w:val="32"/>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pPr>
      <w:autoSpaceDE w:val="0"/>
      <w:autoSpaceDN w:val="0"/>
      <w:spacing w:before="76" w:line="240" w:lineRule="auto"/>
      <w:ind w:firstLineChars="0" w:firstLine="0"/>
      <w:jc w:val="center"/>
    </w:pPr>
    <w:rPr>
      <w:rFonts w:ascii="Arial Unicode MS" w:eastAsia="Arial Unicode MS" w:hAnsi="Arial Unicode MS" w:cs="Arial Unicode MS"/>
      <w:kern w:val="0"/>
      <w:sz w:val="22"/>
      <w:szCs w:val="22"/>
      <w:lang w:val="zh-CN" w:bidi="zh-CN"/>
    </w:rPr>
  </w:style>
  <w:style w:type="paragraph" w:customStyle="1" w:styleId="afff9">
    <w:name w:val="脚注"/>
    <w:basedOn w:val="a0"/>
    <w:pPr>
      <w:spacing w:line="360" w:lineRule="auto"/>
      <w:ind w:firstLine="420"/>
    </w:pPr>
    <w:rPr>
      <w:rFonts w:ascii="黑体" w:eastAsia="黑体" w:hAnsi="黑体" w:cstheme="minorBidi"/>
      <w:sz w:val="21"/>
      <w:szCs w:val="21"/>
    </w:rPr>
  </w:style>
  <w:style w:type="paragraph" w:customStyle="1" w:styleId="111">
    <w:name w:val="修订11"/>
    <w:hidden/>
    <w:uiPriority w:val="99"/>
    <w:semiHidden/>
    <w:rPr>
      <w:kern w:val="2"/>
      <w:sz w:val="21"/>
      <w:szCs w:val="24"/>
    </w:rPr>
  </w:style>
  <w:style w:type="character" w:customStyle="1" w:styleId="1b">
    <w:name w:val="纯文本 字符1"/>
    <w:basedOn w:val="a2"/>
    <w:rPr>
      <w:rFonts w:asciiTheme="minorEastAsia" w:eastAsiaTheme="minorEastAsia" w:hAnsi="Courier New" w:cs="Courier New"/>
      <w:kern w:val="2"/>
      <w:sz w:val="21"/>
      <w:szCs w:val="24"/>
    </w:rPr>
  </w:style>
  <w:style w:type="paragraph" w:customStyle="1" w:styleId="afffa">
    <w:name w:val="摘要"/>
    <w:basedOn w:val="a0"/>
    <w:link w:val="Char7"/>
    <w:qFormat/>
    <w:pPr>
      <w:spacing w:afterLines="50" w:after="120" w:line="360" w:lineRule="auto"/>
      <w:ind w:firstLineChars="0" w:firstLine="0"/>
      <w:jc w:val="center"/>
    </w:pPr>
    <w:rPr>
      <w:rFonts w:ascii="黑体" w:eastAsia="黑体" w:hAnsi="黑体"/>
      <w:bCs/>
      <w:sz w:val="24"/>
      <w:szCs w:val="24"/>
    </w:rPr>
  </w:style>
  <w:style w:type="character" w:customStyle="1" w:styleId="Char7">
    <w:name w:val="摘要 Char"/>
    <w:basedOn w:val="a2"/>
    <w:link w:val="afffa"/>
    <w:rPr>
      <w:rFonts w:ascii="黑体" w:eastAsia="黑体" w:hAnsi="黑体" w:cs="宋体"/>
      <w:bCs/>
      <w:sz w:val="24"/>
      <w:szCs w:val="24"/>
    </w:rPr>
  </w:style>
  <w:style w:type="paragraph" w:customStyle="1" w:styleId="afffb">
    <w:name w:val="空行"/>
    <w:basedOn w:val="a0"/>
    <w:link w:val="Char8"/>
    <w:qFormat/>
    <w:pPr>
      <w:snapToGrid w:val="0"/>
      <w:spacing w:line="240" w:lineRule="auto"/>
      <w:ind w:firstLineChars="0" w:firstLine="0"/>
    </w:pPr>
    <w:rPr>
      <w:rFonts w:eastAsia="宋体" w:cs="Times New Roman"/>
      <w:sz w:val="24"/>
      <w:szCs w:val="24"/>
    </w:rPr>
  </w:style>
  <w:style w:type="paragraph" w:customStyle="1" w:styleId="afffc">
    <w:name w:val="专栏"/>
    <w:basedOn w:val="a0"/>
    <w:link w:val="Char9"/>
    <w:pPr>
      <w:snapToGrid w:val="0"/>
      <w:spacing w:beforeLines="100" w:before="240" w:after="120" w:line="360" w:lineRule="auto"/>
      <w:ind w:firstLineChars="0" w:firstLine="0"/>
      <w:jc w:val="center"/>
    </w:pPr>
    <w:rPr>
      <w:rFonts w:ascii="仿宋" w:eastAsia="仿宋" w:hAnsi="仿宋" w:cs="Times New Roman"/>
      <w:b/>
      <w:bCs/>
      <w:sz w:val="24"/>
      <w:szCs w:val="24"/>
    </w:rPr>
  </w:style>
  <w:style w:type="character" w:customStyle="1" w:styleId="TOC20">
    <w:name w:val="TOC 2 字符"/>
    <w:basedOn w:val="a2"/>
    <w:link w:val="TOC2"/>
    <w:rPr>
      <w:rFonts w:ascii="Times New Roman" w:eastAsia="宋体" w:hAnsi="Times New Roman" w:cs="Times New Roman"/>
      <w:smallCaps/>
      <w:sz w:val="24"/>
      <w:szCs w:val="24"/>
    </w:rPr>
  </w:style>
  <w:style w:type="character" w:customStyle="1" w:styleId="Char8">
    <w:name w:val="空行 Char"/>
    <w:basedOn w:val="TOC20"/>
    <w:link w:val="afffb"/>
    <w:rPr>
      <w:rFonts w:ascii="Times New Roman" w:eastAsia="宋体" w:hAnsi="Times New Roman" w:cs="Times New Roman"/>
      <w:smallCaps w:val="0"/>
      <w:kern w:val="2"/>
      <w:sz w:val="24"/>
      <w:szCs w:val="24"/>
    </w:rPr>
  </w:style>
  <w:style w:type="paragraph" w:customStyle="1" w:styleId="afffd">
    <w:name w:val="图注"/>
    <w:basedOn w:val="a0"/>
    <w:link w:val="Chara"/>
    <w:qFormat/>
    <w:pPr>
      <w:snapToGrid w:val="0"/>
      <w:spacing w:beforeLines="50" w:before="120" w:line="360" w:lineRule="auto"/>
      <w:ind w:firstLine="420"/>
    </w:pPr>
    <w:rPr>
      <w:rFonts w:eastAsia="宋体" w:cs="楷体_GB2312"/>
      <w:sz w:val="21"/>
      <w:szCs w:val="21"/>
    </w:rPr>
  </w:style>
  <w:style w:type="character" w:customStyle="1" w:styleId="Char9">
    <w:name w:val="专栏 Char"/>
    <w:basedOn w:val="a2"/>
    <w:link w:val="afffc"/>
    <w:rPr>
      <w:rFonts w:ascii="仿宋" w:eastAsia="仿宋" w:hAnsi="仿宋" w:cs="Times New Roman"/>
      <w:b/>
      <w:bCs/>
      <w:kern w:val="2"/>
      <w:sz w:val="24"/>
      <w:szCs w:val="24"/>
    </w:rPr>
  </w:style>
  <w:style w:type="character" w:customStyle="1" w:styleId="Chara">
    <w:name w:val="图注 Char"/>
    <w:basedOn w:val="a2"/>
    <w:link w:val="afffd"/>
    <w:rPr>
      <w:rFonts w:ascii="Times New Roman" w:eastAsia="宋体" w:hAnsi="Times New Roman" w:cs="楷体_GB2312"/>
      <w:kern w:val="2"/>
      <w:sz w:val="21"/>
      <w:szCs w:val="21"/>
    </w:rPr>
  </w:style>
  <w:style w:type="character" w:customStyle="1" w:styleId="150">
    <w:name w:val="15"/>
    <w:rPr>
      <w:rFonts w:ascii="Times New Roman" w:hAnsi="Times New Roman" w:cs="Times New Roman" w:hint="default"/>
      <w:sz w:val="21"/>
      <w:szCs w:val="21"/>
    </w:rPr>
  </w:style>
  <w:style w:type="character" w:customStyle="1" w:styleId="definedword">
    <w:name w:val="definedword"/>
    <w:basedOn w:val="a2"/>
    <w:rPr>
      <w:rFonts w:ascii="Times New Roman" w:hAnsi="Times New Roman" w:cs="Times New Roman" w:hint="default"/>
    </w:rPr>
  </w:style>
  <w:style w:type="character" w:customStyle="1" w:styleId="Charb">
    <w:name w:val="我的正文 Char"/>
    <w:basedOn w:val="a2"/>
    <w:link w:val="afffe"/>
    <w:locked/>
    <w:rPr>
      <w:rFonts w:ascii="宋体" w:eastAsia="宋体" w:hAnsi="宋体"/>
      <w:szCs w:val="24"/>
    </w:rPr>
  </w:style>
  <w:style w:type="paragraph" w:customStyle="1" w:styleId="afffe">
    <w:name w:val="我的正文"/>
    <w:basedOn w:val="a0"/>
    <w:link w:val="Charb"/>
    <w:pPr>
      <w:adjustRightInd w:val="0"/>
      <w:spacing w:before="240" w:line="240" w:lineRule="auto"/>
      <w:ind w:firstLine="475"/>
    </w:pPr>
    <w:rPr>
      <w:rFonts w:ascii="宋体" w:eastAsia="宋体" w:hAnsi="宋体" w:cstheme="minorBidi"/>
      <w:kern w:val="0"/>
      <w:sz w:val="20"/>
      <w:szCs w:val="24"/>
    </w:rPr>
  </w:style>
  <w:style w:type="character" w:customStyle="1" w:styleId="2Char">
    <w:name w:val="标题2 Char"/>
    <w:basedOn w:val="a2"/>
    <w:link w:val="26"/>
    <w:locked/>
    <w:rPr>
      <w:sz w:val="28"/>
      <w:szCs w:val="24"/>
    </w:rPr>
  </w:style>
  <w:style w:type="paragraph" w:customStyle="1" w:styleId="26">
    <w:name w:val="标题2"/>
    <w:basedOn w:val="a0"/>
    <w:link w:val="2Char"/>
    <w:pPr>
      <w:adjustRightInd w:val="0"/>
      <w:spacing w:line="240" w:lineRule="auto"/>
      <w:ind w:firstLineChars="0" w:firstLine="0"/>
      <w:jc w:val="left"/>
      <w:outlineLvl w:val="2"/>
    </w:pPr>
    <w:rPr>
      <w:rFonts w:asciiTheme="minorHAnsi" w:eastAsiaTheme="minorEastAsia" w:hAnsiTheme="minorHAnsi" w:cstheme="minorBidi"/>
      <w:kern w:val="0"/>
      <w:sz w:val="28"/>
      <w:szCs w:val="24"/>
    </w:rPr>
  </w:style>
  <w:style w:type="character" w:customStyle="1" w:styleId="Charc">
    <w:name w:val="表格 Char"/>
    <w:basedOn w:val="a2"/>
    <w:link w:val="affff"/>
    <w:locked/>
    <w:rPr>
      <w:rFonts w:ascii="宋体" w:eastAsia="宋体" w:hAnsi="宋体" w:cs="宋体"/>
      <w:szCs w:val="24"/>
    </w:rPr>
  </w:style>
  <w:style w:type="paragraph" w:customStyle="1" w:styleId="affff">
    <w:name w:val="表格"/>
    <w:basedOn w:val="a0"/>
    <w:link w:val="Charc"/>
    <w:pPr>
      <w:spacing w:line="400" w:lineRule="exact"/>
      <w:ind w:firstLineChars="0" w:firstLine="0"/>
      <w:jc w:val="center"/>
    </w:pPr>
    <w:rPr>
      <w:rFonts w:ascii="宋体" w:eastAsia="宋体" w:hAnsi="宋体"/>
      <w:kern w:val="0"/>
      <w:sz w:val="20"/>
      <w:szCs w:val="24"/>
    </w:rPr>
  </w:style>
  <w:style w:type="paragraph" w:customStyle="1" w:styleId="Normal-TableGrid-BR2">
    <w:name w:val="Normal-TableGrid-BR2"/>
    <w:rPr>
      <w:rFonts w:eastAsiaTheme="minorHAnsi"/>
      <w:sz w:val="22"/>
      <w:szCs w:val="22"/>
    </w:rPr>
  </w:style>
  <w:style w:type="character" w:customStyle="1" w:styleId="font11">
    <w:name w:val="font11"/>
    <w:basedOn w:val="a2"/>
    <w:rPr>
      <w:rFonts w:ascii="方正仿宋_GBK" w:eastAsia="方正仿宋_GBK" w:hAnsi="方正仿宋_GBK" w:cs="方正仿宋_GBK"/>
      <w:color w:val="000000"/>
      <w:sz w:val="22"/>
      <w:szCs w:val="22"/>
      <w:u w:val="none"/>
    </w:rPr>
  </w:style>
  <w:style w:type="character" w:customStyle="1" w:styleId="font21">
    <w:name w:val="font21"/>
    <w:basedOn w:val="a2"/>
    <w:rPr>
      <w:rFonts w:ascii="Times New Roman" w:hAnsi="Times New Roman" w:cs="Times New Roman" w:hint="default"/>
      <w:color w:val="000000"/>
      <w:sz w:val="20"/>
      <w:szCs w:val="20"/>
      <w:u w:val="none"/>
    </w:rPr>
  </w:style>
  <w:style w:type="character" w:customStyle="1" w:styleId="font31">
    <w:name w:val="font31"/>
    <w:basedOn w:val="a2"/>
    <w:rPr>
      <w:rFonts w:ascii="宋体" w:eastAsia="宋体" w:hAnsi="宋体" w:cs="宋体" w:hint="eastAsia"/>
      <w:color w:val="000000"/>
      <w:sz w:val="20"/>
      <w:szCs w:val="20"/>
      <w:u w:val="none"/>
    </w:rPr>
  </w:style>
  <w:style w:type="character" w:customStyle="1" w:styleId="font61">
    <w:name w:val="font61"/>
    <w:basedOn w:val="a2"/>
    <w:rPr>
      <w:rFonts w:ascii="方正仿宋_GBK" w:eastAsia="方正仿宋_GBK" w:hAnsi="方正仿宋_GBK" w:cs="方正仿宋_GBK"/>
      <w:b/>
      <w:color w:val="000000"/>
      <w:sz w:val="22"/>
      <w:szCs w:val="22"/>
      <w:u w:val="none"/>
    </w:rPr>
  </w:style>
  <w:style w:type="character" w:customStyle="1" w:styleId="font51">
    <w:name w:val="font51"/>
    <w:basedOn w:val="a2"/>
    <w:rPr>
      <w:rFonts w:ascii="方正仿宋_GBK" w:eastAsia="方正仿宋_GBK" w:hAnsi="方正仿宋_GBK" w:cs="方正仿宋_GBK" w:hint="eastAsia"/>
      <w:color w:val="000000"/>
      <w:sz w:val="20"/>
      <w:szCs w:val="20"/>
      <w:u w:val="none"/>
    </w:rPr>
  </w:style>
  <w:style w:type="paragraph" w:customStyle="1" w:styleId="Bodytext1">
    <w:name w:val="Body text|1"/>
    <w:basedOn w:val="a0"/>
    <w:pPr>
      <w:spacing w:line="350" w:lineRule="auto"/>
      <w:ind w:firstLineChars="0" w:firstLine="400"/>
    </w:pPr>
    <w:rPr>
      <w:rFonts w:ascii="宋体" w:eastAsia="宋体" w:hAnsi="宋体"/>
      <w:sz w:val="20"/>
      <w:szCs w:val="20"/>
      <w:lang w:val="zh-TW" w:eastAsia="zh-TW" w:bidi="zh-TW"/>
    </w:rPr>
  </w:style>
  <w:style w:type="character" w:customStyle="1" w:styleId="Char10">
    <w:name w:val="纯文本 Char1"/>
    <w:basedOn w:val="a2"/>
    <w:uiPriority w:val="99"/>
    <w:semiHidden/>
    <w:rPr>
      <w:rFonts w:ascii="宋体" w:eastAsia="宋体" w:hAnsi="Courier New" w:cs="Courier New"/>
      <w:kern w:val="2"/>
      <w:sz w:val="21"/>
      <w:szCs w:val="21"/>
    </w:rPr>
  </w:style>
  <w:style w:type="table" w:customStyle="1" w:styleId="27">
    <w:name w:val="网格型2"/>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uiPriority w:val="99"/>
    <w:semiHidden/>
    <w:rPr>
      <w:rFonts w:ascii="Times New Roman" w:eastAsia="宋体" w:hAnsi="Times New Roman" w:cs="Times New Roman"/>
      <w:kern w:val="2"/>
      <w:sz w:val="21"/>
      <w:szCs w:val="22"/>
    </w:rPr>
  </w:style>
  <w:style w:type="table" w:customStyle="1" w:styleId="120">
    <w:name w:val="网格型12"/>
    <w:basedOn w:val="a3"/>
    <w:uiPriority w:val="5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无格式表格 11"/>
    <w:basedOn w:val="a3"/>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0">
    <w:name w:val="公式"/>
    <w:basedOn w:val="a0"/>
    <w:link w:val="Chard"/>
    <w:qFormat/>
    <w:pPr>
      <w:snapToGrid w:val="0"/>
      <w:spacing w:beforeLines="50" w:before="120" w:afterLines="50" w:after="120" w:line="240" w:lineRule="auto"/>
      <w:ind w:firstLineChars="0" w:firstLine="0"/>
      <w:jc w:val="center"/>
    </w:pPr>
    <w:rPr>
      <w:rFonts w:eastAsia="宋体" w:cs="Times New Roman"/>
      <w:sz w:val="24"/>
      <w:szCs w:val="24"/>
    </w:rPr>
  </w:style>
  <w:style w:type="character" w:customStyle="1" w:styleId="Chard">
    <w:name w:val="公式 Char"/>
    <w:basedOn w:val="a2"/>
    <w:link w:val="affff0"/>
    <w:rPr>
      <w:rFonts w:ascii="Times New Roman" w:eastAsia="宋体" w:hAnsi="Times New Roman" w:cs="Times New Roman"/>
      <w:kern w:val="2"/>
      <w:sz w:val="24"/>
      <w:szCs w:val="24"/>
    </w:rPr>
  </w:style>
  <w:style w:type="paragraph" w:customStyle="1" w:styleId="affff1">
    <w:name w:val="脚注格式"/>
    <w:basedOn w:val="af8"/>
    <w:link w:val="Chare"/>
    <w:qFormat/>
    <w:pPr>
      <w:snapToGrid/>
      <w:spacing w:line="276" w:lineRule="auto"/>
      <w:ind w:left="357" w:hangingChars="170" w:hanging="357"/>
    </w:pPr>
    <w:rPr>
      <w:rFonts w:ascii="Times New Roman" w:hAnsi="Times New Roman" w:cs="宋体"/>
      <w:sz w:val="21"/>
      <w:szCs w:val="21"/>
    </w:rPr>
  </w:style>
  <w:style w:type="character" w:customStyle="1" w:styleId="Chare">
    <w:name w:val="脚注格式 Char"/>
    <w:basedOn w:val="22"/>
    <w:link w:val="affff1"/>
    <w:rPr>
      <w:rFonts w:ascii="Times New Roman" w:eastAsia="宋体" w:hAnsi="Times New Roman" w:cs="宋体"/>
      <w:kern w:val="2"/>
      <w:sz w:val="21"/>
      <w:szCs w:val="21"/>
    </w:rPr>
  </w:style>
  <w:style w:type="paragraph" w:customStyle="1" w:styleId="TOC30">
    <w:name w:val="TOC 标题3"/>
    <w:basedOn w:val="1"/>
    <w:next w:val="a0"/>
    <w:uiPriority w:val="39"/>
    <w:unhideWhenUsed/>
    <w:qFormat/>
    <w:pPr>
      <w:keepNext/>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yperlink" Target="https://www.waitang.com/report/27236.html."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s://www.cnstock.com/v_news/sns_bwkx/202102/4661815.htm." TargetMode="Externa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news.cssn.cn/zx/bwyc/202011/t20201111_5215078.s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hyperlink" Target="http://qwgzyj.gqb.gov.cn/yjytt/159/1743.shtml." TargetMode="External"/><Relationship Id="rId40" Type="http://schemas.openxmlformats.org/officeDocument/2006/relationships/hyperlink" Target="http://images.mofcom.gov.cn/hzs/202110/20211028105032459.pdf"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wmf"/><Relationship Id="rId28" Type="http://schemas.openxmlformats.org/officeDocument/2006/relationships/image" Target="media/image13.jpeg"/><Relationship Id="rId36" Type="http://schemas.openxmlformats.org/officeDocument/2006/relationships/hyperlink" Target="http://jx.people.com.cn/GB/n2/2021/0130/c186330-34556087.html."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baijiahao.baidu.com/s?id=1687972453866108801&amp;wfr=spider&amp;for=pc."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baijiahao.baidu.com/s?id=1687972453866108801&amp;wfr=spider&amp;for=pc." TargetMode="External"/><Relationship Id="rId1" Type="http://schemas.openxmlformats.org/officeDocument/2006/relationships/hyperlink" Target="http://news.cssn.cn/zx/bwyc/202011/t20201111_5215078.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A4055-F283-4C78-B0B5-8F967389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9682</Words>
  <Characters>55191</Characters>
  <Application>Microsoft Office Word</Application>
  <DocSecurity>0</DocSecurity>
  <Lines>459</Lines>
  <Paragraphs>129</Paragraphs>
  <ScaleCrop>false</ScaleCrop>
  <Company>Home</Company>
  <LinksUpToDate>false</LinksUpToDate>
  <CharactersWithSpaces>64744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幼迟</dc:creator>
  <cp:lastModifiedBy>Administrator</cp:lastModifiedBy>
  <cp:revision>165</cp:revision>
  <cp:lastPrinted>2022-01-23T08:12:00Z</cp:lastPrinted>
  <dcterms:created xsi:type="dcterms:W3CDTF">2022-01-17T02:25:00Z</dcterms:created>
  <dcterms:modified xsi:type="dcterms:W3CDTF">2022-01-29T00:41:00Z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682463830AD24A22AA2559755F3BB05F</vt:lpwstr>
  </property>
</Properties>
</file>