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3F376" w14:textId="6C851C0E" w:rsidR="00FB4A6B" w:rsidRDefault="00F44691" w:rsidP="00582724">
      <w:pPr>
        <w:spacing w:line="360" w:lineRule="auto"/>
        <w:jc w:val="center"/>
        <w:rPr>
          <w:rFonts w:ascii="黑体" w:eastAsia="黑体" w:hAnsi="黑体"/>
          <w:sz w:val="28"/>
        </w:rPr>
      </w:pPr>
      <w:r w:rsidRPr="00582724">
        <w:rPr>
          <w:rFonts w:ascii="黑体" w:eastAsia="黑体" w:hAnsi="黑体" w:hint="eastAsia"/>
          <w:sz w:val="28"/>
        </w:rPr>
        <w:t>201</w:t>
      </w:r>
      <w:r w:rsidR="002A390E">
        <w:rPr>
          <w:rFonts w:ascii="黑体" w:eastAsia="黑体" w:hAnsi="黑体" w:hint="eastAsia"/>
          <w:sz w:val="28"/>
        </w:rPr>
        <w:t>6</w:t>
      </w:r>
      <w:r w:rsidRPr="00582724">
        <w:rPr>
          <w:rFonts w:ascii="黑体" w:eastAsia="黑体" w:hAnsi="黑体" w:hint="eastAsia"/>
          <w:sz w:val="28"/>
        </w:rPr>
        <w:t>年</w:t>
      </w:r>
      <w:r w:rsidR="00083384">
        <w:rPr>
          <w:rFonts w:ascii="黑体" w:eastAsia="黑体" w:hAnsi="黑体" w:hint="eastAsia"/>
          <w:sz w:val="28"/>
        </w:rPr>
        <w:t>三</w:t>
      </w:r>
      <w:r w:rsidR="00EB7639" w:rsidRPr="00582724">
        <w:rPr>
          <w:rFonts w:ascii="黑体" w:eastAsia="黑体" w:hAnsi="黑体" w:hint="eastAsia"/>
          <w:sz w:val="28"/>
        </w:rPr>
        <w:t>季度</w:t>
      </w:r>
      <w:r w:rsidRPr="00582724">
        <w:rPr>
          <w:rFonts w:ascii="黑体" w:eastAsia="黑体" w:hAnsi="黑体" w:hint="eastAsia"/>
          <w:sz w:val="28"/>
        </w:rPr>
        <w:t>战略性新兴产业</w:t>
      </w:r>
      <w:r w:rsidR="003A72FF">
        <w:rPr>
          <w:rFonts w:ascii="黑体" w:eastAsia="黑体" w:hAnsi="黑体" w:hint="eastAsia"/>
          <w:sz w:val="28"/>
        </w:rPr>
        <w:t>行业</w:t>
      </w:r>
      <w:r w:rsidRPr="00582724">
        <w:rPr>
          <w:rFonts w:ascii="黑体" w:eastAsia="黑体" w:hAnsi="黑体" w:hint="eastAsia"/>
          <w:sz w:val="28"/>
        </w:rPr>
        <w:t>景气</w:t>
      </w:r>
      <w:r w:rsidR="00B77C32">
        <w:rPr>
          <w:rFonts w:ascii="黑体" w:eastAsia="黑体" w:hAnsi="黑体" w:hint="eastAsia"/>
          <w:sz w:val="28"/>
        </w:rPr>
        <w:t>有所回升</w:t>
      </w:r>
      <w:r w:rsidR="00915DD1">
        <w:rPr>
          <w:rFonts w:ascii="黑体" w:eastAsia="黑体" w:hAnsi="黑体" w:hint="eastAsia"/>
          <w:sz w:val="28"/>
        </w:rPr>
        <w:t>创今年新高</w:t>
      </w:r>
    </w:p>
    <w:p w14:paraId="07A732D3" w14:textId="77777777" w:rsidR="00E66529" w:rsidRPr="00E66529" w:rsidRDefault="00E66529" w:rsidP="00582724">
      <w:pPr>
        <w:spacing w:line="360" w:lineRule="auto"/>
        <w:jc w:val="center"/>
        <w:rPr>
          <w:rFonts w:ascii="黑体" w:eastAsia="黑体" w:hAnsi="黑体"/>
          <w:sz w:val="22"/>
        </w:rPr>
      </w:pPr>
    </w:p>
    <w:p w14:paraId="7B682DA3" w14:textId="0326E7FA" w:rsidR="00BD1E98" w:rsidRDefault="00BD1E98" w:rsidP="00BD1E98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 w:rsidRPr="00AD01F5">
        <w:rPr>
          <w:rFonts w:ascii="仿宋_GB2312" w:eastAsia="仿宋_GB2312"/>
          <w:sz w:val="22"/>
        </w:rPr>
        <w:t>据</w:t>
      </w:r>
      <w:r w:rsidRPr="00AD01F5">
        <w:rPr>
          <w:rFonts w:ascii="仿宋_GB2312" w:eastAsia="仿宋_GB2312" w:hint="eastAsia"/>
          <w:sz w:val="22"/>
        </w:rPr>
        <w:t>战略性新兴产业企业景气</w:t>
      </w:r>
      <w:r w:rsidRPr="00AD01F5">
        <w:rPr>
          <w:rFonts w:ascii="仿宋_GB2312" w:eastAsia="仿宋_GB2312"/>
          <w:sz w:val="22"/>
        </w:rPr>
        <w:t>调查显示</w:t>
      </w:r>
      <w:r w:rsidRPr="00AD01F5">
        <w:rPr>
          <w:rFonts w:ascii="仿宋_GB2312" w:eastAsia="仿宋_GB2312" w:hint="eastAsia"/>
          <w:sz w:val="22"/>
        </w:rPr>
        <w:t>（</w:t>
      </w:r>
      <w:r w:rsidRPr="00AD01F5">
        <w:rPr>
          <w:rFonts w:ascii="仿宋_GB2312" w:eastAsia="仿宋_GB2312"/>
          <w:sz w:val="22"/>
        </w:rPr>
        <w:t>全国</w:t>
      </w:r>
      <w:r>
        <w:rPr>
          <w:rFonts w:ascii="仿宋_GB2312" w:eastAsia="仿宋_GB2312" w:hint="eastAsia"/>
          <w:sz w:val="22"/>
        </w:rPr>
        <w:t>29</w:t>
      </w:r>
      <w:r w:rsidRPr="00AD01F5">
        <w:rPr>
          <w:rFonts w:ascii="仿宋_GB2312" w:eastAsia="仿宋_GB2312"/>
          <w:sz w:val="22"/>
        </w:rPr>
        <w:t>个省份、</w:t>
      </w:r>
      <w:r>
        <w:rPr>
          <w:rFonts w:ascii="仿宋_GB2312" w:eastAsia="仿宋_GB2312" w:hint="eastAsia"/>
          <w:sz w:val="22"/>
        </w:rPr>
        <w:t>1006</w:t>
      </w:r>
      <w:r w:rsidRPr="00AD01F5">
        <w:rPr>
          <w:rFonts w:ascii="仿宋_GB2312" w:eastAsia="仿宋_GB2312"/>
          <w:sz w:val="22"/>
        </w:rPr>
        <w:t>家战略性新兴产业企业</w:t>
      </w:r>
      <w:r w:rsidRPr="00AD01F5">
        <w:rPr>
          <w:rFonts w:ascii="仿宋_GB2312" w:eastAsia="仿宋_GB2312" w:hint="eastAsia"/>
          <w:sz w:val="22"/>
        </w:rPr>
        <w:t>）</w:t>
      </w:r>
      <w:r w:rsidRPr="00AD01F5">
        <w:rPr>
          <w:rFonts w:ascii="仿宋_GB2312" w:eastAsia="仿宋_GB2312"/>
          <w:sz w:val="22"/>
        </w:rPr>
        <w:t>，</w:t>
      </w:r>
      <w:r>
        <w:rPr>
          <w:rFonts w:ascii="仿宋_GB2312" w:eastAsia="仿宋_GB2312" w:hint="eastAsia"/>
          <w:sz w:val="22"/>
        </w:rPr>
        <w:t>与同期季节性下滑相反，三季度</w:t>
      </w:r>
      <w:r w:rsidRPr="00C63714">
        <w:rPr>
          <w:rFonts w:ascii="仿宋_GB2312" w:eastAsia="仿宋_GB2312" w:hint="eastAsia"/>
          <w:sz w:val="22"/>
        </w:rPr>
        <w:t>战略性新兴产业行业景气指数</w:t>
      </w:r>
      <w:r>
        <w:rPr>
          <w:rFonts w:ascii="仿宋_GB2312" w:eastAsia="仿宋_GB2312" w:hint="eastAsia"/>
          <w:sz w:val="22"/>
        </w:rPr>
        <w:t>与企业家信心指数均呈现回升态势。其中，行业景气指数止住多季度下滑趋势，由二季度的136.9回升</w:t>
      </w:r>
      <w:r w:rsidRPr="00C63714">
        <w:rPr>
          <w:rFonts w:ascii="仿宋_GB2312" w:eastAsia="仿宋_GB2312" w:hint="eastAsia"/>
          <w:sz w:val="22"/>
        </w:rPr>
        <w:t>到</w:t>
      </w:r>
      <w:r>
        <w:rPr>
          <w:rFonts w:ascii="仿宋_GB2312" w:eastAsia="仿宋_GB2312" w:hint="eastAsia"/>
          <w:sz w:val="22"/>
        </w:rPr>
        <w:t>139.5</w:t>
      </w:r>
      <w:r w:rsidRPr="00C63714">
        <w:rPr>
          <w:rFonts w:ascii="仿宋_GB2312" w:eastAsia="仿宋_GB2312" w:hint="eastAsia"/>
          <w:sz w:val="22"/>
        </w:rPr>
        <w:t>（见图1），</w:t>
      </w:r>
      <w:r>
        <w:rPr>
          <w:rFonts w:ascii="仿宋_GB2312" w:eastAsia="仿宋_GB2312" w:hint="eastAsia"/>
          <w:sz w:val="22"/>
        </w:rPr>
        <w:t>创前三季度新高</w:t>
      </w:r>
      <w:r w:rsidRPr="00C63714">
        <w:rPr>
          <w:rFonts w:ascii="仿宋_GB2312" w:eastAsia="仿宋_GB2312" w:hint="eastAsia"/>
          <w:sz w:val="22"/>
        </w:rPr>
        <w:t>。企业家信心指数</w:t>
      </w:r>
      <w:r>
        <w:rPr>
          <w:rFonts w:ascii="仿宋_GB2312" w:eastAsia="仿宋_GB2312" w:hint="eastAsia"/>
          <w:sz w:val="22"/>
        </w:rPr>
        <w:t>较二季度也有所回暖</w:t>
      </w:r>
      <w:r w:rsidRPr="00C63714">
        <w:rPr>
          <w:rFonts w:ascii="仿宋_GB2312" w:eastAsia="仿宋_GB2312" w:hint="eastAsia"/>
          <w:sz w:val="22"/>
        </w:rPr>
        <w:t>，</w:t>
      </w:r>
      <w:r>
        <w:rPr>
          <w:rFonts w:ascii="仿宋_GB2312" w:eastAsia="仿宋_GB2312" w:hint="eastAsia"/>
          <w:sz w:val="22"/>
        </w:rPr>
        <w:t>由141.2升至145.2</w:t>
      </w:r>
      <w:r w:rsidRPr="00C63714">
        <w:rPr>
          <w:rFonts w:ascii="仿宋_GB2312" w:eastAsia="仿宋_GB2312" w:hint="eastAsia"/>
          <w:sz w:val="22"/>
        </w:rPr>
        <w:t>，</w:t>
      </w:r>
      <w:r>
        <w:rPr>
          <w:rFonts w:ascii="仿宋_GB2312" w:eastAsia="仿宋_GB2312" w:hint="eastAsia"/>
          <w:sz w:val="22"/>
        </w:rPr>
        <w:t>好于去年同期水平、创过去12个月新高。本期调查的产业亮点体现在三个方面，一是北上广等战略性新兴产业集中区域行业景气度大幅提升；二是各分项指标尽管普遍出现季节性回落，但剔除季节因素影响后，还是出现了全面回升；三是新一代信息技术、高端装备制造和节能环保产业呈现上涨态势。</w:t>
      </w:r>
    </w:p>
    <w:p w14:paraId="66ABB974" w14:textId="77777777" w:rsidR="00BD1E98" w:rsidRPr="00F47708" w:rsidRDefault="00BD1E98" w:rsidP="00BD1E98">
      <w:pPr>
        <w:spacing w:line="360" w:lineRule="auto"/>
        <w:jc w:val="center"/>
        <w:rPr>
          <w:rFonts w:ascii="仿宋_GB2312" w:eastAsia="仿宋_GB2312"/>
          <w:sz w:val="22"/>
          <w:highlight w:val="lightGray"/>
        </w:rPr>
      </w:pPr>
      <w:r>
        <w:rPr>
          <w:noProof/>
        </w:rPr>
        <w:drawing>
          <wp:inline distT="0" distB="0" distL="0" distR="0" wp14:anchorId="5F75868A" wp14:editId="6BCC6207">
            <wp:extent cx="4737100" cy="2266950"/>
            <wp:effectExtent l="0" t="0" r="63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F67F10" w14:textId="77777777" w:rsidR="00BD1E98" w:rsidRPr="00E770EF" w:rsidRDefault="00BD1E98" w:rsidP="00BD1E98">
      <w:pPr>
        <w:spacing w:afterLines="50" w:after="156" w:line="360" w:lineRule="auto"/>
        <w:jc w:val="center"/>
        <w:rPr>
          <w:rFonts w:asciiTheme="minorEastAsia" w:hAnsiTheme="minorEastAsia"/>
          <w:sz w:val="22"/>
        </w:rPr>
      </w:pPr>
      <w:r w:rsidRPr="00E770EF">
        <w:rPr>
          <w:rFonts w:asciiTheme="minorEastAsia" w:hAnsiTheme="minorEastAsia" w:hint="eastAsia"/>
          <w:sz w:val="20"/>
        </w:rPr>
        <w:t>图1 2014年以来战略性新兴产业企业家信心指数和行业景气指数时间序列</w:t>
      </w:r>
    </w:p>
    <w:p w14:paraId="1B41A649" w14:textId="0F1E8EAE" w:rsidR="00AA2974" w:rsidRDefault="00AA2974" w:rsidP="00AC23DB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</w:p>
    <w:p w14:paraId="11D09B81" w14:textId="22546DFF" w:rsidR="00F44691" w:rsidRPr="00A454B8" w:rsidRDefault="00F44691" w:rsidP="00582724">
      <w:pPr>
        <w:spacing w:line="360" w:lineRule="auto"/>
        <w:ind w:firstLineChars="200" w:firstLine="442"/>
        <w:rPr>
          <w:rFonts w:ascii="仿宋_GB2312" w:eastAsia="仿宋_GB2312"/>
          <w:b/>
          <w:sz w:val="22"/>
        </w:rPr>
      </w:pPr>
      <w:r w:rsidRPr="00A454B8">
        <w:rPr>
          <w:rFonts w:ascii="仿宋_GB2312" w:eastAsia="仿宋_GB2312" w:hint="eastAsia"/>
          <w:b/>
          <w:sz w:val="22"/>
        </w:rPr>
        <w:t>一、</w:t>
      </w:r>
      <w:r w:rsidR="00BD1E98" w:rsidRPr="00A454B8">
        <w:rPr>
          <w:rFonts w:ascii="仿宋_GB2312" w:eastAsia="仿宋_GB2312" w:hint="eastAsia"/>
          <w:b/>
          <w:sz w:val="22"/>
        </w:rPr>
        <w:t>北上广等战略性新兴产业集中区域行业景气度大幅提升</w:t>
      </w:r>
    </w:p>
    <w:p w14:paraId="510B76FA" w14:textId="2D0B74C3" w:rsidR="009006B3" w:rsidRDefault="009006B3" w:rsidP="009006B3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全国四大区，东部地区整体景气情况处于良好水平，而东北地区的整体景气情况明显垫底（见图2）。同时从趋势上看，</w:t>
      </w:r>
      <w:r w:rsidRPr="00366E17">
        <w:rPr>
          <w:rFonts w:ascii="仿宋_GB2312" w:eastAsia="仿宋_GB2312" w:hint="eastAsia"/>
          <w:sz w:val="22"/>
        </w:rPr>
        <w:t>东部地区在行业景气指数增速方面</w:t>
      </w:r>
      <w:r>
        <w:rPr>
          <w:rFonts w:ascii="仿宋_GB2312" w:eastAsia="仿宋_GB2312" w:hint="eastAsia"/>
          <w:sz w:val="22"/>
        </w:rPr>
        <w:t>也</w:t>
      </w:r>
      <w:r w:rsidRPr="00366E17">
        <w:rPr>
          <w:rFonts w:ascii="仿宋_GB2312" w:eastAsia="仿宋_GB2312" w:hint="eastAsia"/>
          <w:sz w:val="22"/>
        </w:rPr>
        <w:t>领跑全国</w:t>
      </w:r>
      <w:r>
        <w:rPr>
          <w:rFonts w:ascii="仿宋_GB2312" w:eastAsia="仿宋_GB2312" w:hint="eastAsia"/>
          <w:sz w:val="22"/>
        </w:rPr>
        <w:t>，而西部、中部和</w:t>
      </w:r>
      <w:r w:rsidRPr="00366E17">
        <w:rPr>
          <w:rFonts w:ascii="仿宋_GB2312" w:eastAsia="仿宋_GB2312" w:hint="eastAsia"/>
          <w:sz w:val="22"/>
        </w:rPr>
        <w:t>东北地区</w:t>
      </w:r>
      <w:r>
        <w:rPr>
          <w:rFonts w:ascii="仿宋_GB2312" w:eastAsia="仿宋_GB2312" w:hint="eastAsia"/>
          <w:sz w:val="22"/>
        </w:rPr>
        <w:t>的行业景气指数增速均呈负增长，尤其是东北地区</w:t>
      </w:r>
      <w:r w:rsidRPr="00366E17">
        <w:rPr>
          <w:rFonts w:ascii="仿宋_GB2312" w:eastAsia="仿宋_GB2312" w:hint="eastAsia"/>
          <w:sz w:val="22"/>
        </w:rPr>
        <w:t>出现</w:t>
      </w:r>
      <w:r>
        <w:rPr>
          <w:rFonts w:ascii="仿宋_GB2312" w:eastAsia="仿宋_GB2312" w:hint="eastAsia"/>
          <w:sz w:val="22"/>
        </w:rPr>
        <w:t>了</w:t>
      </w:r>
      <w:r w:rsidRPr="00366E17">
        <w:rPr>
          <w:rFonts w:ascii="仿宋_GB2312" w:eastAsia="仿宋_GB2312" w:hint="eastAsia"/>
          <w:sz w:val="22"/>
        </w:rPr>
        <w:t>5%水平以上的负增长，表明东北地区新兴产业前景需持谨慎态度</w:t>
      </w:r>
      <w:r>
        <w:rPr>
          <w:rFonts w:ascii="仿宋_GB2312" w:eastAsia="仿宋_GB2312" w:hint="eastAsia"/>
          <w:sz w:val="22"/>
        </w:rPr>
        <w:t>（见图3）</w:t>
      </w:r>
      <w:r w:rsidRPr="00366E17">
        <w:rPr>
          <w:rFonts w:ascii="仿宋_GB2312" w:eastAsia="仿宋_GB2312" w:hint="eastAsia"/>
          <w:sz w:val="22"/>
        </w:rPr>
        <w:t>。</w:t>
      </w:r>
    </w:p>
    <w:p w14:paraId="3FE02ECF" w14:textId="77777777" w:rsidR="009006B3" w:rsidRDefault="009006B3" w:rsidP="009006B3">
      <w:pPr>
        <w:spacing w:line="360" w:lineRule="auto"/>
        <w:rPr>
          <w:rFonts w:ascii="仿宋_GB2312" w:eastAsia="仿宋_GB2312"/>
          <w:sz w:val="22"/>
        </w:rPr>
      </w:pPr>
      <w:r>
        <w:rPr>
          <w:rFonts w:ascii="仿宋_GB2312" w:eastAsia="仿宋_GB2312"/>
          <w:noProof/>
          <w:sz w:val="22"/>
        </w:rPr>
        <w:lastRenderedPageBreak/>
        <w:drawing>
          <wp:inline distT="0" distB="0" distL="0" distR="0" wp14:anchorId="08021490" wp14:editId="6F7265DF">
            <wp:extent cx="5274259" cy="1923898"/>
            <wp:effectExtent l="0" t="0" r="3175" b="63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709AD0" w14:textId="07AFACE4" w:rsidR="009006B3" w:rsidRDefault="009006B3" w:rsidP="009006B3">
      <w:pPr>
        <w:spacing w:line="360" w:lineRule="auto"/>
        <w:jc w:val="center"/>
        <w:rPr>
          <w:rFonts w:asciiTheme="minorEastAsia" w:hAnsiTheme="minorEastAsia"/>
          <w:sz w:val="20"/>
        </w:rPr>
      </w:pPr>
      <w:r w:rsidRPr="006933C7">
        <w:rPr>
          <w:rFonts w:asciiTheme="minorEastAsia" w:hAnsiTheme="minorEastAsia" w:hint="eastAsia"/>
          <w:sz w:val="20"/>
        </w:rPr>
        <w:t>图</w:t>
      </w:r>
      <w:r>
        <w:rPr>
          <w:rFonts w:asciiTheme="minorEastAsia" w:hAnsiTheme="minorEastAsia" w:hint="eastAsia"/>
          <w:sz w:val="20"/>
        </w:rPr>
        <w:t>2</w:t>
      </w:r>
      <w:r w:rsidRPr="006933C7">
        <w:rPr>
          <w:rFonts w:asciiTheme="minorEastAsia" w:hAnsiTheme="minorEastAsia" w:hint="eastAsia"/>
          <w:sz w:val="20"/>
        </w:rPr>
        <w:t xml:space="preserve"> 201</w:t>
      </w:r>
      <w:r>
        <w:rPr>
          <w:rFonts w:asciiTheme="minorEastAsia" w:hAnsiTheme="minorEastAsia" w:hint="eastAsia"/>
          <w:sz w:val="20"/>
        </w:rPr>
        <w:t>6</w:t>
      </w:r>
      <w:r w:rsidRPr="006933C7">
        <w:rPr>
          <w:rFonts w:asciiTheme="minorEastAsia" w:hAnsiTheme="minorEastAsia" w:hint="eastAsia"/>
          <w:sz w:val="20"/>
        </w:rPr>
        <w:t>年</w:t>
      </w:r>
      <w:r>
        <w:rPr>
          <w:rFonts w:asciiTheme="minorEastAsia" w:hAnsiTheme="minorEastAsia" w:hint="eastAsia"/>
          <w:sz w:val="20"/>
        </w:rPr>
        <w:t>三季度</w:t>
      </w:r>
      <w:r w:rsidRPr="006933C7">
        <w:rPr>
          <w:rFonts w:asciiTheme="minorEastAsia" w:hAnsiTheme="minorEastAsia" w:hint="eastAsia"/>
          <w:sz w:val="20"/>
        </w:rPr>
        <w:t>战略性新兴产业行业景气</w:t>
      </w:r>
      <w:r>
        <w:rPr>
          <w:rFonts w:asciiTheme="minorEastAsia" w:hAnsiTheme="minorEastAsia" w:hint="eastAsia"/>
          <w:sz w:val="20"/>
        </w:rPr>
        <w:t>指数</w:t>
      </w:r>
      <w:r w:rsidRPr="006933C7">
        <w:rPr>
          <w:rFonts w:asciiTheme="minorEastAsia" w:hAnsiTheme="minorEastAsia" w:hint="eastAsia"/>
          <w:sz w:val="20"/>
        </w:rPr>
        <w:t>（分</w:t>
      </w:r>
      <w:r>
        <w:rPr>
          <w:rFonts w:asciiTheme="minorEastAsia" w:hAnsiTheme="minorEastAsia" w:hint="eastAsia"/>
          <w:sz w:val="20"/>
        </w:rPr>
        <w:t>地区</w:t>
      </w:r>
      <w:r w:rsidRPr="006933C7">
        <w:rPr>
          <w:rFonts w:asciiTheme="minorEastAsia" w:hAnsiTheme="minorEastAsia" w:hint="eastAsia"/>
          <w:sz w:val="20"/>
        </w:rPr>
        <w:t>）</w:t>
      </w:r>
    </w:p>
    <w:p w14:paraId="78EFC858" w14:textId="77777777" w:rsidR="009006B3" w:rsidRPr="00141BA4" w:rsidRDefault="009006B3" w:rsidP="009006B3">
      <w:pPr>
        <w:spacing w:line="360" w:lineRule="auto"/>
        <w:jc w:val="center"/>
        <w:rPr>
          <w:rFonts w:ascii="仿宋_GB2312" w:eastAsia="仿宋_GB2312"/>
          <w:sz w:val="22"/>
        </w:rPr>
      </w:pPr>
      <w:r>
        <w:rPr>
          <w:noProof/>
        </w:rPr>
        <w:drawing>
          <wp:inline distT="0" distB="0" distL="0" distR="0" wp14:anchorId="4B243AD7" wp14:editId="6531F1B1">
            <wp:extent cx="5224145" cy="1704975"/>
            <wp:effectExtent l="0" t="0" r="14605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E5CD4F" w14:textId="12BB0DC2" w:rsidR="009006B3" w:rsidRDefault="009006B3" w:rsidP="009006B3">
      <w:pPr>
        <w:spacing w:line="360" w:lineRule="auto"/>
        <w:jc w:val="center"/>
        <w:rPr>
          <w:rFonts w:asciiTheme="minorEastAsia" w:hAnsiTheme="minorEastAsia"/>
          <w:sz w:val="20"/>
        </w:rPr>
      </w:pPr>
      <w:r w:rsidRPr="006933C7">
        <w:rPr>
          <w:rFonts w:asciiTheme="minorEastAsia" w:hAnsiTheme="minorEastAsia" w:hint="eastAsia"/>
          <w:sz w:val="20"/>
        </w:rPr>
        <w:t>图</w:t>
      </w:r>
      <w:r>
        <w:rPr>
          <w:rFonts w:asciiTheme="minorEastAsia" w:hAnsiTheme="minorEastAsia" w:hint="eastAsia"/>
          <w:sz w:val="20"/>
        </w:rPr>
        <w:t>3</w:t>
      </w:r>
      <w:r w:rsidRPr="006933C7">
        <w:rPr>
          <w:rFonts w:asciiTheme="minorEastAsia" w:hAnsiTheme="minorEastAsia" w:hint="eastAsia"/>
          <w:sz w:val="20"/>
        </w:rPr>
        <w:t xml:space="preserve"> 201</w:t>
      </w:r>
      <w:r>
        <w:rPr>
          <w:rFonts w:asciiTheme="minorEastAsia" w:hAnsiTheme="minorEastAsia" w:hint="eastAsia"/>
          <w:sz w:val="20"/>
        </w:rPr>
        <w:t>6</w:t>
      </w:r>
      <w:r w:rsidRPr="006933C7">
        <w:rPr>
          <w:rFonts w:asciiTheme="minorEastAsia" w:hAnsiTheme="minorEastAsia" w:hint="eastAsia"/>
          <w:sz w:val="20"/>
        </w:rPr>
        <w:t>年</w:t>
      </w:r>
      <w:r>
        <w:rPr>
          <w:rFonts w:asciiTheme="minorEastAsia" w:hAnsiTheme="minorEastAsia" w:hint="eastAsia"/>
          <w:sz w:val="20"/>
        </w:rPr>
        <w:t>三季度行业景气指数增速</w:t>
      </w:r>
      <w:r w:rsidRPr="006933C7">
        <w:rPr>
          <w:rFonts w:asciiTheme="minorEastAsia" w:hAnsiTheme="minorEastAsia" w:hint="eastAsia"/>
          <w:sz w:val="20"/>
        </w:rPr>
        <w:t>（分</w:t>
      </w:r>
      <w:r>
        <w:rPr>
          <w:rFonts w:asciiTheme="minorEastAsia" w:hAnsiTheme="minorEastAsia" w:hint="eastAsia"/>
          <w:sz w:val="20"/>
        </w:rPr>
        <w:t>地区</w:t>
      </w:r>
      <w:r w:rsidRPr="006933C7">
        <w:rPr>
          <w:rFonts w:asciiTheme="minorEastAsia" w:hAnsiTheme="minorEastAsia" w:hint="eastAsia"/>
          <w:sz w:val="20"/>
        </w:rPr>
        <w:t>）</w:t>
      </w:r>
    </w:p>
    <w:p w14:paraId="0ED28A3A" w14:textId="7CB5EBE2" w:rsidR="00E23823" w:rsidRDefault="009006B3" w:rsidP="002B3928">
      <w:pPr>
        <w:spacing w:line="360" w:lineRule="auto"/>
        <w:ind w:firstLineChars="193" w:firstLine="425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分省市看，</w:t>
      </w:r>
      <w:r w:rsidR="00930706" w:rsidRPr="00930706">
        <w:rPr>
          <w:rFonts w:ascii="仿宋_GB2312" w:eastAsia="仿宋_GB2312" w:hint="eastAsia"/>
          <w:sz w:val="22"/>
        </w:rPr>
        <w:t>全国总体指数的回升主要</w:t>
      </w:r>
      <w:r w:rsidR="0049233A">
        <w:rPr>
          <w:rFonts w:ascii="仿宋_GB2312" w:eastAsia="仿宋_GB2312" w:hint="eastAsia"/>
          <w:sz w:val="22"/>
        </w:rPr>
        <w:t>受</w:t>
      </w:r>
      <w:r w:rsidR="00930706" w:rsidRPr="00930706">
        <w:rPr>
          <w:rFonts w:ascii="仿宋_GB2312" w:eastAsia="仿宋_GB2312" w:hint="eastAsia"/>
          <w:sz w:val="22"/>
        </w:rPr>
        <w:t>部分战略性新兴产业发展较好的省市</w:t>
      </w:r>
      <w:r w:rsidR="0049233A">
        <w:rPr>
          <w:rFonts w:ascii="仿宋_GB2312" w:eastAsia="仿宋_GB2312" w:hint="eastAsia"/>
          <w:sz w:val="22"/>
        </w:rPr>
        <w:t>拉动</w:t>
      </w:r>
      <w:r w:rsidR="00930706" w:rsidRPr="00930706">
        <w:rPr>
          <w:rFonts w:ascii="仿宋_GB2312" w:eastAsia="仿宋_GB2312" w:hint="eastAsia"/>
          <w:sz w:val="22"/>
        </w:rPr>
        <w:t>。</w:t>
      </w:r>
      <w:r w:rsidR="0049233A">
        <w:rPr>
          <w:rFonts w:ascii="仿宋_GB2312" w:eastAsia="仿宋_GB2312" w:hint="eastAsia"/>
          <w:sz w:val="22"/>
        </w:rPr>
        <w:t>三季度行业指数上升最快的三省市依次是：</w:t>
      </w:r>
      <w:r w:rsidR="00930706" w:rsidRPr="00930706">
        <w:rPr>
          <w:rFonts w:ascii="仿宋_GB2312" w:eastAsia="仿宋_GB2312" w:hint="eastAsia"/>
          <w:sz w:val="22"/>
        </w:rPr>
        <w:t>上海</w:t>
      </w:r>
      <w:r w:rsidR="0049233A">
        <w:rPr>
          <w:rFonts w:ascii="仿宋_GB2312" w:eastAsia="仿宋_GB2312" w:hint="eastAsia"/>
          <w:sz w:val="22"/>
        </w:rPr>
        <w:t>由</w:t>
      </w:r>
      <w:r w:rsidR="00930706" w:rsidRPr="00930706">
        <w:rPr>
          <w:rFonts w:ascii="仿宋_GB2312" w:eastAsia="仿宋_GB2312" w:hint="eastAsia"/>
          <w:sz w:val="22"/>
        </w:rPr>
        <w:t>135大幅上升至154.5，上涨高达14.5%</w:t>
      </w:r>
      <w:r w:rsidR="0049233A">
        <w:rPr>
          <w:rFonts w:ascii="仿宋_GB2312" w:eastAsia="仿宋_GB2312" w:hint="eastAsia"/>
          <w:sz w:val="22"/>
        </w:rPr>
        <w:t>；</w:t>
      </w:r>
      <w:r w:rsidR="00930706" w:rsidRPr="00930706">
        <w:rPr>
          <w:rFonts w:ascii="仿宋_GB2312" w:eastAsia="仿宋_GB2312" w:hint="eastAsia"/>
          <w:sz w:val="22"/>
        </w:rPr>
        <w:t>广东由132.7上涨至143.3，上涨幅度达到7.9%</w:t>
      </w:r>
      <w:r w:rsidR="0049233A">
        <w:rPr>
          <w:rFonts w:ascii="仿宋_GB2312" w:eastAsia="仿宋_GB2312" w:hint="eastAsia"/>
          <w:sz w:val="22"/>
        </w:rPr>
        <w:t>；</w:t>
      </w:r>
      <w:r w:rsidR="00930706" w:rsidRPr="00930706">
        <w:rPr>
          <w:rFonts w:ascii="仿宋_GB2312" w:eastAsia="仿宋_GB2312" w:hint="eastAsia"/>
          <w:sz w:val="22"/>
        </w:rPr>
        <w:t>北京由140上升至154.5，上涨幅度达到10.3%</w:t>
      </w:r>
      <w:r w:rsidR="0049233A">
        <w:rPr>
          <w:rFonts w:ascii="仿宋_GB2312" w:eastAsia="仿宋_GB2312" w:hint="eastAsia"/>
          <w:sz w:val="22"/>
        </w:rPr>
        <w:t>。</w:t>
      </w:r>
      <w:r w:rsidR="00930706" w:rsidRPr="00930706">
        <w:rPr>
          <w:rFonts w:ascii="仿宋_GB2312" w:eastAsia="仿宋_GB2312" w:hint="eastAsia"/>
          <w:sz w:val="22"/>
        </w:rPr>
        <w:t>河北三季度行业景气指数上涨到165.2，上涨幅度达4.6%，</w:t>
      </w:r>
      <w:r w:rsidR="002B3928">
        <w:rPr>
          <w:rFonts w:ascii="仿宋_GB2312" w:eastAsia="仿宋_GB2312" w:hint="eastAsia"/>
          <w:sz w:val="22"/>
        </w:rPr>
        <w:t>是所有省市中</w:t>
      </w:r>
      <w:r w:rsidR="00930706" w:rsidRPr="00930706">
        <w:rPr>
          <w:rFonts w:ascii="仿宋_GB2312" w:eastAsia="仿宋_GB2312" w:hint="eastAsia"/>
          <w:sz w:val="22"/>
        </w:rPr>
        <w:t>景气指数</w:t>
      </w:r>
      <w:r w:rsidR="002B3928">
        <w:rPr>
          <w:rFonts w:ascii="仿宋_GB2312" w:eastAsia="仿宋_GB2312" w:hint="eastAsia"/>
          <w:sz w:val="22"/>
        </w:rPr>
        <w:t>最高的</w:t>
      </w:r>
      <w:r w:rsidR="00930706" w:rsidRPr="00930706">
        <w:rPr>
          <w:rFonts w:ascii="仿宋_GB2312" w:eastAsia="仿宋_GB2312" w:hint="eastAsia"/>
          <w:sz w:val="22"/>
        </w:rPr>
        <w:t>。其他省份诸如</w:t>
      </w:r>
      <w:r w:rsidR="002B3928">
        <w:rPr>
          <w:rFonts w:ascii="仿宋_GB2312" w:eastAsia="仿宋_GB2312" w:hint="eastAsia"/>
          <w:sz w:val="22"/>
        </w:rPr>
        <w:t>中部的</w:t>
      </w:r>
      <w:r w:rsidR="00930706" w:rsidRPr="00930706">
        <w:rPr>
          <w:rFonts w:ascii="仿宋_GB2312" w:eastAsia="仿宋_GB2312" w:hint="eastAsia"/>
          <w:sz w:val="22"/>
        </w:rPr>
        <w:t>湖南、江西、山东、安徽</w:t>
      </w:r>
      <w:r w:rsidR="002B3928">
        <w:rPr>
          <w:rFonts w:ascii="仿宋_GB2312" w:eastAsia="仿宋_GB2312" w:hint="eastAsia"/>
          <w:sz w:val="22"/>
        </w:rPr>
        <w:t>及西部的新疆、甘肃、陕西等地</w:t>
      </w:r>
      <w:r w:rsidR="00930706" w:rsidRPr="00930706">
        <w:rPr>
          <w:rFonts w:ascii="仿宋_GB2312" w:eastAsia="仿宋_GB2312" w:hint="eastAsia"/>
          <w:sz w:val="22"/>
        </w:rPr>
        <w:t>也出现不同幅度的涨幅。</w:t>
      </w:r>
      <w:r w:rsidR="00C177E4">
        <w:rPr>
          <w:rFonts w:ascii="仿宋_GB2312" w:eastAsia="仿宋_GB2312" w:hint="eastAsia"/>
          <w:sz w:val="22"/>
        </w:rPr>
        <w:t>值得关注的是吉林、黑龙江、内蒙古三季度产业景气指数大幅下滑。</w:t>
      </w:r>
    </w:p>
    <w:p w14:paraId="572839DA" w14:textId="1C115ABA" w:rsidR="007653DF" w:rsidRDefault="007653DF" w:rsidP="0032399B">
      <w:pPr>
        <w:spacing w:line="360" w:lineRule="auto"/>
        <w:ind w:firstLineChars="193" w:firstLine="386"/>
        <w:jc w:val="center"/>
        <w:rPr>
          <w:rFonts w:asciiTheme="minorEastAsia" w:hAnsiTheme="minorEastAsia"/>
          <w:sz w:val="20"/>
        </w:rPr>
      </w:pPr>
      <w:r w:rsidRPr="00831587">
        <w:rPr>
          <w:rFonts w:asciiTheme="minorEastAsia" w:hAnsiTheme="minorEastAsia" w:hint="eastAsia"/>
          <w:sz w:val="20"/>
        </w:rPr>
        <w:t>表</w:t>
      </w:r>
      <w:r>
        <w:rPr>
          <w:rFonts w:asciiTheme="minorEastAsia" w:hAnsiTheme="minorEastAsia" w:hint="eastAsia"/>
          <w:sz w:val="20"/>
        </w:rPr>
        <w:t>1</w:t>
      </w:r>
      <w:r w:rsidRPr="00831587">
        <w:rPr>
          <w:rFonts w:asciiTheme="minorEastAsia" w:hAnsiTheme="minorEastAsia" w:hint="eastAsia"/>
          <w:sz w:val="20"/>
        </w:rPr>
        <w:t xml:space="preserve">  201</w:t>
      </w:r>
      <w:r>
        <w:rPr>
          <w:rFonts w:asciiTheme="minorEastAsia" w:hAnsiTheme="minorEastAsia" w:hint="eastAsia"/>
          <w:sz w:val="20"/>
        </w:rPr>
        <w:t>6</w:t>
      </w:r>
      <w:r w:rsidRPr="00831587">
        <w:rPr>
          <w:rFonts w:asciiTheme="minorEastAsia" w:hAnsiTheme="minorEastAsia" w:hint="eastAsia"/>
          <w:sz w:val="20"/>
        </w:rPr>
        <w:t>年</w:t>
      </w:r>
      <w:r w:rsidR="009D34B4">
        <w:rPr>
          <w:rFonts w:asciiTheme="minorEastAsia" w:hAnsiTheme="minorEastAsia" w:hint="eastAsia"/>
          <w:sz w:val="20"/>
        </w:rPr>
        <w:t>部分</w:t>
      </w:r>
      <w:r>
        <w:rPr>
          <w:rFonts w:asciiTheme="minorEastAsia" w:hAnsiTheme="minorEastAsia" w:hint="eastAsia"/>
          <w:sz w:val="20"/>
        </w:rPr>
        <w:t>省份战略性新兴产业行业景气</w:t>
      </w:r>
      <w:proofErr w:type="gramStart"/>
      <w:r>
        <w:rPr>
          <w:rFonts w:asciiTheme="minorEastAsia" w:hAnsiTheme="minorEastAsia" w:hint="eastAsia"/>
          <w:sz w:val="20"/>
        </w:rPr>
        <w:t>指数减差排序</w:t>
      </w:r>
      <w:proofErr w:type="gramEnd"/>
    </w:p>
    <w:p w14:paraId="19F495EC" w14:textId="4DEAE2CF" w:rsidR="007653DF" w:rsidRPr="007653DF" w:rsidRDefault="007653DF" w:rsidP="007653DF">
      <w:pPr>
        <w:spacing w:line="360" w:lineRule="auto"/>
        <w:jc w:val="center"/>
        <w:rPr>
          <w:rFonts w:ascii="仿宋_GB2312" w:eastAsia="仿宋_GB2312"/>
          <w:sz w:val="22"/>
        </w:rPr>
      </w:pPr>
      <w:r>
        <w:rPr>
          <w:rFonts w:asciiTheme="minorEastAsia" w:hAnsiTheme="minorEastAsia" w:hint="eastAsia"/>
          <w:sz w:val="20"/>
        </w:rPr>
        <w:t>（</w:t>
      </w:r>
      <w:r w:rsidR="00C177E4">
        <w:rPr>
          <w:rFonts w:asciiTheme="minorEastAsia" w:hAnsiTheme="minorEastAsia" w:hint="eastAsia"/>
          <w:sz w:val="20"/>
        </w:rPr>
        <w:t>浅色字体的</w:t>
      </w:r>
      <w:r>
        <w:rPr>
          <w:rFonts w:asciiTheme="minorEastAsia" w:hAnsiTheme="minorEastAsia" w:hint="eastAsia"/>
          <w:sz w:val="20"/>
        </w:rPr>
        <w:t>省份样本量</w:t>
      </w:r>
      <w:r w:rsidR="00C177E4">
        <w:rPr>
          <w:rFonts w:asciiTheme="minorEastAsia" w:hAnsiTheme="minorEastAsia" w:hint="eastAsia"/>
          <w:sz w:val="20"/>
        </w:rPr>
        <w:t>小于30</w:t>
      </w:r>
      <w:r>
        <w:rPr>
          <w:rFonts w:asciiTheme="minorEastAsia" w:hAnsiTheme="minorEastAsia" w:hint="eastAsia"/>
          <w:sz w:val="20"/>
        </w:rPr>
        <w:t>，数据仅供参考）</w:t>
      </w:r>
    </w:p>
    <w:tbl>
      <w:tblPr>
        <w:tblW w:w="8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43B58" w:rsidRPr="00C43B58" w14:paraId="03506AFF" w14:textId="77777777" w:rsidTr="007653DF">
        <w:trPr>
          <w:trHeight w:val="54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241F9616" w14:textId="77777777" w:rsidR="007653DF" w:rsidRPr="00C77852" w:rsidRDefault="007653DF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kern w:val="0"/>
                <w:sz w:val="22"/>
              </w:rPr>
              <w:t>省份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CD8C27" w14:textId="26B4EC07" w:rsidR="007653DF" w:rsidRPr="00C77852" w:rsidRDefault="007653DF" w:rsidP="00B07CA7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kern w:val="0"/>
                <w:sz w:val="22"/>
              </w:rPr>
              <w:t>2016Q</w:t>
            </w:r>
            <w:r w:rsidR="00B07CA7" w:rsidRPr="00C77852">
              <w:rPr>
                <w:rFonts w:ascii="Arial" w:eastAsia="仿宋_GB2312" w:hAnsi="Arial" w:cs="Arial"/>
                <w:kern w:val="0"/>
                <w:sz w:val="22"/>
              </w:rPr>
              <w:t>2</w:t>
            </w:r>
            <w:r w:rsidRPr="00C77852">
              <w:rPr>
                <w:rFonts w:ascii="Arial" w:eastAsia="仿宋_GB2312" w:hAnsi="Arial" w:cs="Arial"/>
                <w:kern w:val="0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869CEA" w14:textId="05738ADF" w:rsidR="007653DF" w:rsidRPr="00C77852" w:rsidRDefault="007653DF" w:rsidP="00B07CA7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kern w:val="0"/>
                <w:sz w:val="22"/>
              </w:rPr>
              <w:t>2016Q</w:t>
            </w:r>
            <w:r w:rsidR="00B07CA7" w:rsidRPr="00C77852">
              <w:rPr>
                <w:rFonts w:ascii="Arial" w:eastAsia="仿宋_GB2312" w:hAnsi="Arial" w:cs="Arial"/>
                <w:kern w:val="0"/>
                <w:sz w:val="22"/>
              </w:rPr>
              <w:t>3</w:t>
            </w:r>
            <w:r w:rsidRPr="00C77852">
              <w:rPr>
                <w:rFonts w:ascii="Arial" w:eastAsia="仿宋_GB2312" w:hAnsi="Arial" w:cs="Arial"/>
                <w:kern w:val="0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3EBAD0" w14:textId="77777777" w:rsidR="007653DF" w:rsidRPr="00C77852" w:rsidRDefault="007653DF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kern w:val="0"/>
                <w:sz w:val="22"/>
              </w:rPr>
              <w:t>减差值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0691966E" w14:textId="77777777" w:rsidR="007653DF" w:rsidRPr="00C77852" w:rsidRDefault="007653DF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kern w:val="0"/>
                <w:sz w:val="22"/>
              </w:rPr>
              <w:t>省份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A44BDC6" w14:textId="1CB41E36" w:rsidR="007653DF" w:rsidRPr="00C77852" w:rsidRDefault="007653DF" w:rsidP="00F43F65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kern w:val="0"/>
                <w:sz w:val="22"/>
              </w:rPr>
              <w:t>2016Q</w:t>
            </w:r>
            <w:r w:rsidR="00F43F65" w:rsidRPr="00C77852">
              <w:rPr>
                <w:rFonts w:ascii="Arial" w:eastAsia="仿宋_GB2312" w:hAnsi="Arial" w:cs="Arial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31172A" w14:textId="7048953F" w:rsidR="007653DF" w:rsidRPr="00C77852" w:rsidRDefault="007653DF" w:rsidP="00F43F65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kern w:val="0"/>
                <w:sz w:val="22"/>
              </w:rPr>
              <w:t>2016Q</w:t>
            </w:r>
            <w:r w:rsidR="00F43F65" w:rsidRPr="00C77852">
              <w:rPr>
                <w:rFonts w:ascii="Arial" w:eastAsia="仿宋_GB2312" w:hAnsi="Arial" w:cs="Arial"/>
                <w:kern w:val="0"/>
                <w:sz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5295FA" w14:textId="77777777" w:rsidR="007653DF" w:rsidRPr="00C77852" w:rsidRDefault="007653DF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kern w:val="0"/>
                <w:sz w:val="22"/>
              </w:rPr>
              <w:t>减差值</w:t>
            </w:r>
          </w:p>
        </w:tc>
      </w:tr>
      <w:tr w:rsidR="00F43F65" w:rsidRPr="00C43B58" w14:paraId="745D854D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3F255D94" w14:textId="39029B76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吉林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783BF4D" w14:textId="4EC81082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162.5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4EB0DC" w14:textId="6C2E237D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117.6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E3B120" w14:textId="41147190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-44.9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3F0F0439" w14:textId="13BC683B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安徽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E21D241" w14:textId="53E12A11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148.6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8BCF65" w14:textId="0017ABFD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150.0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A02FFB" w14:textId="272DCC46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1.4 </w:t>
            </w:r>
          </w:p>
        </w:tc>
      </w:tr>
      <w:tr w:rsidR="00F43F65" w:rsidRPr="00C43B58" w14:paraId="51197C19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42CFC200" w14:textId="13CC888C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黑龙江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7524A8C" w14:textId="7CC394E8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135.3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02C0D0" w14:textId="76348B07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115.0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ABD13D" w14:textId="58C68A65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-20.3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5186FDBB" w14:textId="2BFF4C10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天津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C0D057" w14:textId="6C9892D9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143.4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057889" w14:textId="34467DCD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145.0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EE254B" w14:textId="0F54FBC4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1.6 </w:t>
            </w:r>
          </w:p>
        </w:tc>
      </w:tr>
      <w:tr w:rsidR="00F43F65" w:rsidRPr="00C43B58" w14:paraId="10B7227B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59BA9A5B" w14:textId="5C74B6AD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江苏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C075A4" w14:textId="48036A31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153.3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6DF397" w14:textId="460DBBE2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134.5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26A79F" w14:textId="17ED9E07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-18.8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06F94859" w14:textId="436E6A08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湖南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459252F" w14:textId="0F97B73A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146.6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F449AB" w14:textId="4A5CEF95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150.0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BAC8D3" w14:textId="6A5FF3DA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3.4 </w:t>
            </w:r>
          </w:p>
        </w:tc>
      </w:tr>
      <w:tr w:rsidR="00F43F65" w:rsidRPr="00C43B58" w14:paraId="36E8631E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5CB27FFB" w14:textId="13C0541C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内蒙古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E49BF8" w14:textId="2160738B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108.3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40667D" w14:textId="0C3D6441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90.9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A8AABF" w14:textId="2A3BD367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-17.4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61AB12FD" w14:textId="6AD204B9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江西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B045730" w14:textId="6C2B6768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124.3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91CB97" w14:textId="582AF19F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130.0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3C4323" w14:textId="02844FE2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5.7 </w:t>
            </w:r>
          </w:p>
        </w:tc>
      </w:tr>
      <w:tr w:rsidR="00F43F65" w:rsidRPr="00C43B58" w14:paraId="598D5D76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0C2F41BB" w14:textId="64F6480C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湖北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BF94F85" w14:textId="6FCD26F3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145.5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6C57B6" w14:textId="2C5C3A6E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132.3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6DDC60" w14:textId="693A5511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-13.2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52AC2112" w14:textId="7FEDBABC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山东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7D9358" w14:textId="4FFD8197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138.8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8A6EB5" w14:textId="4B61634F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144.8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C60A7E" w14:textId="722BA54A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6.0 </w:t>
            </w:r>
          </w:p>
        </w:tc>
      </w:tr>
      <w:tr w:rsidR="00F43F65" w:rsidRPr="00C43B58" w14:paraId="43F421AF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1F4761F8" w14:textId="5581FD2A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福建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086225E" w14:textId="27D715AF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147.9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E11744" w14:textId="0167AD39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134.8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463823" w14:textId="016D2499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-13.1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02E4658B" w14:textId="7A819181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新疆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183C46" w14:textId="45C75F71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130.7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CCF471" w14:textId="0CA55050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136.8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CA6791" w14:textId="3D06D3DF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6.1 </w:t>
            </w:r>
          </w:p>
        </w:tc>
      </w:tr>
      <w:tr w:rsidR="00F43F65" w:rsidRPr="00C43B58" w14:paraId="23C9884A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07BD01A8" w14:textId="50E689B4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lastRenderedPageBreak/>
              <w:t>山西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8F53DA7" w14:textId="525631F9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113.1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4B35A3" w14:textId="4FC80768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100.0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55A5BA" w14:textId="47D0F47A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-13.1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1BC39F9F" w14:textId="38345304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辽宁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CF6271" w14:textId="1EA81291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122.5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004E0F" w14:textId="30DCFAA0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128.9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BF7A74" w14:textId="28879D93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6.4 </w:t>
            </w:r>
          </w:p>
        </w:tc>
      </w:tr>
      <w:tr w:rsidR="00F43F65" w:rsidRPr="00C43B58" w14:paraId="279DFC1B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057E31B0" w14:textId="4703CBAE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云南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544E642" w14:textId="42A1E740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131.6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424A17" w14:textId="58314FF3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120.9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214593" w14:textId="76D504FA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-10.7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4076DD7D" w14:textId="3557E30E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陕西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B1BCA05" w14:textId="46DDD4E5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120.0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21F1D7" w14:textId="473D230B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126.7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479EA6" w14:textId="0F762C46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6.7 </w:t>
            </w:r>
          </w:p>
        </w:tc>
      </w:tr>
      <w:tr w:rsidR="00F43F65" w:rsidRPr="00C43B58" w14:paraId="43C8ADF1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72DD5B51" w14:textId="03C03F48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河南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052584" w14:textId="4EE12D58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127.9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7D12CB" w14:textId="2F956DAD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119.6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46C76B" w14:textId="129D4996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-8.3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605D2D42" w14:textId="1B034651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河北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9E3190" w14:textId="7F108E60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158.3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E0536D" w14:textId="39330750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165.2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ED6F04" w14:textId="75AC6D70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6.9 </w:t>
            </w:r>
          </w:p>
        </w:tc>
      </w:tr>
      <w:tr w:rsidR="00F43F65" w:rsidRPr="00C43B58" w14:paraId="6754F8A8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04C5C6F4" w14:textId="64359850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重庆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26E2E4C" w14:textId="4EF70F88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144.4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F2E12A" w14:textId="771BB18A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136.8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B4F401" w14:textId="7C76F2DD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-7.6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7801ABD8" w14:textId="6329A968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甘肃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32A635E" w14:textId="62989BFB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110.5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330E8D" w14:textId="13A4E558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119.0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C20560" w14:textId="37FF2FCB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8.5 </w:t>
            </w:r>
          </w:p>
        </w:tc>
      </w:tr>
      <w:tr w:rsidR="00F43F65" w:rsidRPr="00C43B58" w14:paraId="65A43D70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41D43B7E" w14:textId="6CE96391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宁夏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5FB3149" w14:textId="4A39F374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130.0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9E6F33" w14:textId="2C3D8BE6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123.8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1CBB6A" w14:textId="502CB977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-6.2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4E4E9AB6" w14:textId="54A6BE79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广东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9223B7" w14:textId="6360EF73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132.7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70F706" w14:textId="18CEFF66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143.3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C18F53" w14:textId="58289FC1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10.6 </w:t>
            </w:r>
          </w:p>
        </w:tc>
      </w:tr>
      <w:tr w:rsidR="00F43F65" w:rsidRPr="00C43B58" w14:paraId="26E43D5E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68D5ED2B" w14:textId="030F2AA3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浙江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F871A5" w14:textId="67A1A53E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145.8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2CBDC7" w14:textId="3F4D2C24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141.8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79586E" w14:textId="0EA33B25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-4.0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38424555" w14:textId="04CC7455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北京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16AB1C2" w14:textId="7A90CAD5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140.0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323E2F" w14:textId="1FC24EA2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154.5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8881B2" w14:textId="7C4F5D10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14.5 </w:t>
            </w:r>
          </w:p>
        </w:tc>
      </w:tr>
      <w:tr w:rsidR="00F43F65" w:rsidRPr="00C43B58" w14:paraId="63633796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1D12FF5D" w14:textId="2DA58C0F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广西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CDB5FCF" w14:textId="2F0E7BA9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145.5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F77DEA" w14:textId="59AADD48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144.4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A63B45" w14:textId="0AF7F9A9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-1.1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073CA7ED" w14:textId="4BD6F43D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上海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02EB1E" w14:textId="01B5B402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135.0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2A455" w14:textId="32C770DE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154.5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6720D3" w14:textId="2841BAB6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19.5 </w:t>
            </w:r>
          </w:p>
        </w:tc>
      </w:tr>
      <w:tr w:rsidR="00F43F65" w:rsidRPr="00C43B58" w14:paraId="467F11B6" w14:textId="77777777" w:rsidTr="00B07CA7">
        <w:trPr>
          <w:trHeight w:val="270"/>
        </w:trPr>
        <w:tc>
          <w:tcPr>
            <w:tcW w:w="1080" w:type="dxa"/>
            <w:shd w:val="clear" w:color="000000" w:fill="F2F2F2"/>
            <w:vAlign w:val="center"/>
            <w:hideMark/>
          </w:tcPr>
          <w:p w14:paraId="705855C6" w14:textId="1632CB9D" w:rsidR="00F43F65" w:rsidRPr="00C77852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>四川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DF766F" w14:textId="3CA5913E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124.7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CF2A36" w14:textId="36C1CC45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123.9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321B4" w14:textId="43C63740" w:rsidR="00F43F65" w:rsidRPr="00C77852" w:rsidRDefault="00F43F65" w:rsidP="007653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77852">
              <w:rPr>
                <w:rFonts w:ascii="Arial" w:eastAsia="仿宋_GB2312" w:hAnsi="Arial" w:cs="Arial"/>
                <w:color w:val="000000"/>
                <w:sz w:val="22"/>
              </w:rPr>
              <w:t xml:space="preserve">-0.8 </w:t>
            </w:r>
          </w:p>
        </w:tc>
        <w:tc>
          <w:tcPr>
            <w:tcW w:w="1080" w:type="dxa"/>
            <w:shd w:val="clear" w:color="000000" w:fill="F2F2F2"/>
            <w:vAlign w:val="center"/>
            <w:hideMark/>
          </w:tcPr>
          <w:p w14:paraId="27809FD4" w14:textId="520A3B2E" w:rsidR="00F43F65" w:rsidRPr="00C177E4" w:rsidRDefault="00F43F65" w:rsidP="007653DF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2"/>
              </w:rPr>
            </w:pPr>
            <w:r w:rsidRPr="00C177E4">
              <w:rPr>
                <w:rFonts w:ascii="Arial" w:eastAsia="仿宋_GB2312" w:hAnsi="Arial" w:cs="Arial"/>
                <w:color w:val="000000"/>
                <w:sz w:val="22"/>
              </w:rPr>
              <w:t>西藏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C804CA8" w14:textId="5CE84295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100.0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097055" w14:textId="554F31DC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200.0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273DEA" w14:textId="5A3895B1" w:rsidR="00F43F65" w:rsidRPr="00C22F5F" w:rsidRDefault="00F43F65" w:rsidP="007653DF">
            <w:pPr>
              <w:widowControl/>
              <w:jc w:val="center"/>
              <w:rPr>
                <w:rFonts w:ascii="Arial" w:eastAsia="宋体" w:hAnsi="Arial" w:cs="Arial"/>
                <w:color w:val="A6A6A6" w:themeColor="background1" w:themeShade="A6"/>
                <w:kern w:val="0"/>
                <w:sz w:val="22"/>
              </w:rPr>
            </w:pPr>
            <w:r w:rsidRPr="00C22F5F">
              <w:rPr>
                <w:rFonts w:ascii="Arial" w:eastAsia="仿宋_GB2312" w:hAnsi="Arial" w:cs="Arial"/>
                <w:color w:val="A6A6A6" w:themeColor="background1" w:themeShade="A6"/>
                <w:sz w:val="22"/>
              </w:rPr>
              <w:t xml:space="preserve">100.0 </w:t>
            </w:r>
          </w:p>
        </w:tc>
      </w:tr>
    </w:tbl>
    <w:p w14:paraId="3D3AD6A2" w14:textId="77777777" w:rsidR="009006B3" w:rsidRDefault="009006B3" w:rsidP="009006B3">
      <w:pPr>
        <w:spacing w:line="360" w:lineRule="auto"/>
        <w:jc w:val="center"/>
        <w:rPr>
          <w:rFonts w:asciiTheme="minorEastAsia" w:hAnsiTheme="minorEastAsia"/>
          <w:sz w:val="20"/>
        </w:rPr>
      </w:pPr>
    </w:p>
    <w:p w14:paraId="59EA044F" w14:textId="77777777" w:rsidR="008441C7" w:rsidRDefault="008441C7" w:rsidP="004E6FD2">
      <w:pPr>
        <w:spacing w:line="360" w:lineRule="auto"/>
        <w:rPr>
          <w:rFonts w:ascii="仿宋_GB2312" w:eastAsia="仿宋_GB2312"/>
          <w:sz w:val="22"/>
        </w:rPr>
      </w:pPr>
    </w:p>
    <w:p w14:paraId="6DC1D07A" w14:textId="0A974F13" w:rsidR="00A454B8" w:rsidRPr="00A454B8" w:rsidRDefault="00132BE9" w:rsidP="00A454B8">
      <w:pPr>
        <w:spacing w:line="360" w:lineRule="auto"/>
        <w:ind w:firstLineChars="200" w:firstLine="442"/>
        <w:jc w:val="left"/>
        <w:rPr>
          <w:rFonts w:ascii="仿宋_GB2312" w:eastAsia="仿宋_GB2312"/>
          <w:b/>
          <w:sz w:val="22"/>
        </w:rPr>
      </w:pPr>
      <w:r w:rsidRPr="00A454B8">
        <w:rPr>
          <w:rFonts w:ascii="仿宋_GB2312" w:eastAsia="仿宋_GB2312" w:hint="eastAsia"/>
          <w:b/>
          <w:sz w:val="22"/>
        </w:rPr>
        <w:t>二、</w:t>
      </w:r>
      <w:r w:rsidR="00BB28DE" w:rsidRPr="00A454B8">
        <w:rPr>
          <w:rFonts w:ascii="仿宋_GB2312" w:eastAsia="仿宋_GB2312" w:hint="eastAsia"/>
          <w:b/>
          <w:sz w:val="22"/>
        </w:rPr>
        <w:t>各指标季度性回落，但</w:t>
      </w:r>
      <w:r w:rsidR="00BD1E98" w:rsidRPr="00A454B8">
        <w:rPr>
          <w:rFonts w:ascii="仿宋_GB2312" w:eastAsia="仿宋_GB2312" w:hint="eastAsia"/>
          <w:b/>
          <w:sz w:val="22"/>
        </w:rPr>
        <w:t>剔除季节因素后</w:t>
      </w:r>
      <w:r w:rsidR="00BB28DE" w:rsidRPr="00A454B8">
        <w:rPr>
          <w:rFonts w:ascii="仿宋_GB2312" w:eastAsia="仿宋_GB2312" w:hint="eastAsia"/>
          <w:b/>
          <w:sz w:val="22"/>
        </w:rPr>
        <w:t>则</w:t>
      </w:r>
      <w:r w:rsidR="00A454B8">
        <w:rPr>
          <w:rFonts w:ascii="仿宋_GB2312" w:eastAsia="仿宋_GB2312" w:hint="eastAsia"/>
          <w:b/>
          <w:sz w:val="22"/>
        </w:rPr>
        <w:t>呈现</w:t>
      </w:r>
      <w:r w:rsidR="00BD1E98" w:rsidRPr="00A454B8">
        <w:rPr>
          <w:rFonts w:ascii="仿宋_GB2312" w:eastAsia="仿宋_GB2312" w:hint="eastAsia"/>
          <w:b/>
          <w:sz w:val="22"/>
        </w:rPr>
        <w:t>全面回升</w:t>
      </w:r>
      <w:r w:rsidR="00BB28DE" w:rsidRPr="00A454B8">
        <w:rPr>
          <w:rFonts w:ascii="仿宋_GB2312" w:eastAsia="仿宋_GB2312" w:hint="eastAsia"/>
          <w:b/>
          <w:sz w:val="22"/>
        </w:rPr>
        <w:t>态势</w:t>
      </w:r>
    </w:p>
    <w:p w14:paraId="7D2E4CE9" w14:textId="601AE143" w:rsidR="00E43BE2" w:rsidRPr="00A454B8" w:rsidRDefault="001B6FB9" w:rsidP="00A454B8">
      <w:pPr>
        <w:spacing w:line="360" w:lineRule="auto"/>
        <w:ind w:firstLineChars="200" w:firstLine="440"/>
        <w:jc w:val="left"/>
        <w:rPr>
          <w:rFonts w:ascii="仿宋_GB2312" w:eastAsia="仿宋_GB2312"/>
          <w:b/>
          <w:sz w:val="22"/>
        </w:rPr>
      </w:pPr>
      <w:r>
        <w:rPr>
          <w:rFonts w:ascii="仿宋_GB2312" w:eastAsia="仿宋_GB2312" w:hint="eastAsia"/>
          <w:sz w:val="22"/>
        </w:rPr>
        <w:t>三季度，</w:t>
      </w:r>
      <w:r w:rsidR="00E43BE2">
        <w:rPr>
          <w:rFonts w:ascii="仿宋_GB2312" w:eastAsia="仿宋_GB2312" w:hint="eastAsia"/>
          <w:sz w:val="22"/>
        </w:rPr>
        <w:t>各指标</w:t>
      </w:r>
      <w:r w:rsidR="00E43BE2" w:rsidRPr="00C22F5F">
        <w:rPr>
          <w:rFonts w:ascii="仿宋_GB2312" w:eastAsia="仿宋_GB2312" w:hint="eastAsia"/>
          <w:sz w:val="22"/>
        </w:rPr>
        <w:t>调查</w:t>
      </w:r>
      <w:r w:rsidR="00E43BE2" w:rsidRPr="00C22F5F">
        <w:rPr>
          <w:rFonts w:ascii="仿宋_GB2312" w:eastAsia="仿宋_GB2312"/>
          <w:sz w:val="22"/>
        </w:rPr>
        <w:t>数据</w:t>
      </w:r>
      <w:r w:rsidR="00F101EC">
        <w:rPr>
          <w:rFonts w:ascii="仿宋_GB2312" w:eastAsia="仿宋_GB2312" w:hint="eastAsia"/>
          <w:sz w:val="22"/>
        </w:rPr>
        <w:t>均出现</w:t>
      </w:r>
      <w:r w:rsidR="00E43BE2">
        <w:rPr>
          <w:rFonts w:ascii="仿宋_GB2312" w:eastAsia="仿宋_GB2312" w:hint="eastAsia"/>
          <w:sz w:val="22"/>
        </w:rPr>
        <w:t>季节性下滑，但剔除季节因素影响后，</w:t>
      </w:r>
      <w:r w:rsidR="00BB28DE">
        <w:rPr>
          <w:rFonts w:ascii="仿宋_GB2312" w:eastAsia="仿宋_GB2312" w:hint="eastAsia"/>
          <w:sz w:val="22"/>
        </w:rPr>
        <w:t>大部分指标</w:t>
      </w:r>
      <w:r w:rsidR="00E43BE2">
        <w:rPr>
          <w:rFonts w:ascii="仿宋_GB2312" w:eastAsia="仿宋_GB2312" w:hint="eastAsia"/>
          <w:sz w:val="22"/>
        </w:rPr>
        <w:t>均</w:t>
      </w:r>
      <w:r w:rsidR="00BB28DE">
        <w:rPr>
          <w:rFonts w:ascii="仿宋_GB2312" w:eastAsia="仿宋_GB2312" w:hint="eastAsia"/>
          <w:sz w:val="22"/>
        </w:rPr>
        <w:t>呈现不同程度的回升</w:t>
      </w:r>
      <w:r w:rsidR="00E43BE2">
        <w:rPr>
          <w:rFonts w:ascii="仿宋_GB2312" w:eastAsia="仿宋_GB2312" w:hint="eastAsia"/>
          <w:sz w:val="22"/>
        </w:rPr>
        <w:t>（见表</w:t>
      </w:r>
      <w:r w:rsidR="00F101EC">
        <w:rPr>
          <w:rFonts w:ascii="仿宋_GB2312" w:eastAsia="仿宋_GB2312" w:hint="eastAsia"/>
          <w:sz w:val="22"/>
        </w:rPr>
        <w:t>2</w:t>
      </w:r>
      <w:r w:rsidR="00E43BE2">
        <w:rPr>
          <w:rFonts w:ascii="仿宋_GB2312" w:eastAsia="仿宋_GB2312" w:hint="eastAsia"/>
          <w:sz w:val="22"/>
        </w:rPr>
        <w:t>）</w:t>
      </w:r>
      <w:r w:rsidR="00BB28DE">
        <w:rPr>
          <w:rFonts w:ascii="仿宋_GB2312" w:eastAsia="仿宋_GB2312" w:hint="eastAsia"/>
          <w:sz w:val="22"/>
        </w:rPr>
        <w:t>，</w:t>
      </w:r>
      <w:r w:rsidR="00E43BE2">
        <w:rPr>
          <w:rFonts w:ascii="仿宋_GB2312" w:eastAsia="仿宋_GB2312" w:hint="eastAsia"/>
          <w:sz w:val="22"/>
        </w:rPr>
        <w:t>尤其是短期的市场需求和销售价格回升</w:t>
      </w:r>
      <w:r w:rsidR="00BB28DE">
        <w:rPr>
          <w:rFonts w:ascii="仿宋_GB2312" w:eastAsia="仿宋_GB2312" w:hint="eastAsia"/>
          <w:sz w:val="22"/>
        </w:rPr>
        <w:t>力度大</w:t>
      </w:r>
      <w:r w:rsidR="00E43BE2">
        <w:rPr>
          <w:rFonts w:ascii="仿宋_GB2312" w:eastAsia="仿宋_GB2312" w:hint="eastAsia"/>
          <w:sz w:val="22"/>
        </w:rPr>
        <w:t>。但是也要看到当前企业的订单还比较疲弱，新的投资还在下降，说明目前的回升还比较脆弱，回升的可持续性尚有待进一步观察。</w:t>
      </w:r>
    </w:p>
    <w:p w14:paraId="744975D6" w14:textId="06965AD1" w:rsidR="00E43BE2" w:rsidRPr="00571F18" w:rsidRDefault="00E43BE2" w:rsidP="00F461F3">
      <w:pPr>
        <w:widowControl/>
        <w:jc w:val="center"/>
        <w:rPr>
          <w:rFonts w:ascii="宋体" w:eastAsia="宋体" w:hAnsi="宋体" w:cs="Times New Roman"/>
          <w:sz w:val="20"/>
        </w:rPr>
      </w:pPr>
      <w:r w:rsidRPr="00571F18">
        <w:rPr>
          <w:rFonts w:ascii="宋体" w:eastAsia="宋体" w:hAnsi="宋体" w:cs="Times New Roman" w:hint="eastAsia"/>
          <w:sz w:val="20"/>
        </w:rPr>
        <w:t>表</w:t>
      </w:r>
      <w:r w:rsidR="00F101EC">
        <w:rPr>
          <w:rFonts w:ascii="宋体" w:eastAsia="宋体" w:hAnsi="宋体" w:cs="Times New Roman" w:hint="eastAsia"/>
          <w:sz w:val="20"/>
        </w:rPr>
        <w:t>2</w:t>
      </w:r>
      <w:r w:rsidRPr="00571F18">
        <w:rPr>
          <w:rFonts w:ascii="宋体" w:eastAsia="宋体" w:hAnsi="宋体" w:cs="Times New Roman" w:hint="eastAsia"/>
          <w:sz w:val="20"/>
        </w:rPr>
        <w:t xml:space="preserve"> 各景气指数2016年三季度环比增幅及调查以来三季度平均比较</w:t>
      </w:r>
    </w:p>
    <w:tbl>
      <w:tblPr>
        <w:tblW w:w="8104" w:type="dxa"/>
        <w:tblInd w:w="113" w:type="dxa"/>
        <w:tblLook w:val="04A0" w:firstRow="1" w:lastRow="0" w:firstColumn="1" w:lastColumn="0" w:noHBand="0" w:noVBand="1"/>
      </w:tblPr>
      <w:tblGrid>
        <w:gridCol w:w="1838"/>
        <w:gridCol w:w="2864"/>
        <w:gridCol w:w="1843"/>
        <w:gridCol w:w="1559"/>
      </w:tblGrid>
      <w:tr w:rsidR="00E43BE2" w:rsidRPr="00F101EC" w14:paraId="1597E429" w14:textId="77777777" w:rsidTr="00F101EC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81DC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 xml:space="preserve">　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BD25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黑体" w:cs="Times New Roman"/>
                <w:bCs/>
              </w:rPr>
            </w:pPr>
            <w:r w:rsidRPr="00F101EC">
              <w:rPr>
                <w:rFonts w:ascii="仿宋_GB2312" w:eastAsia="仿宋_GB2312" w:hAnsi="黑体" w:cs="Times New Roman" w:hint="eastAsia"/>
                <w:bCs/>
              </w:rPr>
              <w:t>三季度环比增幅三年平均值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7ABF" w14:textId="77777777" w:rsidR="001D79BD" w:rsidRDefault="001D79BD" w:rsidP="00F101EC">
            <w:pPr>
              <w:spacing w:line="360" w:lineRule="auto"/>
              <w:jc w:val="center"/>
              <w:rPr>
                <w:rFonts w:ascii="仿宋_GB2312" w:eastAsia="仿宋_GB2312" w:hAnsi="黑体" w:cs="Times New Roman"/>
                <w:bCs/>
              </w:rPr>
            </w:pPr>
            <w:r>
              <w:rPr>
                <w:rFonts w:ascii="仿宋_GB2312" w:eastAsia="仿宋_GB2312" w:hAnsi="黑体" w:cs="Times New Roman" w:hint="eastAsia"/>
                <w:bCs/>
              </w:rPr>
              <w:t>2016年</w:t>
            </w:r>
            <w:r w:rsidR="00E43BE2" w:rsidRPr="00F101EC">
              <w:rPr>
                <w:rFonts w:ascii="仿宋_GB2312" w:eastAsia="仿宋_GB2312" w:hAnsi="黑体" w:cs="Times New Roman" w:hint="eastAsia"/>
                <w:bCs/>
              </w:rPr>
              <w:t>三季度</w:t>
            </w:r>
          </w:p>
          <w:p w14:paraId="712927AE" w14:textId="6797DFD4" w:rsidR="00E43BE2" w:rsidRPr="00F101EC" w:rsidRDefault="00E43BE2" w:rsidP="00F101EC">
            <w:pPr>
              <w:spacing w:line="360" w:lineRule="auto"/>
              <w:jc w:val="center"/>
              <w:rPr>
                <w:rFonts w:ascii="仿宋_GB2312" w:eastAsia="仿宋_GB2312" w:hAnsi="黑体" w:cs="Times New Roman"/>
                <w:bCs/>
              </w:rPr>
            </w:pPr>
            <w:r w:rsidRPr="00F101EC">
              <w:rPr>
                <w:rFonts w:ascii="仿宋_GB2312" w:eastAsia="仿宋_GB2312" w:hAnsi="黑体" w:cs="Times New Roman" w:hint="eastAsia"/>
                <w:bCs/>
              </w:rPr>
              <w:t>环比增幅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42623" w14:textId="6A54D6CE" w:rsidR="00F101EC" w:rsidRPr="00F101EC" w:rsidRDefault="00E43BE2" w:rsidP="00F101EC">
            <w:pPr>
              <w:spacing w:line="360" w:lineRule="auto"/>
              <w:ind w:rightChars="-119" w:right="-250"/>
              <w:jc w:val="center"/>
              <w:rPr>
                <w:rFonts w:ascii="仿宋_GB2312" w:eastAsia="仿宋_GB2312" w:hAnsi="黑体" w:cs="Times New Roman"/>
                <w:bCs/>
              </w:rPr>
            </w:pPr>
            <w:r w:rsidRPr="00F101EC">
              <w:rPr>
                <w:rFonts w:ascii="仿宋_GB2312" w:eastAsia="仿宋_GB2312" w:hAnsi="黑体" w:cs="Times New Roman" w:hint="eastAsia"/>
                <w:bCs/>
              </w:rPr>
              <w:t>季节调整</w:t>
            </w:r>
            <w:r w:rsidR="004079E7" w:rsidRPr="00F101EC">
              <w:rPr>
                <w:rFonts w:ascii="仿宋_GB2312" w:eastAsia="仿宋_GB2312" w:hAnsi="黑体" w:cs="Times New Roman" w:hint="eastAsia"/>
                <w:bCs/>
              </w:rPr>
              <w:t>后</w:t>
            </w:r>
          </w:p>
        </w:tc>
      </w:tr>
      <w:tr w:rsidR="00E43BE2" w:rsidRPr="00F101EC" w14:paraId="0C519B39" w14:textId="77777777" w:rsidTr="00F101EC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AB65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2"/>
              </w:rPr>
            </w:pPr>
            <w:r w:rsidRPr="00F101EC">
              <w:rPr>
                <w:rFonts w:ascii="仿宋_GB2312" w:eastAsia="仿宋_GB2312" w:hAnsi="黑体" w:cs="Times New Roman" w:hint="eastAsia"/>
                <w:sz w:val="22"/>
              </w:rPr>
              <w:t>企业家信心指数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2BDD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-2.87%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A5F6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2.83%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9EC3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5.71%</w:t>
            </w:r>
          </w:p>
        </w:tc>
      </w:tr>
      <w:tr w:rsidR="00E43BE2" w:rsidRPr="00F101EC" w14:paraId="2DD2F1F6" w14:textId="77777777" w:rsidTr="00F101EC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A144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2"/>
              </w:rPr>
            </w:pPr>
            <w:r w:rsidRPr="00F101EC">
              <w:rPr>
                <w:rFonts w:ascii="仿宋_GB2312" w:eastAsia="仿宋_GB2312" w:hAnsi="黑体" w:cs="Times New Roman" w:hint="eastAsia"/>
                <w:sz w:val="22"/>
              </w:rPr>
              <w:t>行业景气指数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7317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-1.59%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F479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1.90%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ABDD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3.49%</w:t>
            </w:r>
          </w:p>
        </w:tc>
      </w:tr>
      <w:tr w:rsidR="00E43BE2" w:rsidRPr="00F101EC" w14:paraId="60623C09" w14:textId="77777777" w:rsidTr="00F101EC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93872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2"/>
              </w:rPr>
            </w:pPr>
            <w:r w:rsidRPr="00F101EC">
              <w:rPr>
                <w:rFonts w:ascii="仿宋_GB2312" w:eastAsia="仿宋_GB2312" w:hAnsi="黑体" w:cs="Times New Roman" w:hint="eastAsia"/>
                <w:sz w:val="22"/>
              </w:rPr>
              <w:t>生产总指数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72B3A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-6.95%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4AA7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-5.51%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6C8CE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1.45%</w:t>
            </w:r>
          </w:p>
        </w:tc>
      </w:tr>
      <w:tr w:rsidR="00E43BE2" w:rsidRPr="00F101EC" w14:paraId="2EAECAEB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FDC3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用工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E92D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-6.05%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13D4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-4.39%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F737F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1.66%</w:t>
            </w:r>
          </w:p>
        </w:tc>
      </w:tr>
      <w:tr w:rsidR="00E43BE2" w:rsidRPr="00F101EC" w14:paraId="4D787D61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75E9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设备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2BA3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-10.72%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C458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-9.33%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609F3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1.39%</w:t>
            </w:r>
          </w:p>
        </w:tc>
      </w:tr>
      <w:tr w:rsidR="00E43BE2" w:rsidRPr="00F101EC" w14:paraId="604C597A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EDDD6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库存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12E4A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-1.04%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994A9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9180C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1.04%</w:t>
            </w:r>
          </w:p>
        </w:tc>
      </w:tr>
      <w:tr w:rsidR="00E43BE2" w:rsidRPr="00F101EC" w14:paraId="1E4BDAC5" w14:textId="77777777" w:rsidTr="00F101EC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18458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黑体" w:cs="Times New Roman" w:hint="eastAsia"/>
                <w:sz w:val="22"/>
              </w:rPr>
              <w:t>销售总指数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1ACD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-7.15%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2DF9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-4.43%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47AE7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2.72%</w:t>
            </w:r>
          </w:p>
        </w:tc>
      </w:tr>
      <w:tr w:rsidR="00E43BE2" w:rsidRPr="00F101EC" w14:paraId="357B381B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6BF1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市场需求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D51E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-8.35%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5AE33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-4.05%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8AD40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4.30%</w:t>
            </w:r>
          </w:p>
        </w:tc>
      </w:tr>
      <w:tr w:rsidR="00E43BE2" w:rsidRPr="00F101EC" w14:paraId="3DABB6C1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44511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销售价格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6E2D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-3.28%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7563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-0.29%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123EB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2.99%</w:t>
            </w:r>
          </w:p>
        </w:tc>
      </w:tr>
      <w:tr w:rsidR="00E43BE2" w:rsidRPr="00F101EC" w14:paraId="020D11CD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CF6B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订单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3CC0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-9.84%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5569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-9.49%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C77CF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0.35%</w:t>
            </w:r>
          </w:p>
        </w:tc>
      </w:tr>
      <w:tr w:rsidR="00E43BE2" w:rsidRPr="00F101EC" w14:paraId="41E8A4FD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09188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盈亏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E0C1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-5.42%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A2E7F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-2.83%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68491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2.59%</w:t>
            </w:r>
          </w:p>
        </w:tc>
      </w:tr>
      <w:tr w:rsidR="00E43BE2" w:rsidRPr="00F101EC" w14:paraId="72076F06" w14:textId="77777777" w:rsidTr="00F101EC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508F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黑体" w:cs="Times New Roman" w:hint="eastAsia"/>
                <w:sz w:val="22"/>
              </w:rPr>
              <w:t>资金景气指数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53ED6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-1.70%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7D1F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-1.06%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4DEE3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0.64%</w:t>
            </w:r>
          </w:p>
        </w:tc>
      </w:tr>
      <w:tr w:rsidR="00E43BE2" w:rsidRPr="00F101EC" w14:paraId="63A52044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B1ABD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融资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D8B51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-5.81%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8747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-1.09%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09B5D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4.72%</w:t>
            </w:r>
          </w:p>
        </w:tc>
      </w:tr>
      <w:tr w:rsidR="00E43BE2" w:rsidRPr="00F101EC" w14:paraId="10C7E997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B69B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投资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3358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-5.06%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AB68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-6.52%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B98F5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-1.46%</w:t>
            </w:r>
          </w:p>
        </w:tc>
      </w:tr>
      <w:tr w:rsidR="00E43BE2" w:rsidRPr="00F101EC" w14:paraId="0F2FBB17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8FFA0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lastRenderedPageBreak/>
              <w:t>资金周转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378B0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-0.27%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9D06E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0.15%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DD34B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0.42%</w:t>
            </w:r>
          </w:p>
        </w:tc>
      </w:tr>
      <w:tr w:rsidR="00E43BE2" w:rsidRPr="00F101EC" w14:paraId="7520A31C" w14:textId="77777777" w:rsidTr="00F101EC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928D7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黑体" w:cs="Times New Roman" w:hint="eastAsia"/>
                <w:sz w:val="22"/>
              </w:rPr>
              <w:t>创新景气指数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7E86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-7.10%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299EC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-5.56%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7B1E7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1.54%</w:t>
            </w:r>
          </w:p>
        </w:tc>
      </w:tr>
      <w:tr w:rsidR="00E43BE2" w:rsidRPr="00F101EC" w14:paraId="652572FC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E7238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研发投入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8A5D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-7.48%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D838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-5.88%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BBAAD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1.60%</w:t>
            </w:r>
          </w:p>
        </w:tc>
      </w:tr>
      <w:tr w:rsidR="00E43BE2" w:rsidRPr="00F101EC" w14:paraId="29E60C1B" w14:textId="77777777" w:rsidTr="00F101EC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1C37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宋体" w:cs="Times New Roman" w:hint="eastAsia"/>
                <w:sz w:val="22"/>
              </w:rPr>
              <w:t>专利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4EB0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-4.42%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6E35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-4.79%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7D0E7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-0.37%</w:t>
            </w:r>
          </w:p>
        </w:tc>
      </w:tr>
      <w:tr w:rsidR="00E43BE2" w:rsidRPr="00F101EC" w14:paraId="72512E11" w14:textId="77777777" w:rsidTr="00F101EC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B27A5" w14:textId="77777777" w:rsidR="00E43BE2" w:rsidRPr="00F101EC" w:rsidRDefault="00E43BE2" w:rsidP="002C1621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2"/>
              </w:rPr>
            </w:pPr>
            <w:r w:rsidRPr="00F101EC">
              <w:rPr>
                <w:rFonts w:ascii="仿宋_GB2312" w:eastAsia="仿宋_GB2312" w:hAnsi="黑体" w:cs="Times New Roman" w:hint="eastAsia"/>
                <w:sz w:val="22"/>
              </w:rPr>
              <w:t>政策环境指数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DBDB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-3.96%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B1E3A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-0.23%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35D5A" w14:textId="77777777" w:rsidR="00E43BE2" w:rsidRPr="00F101EC" w:rsidRDefault="00E43BE2" w:rsidP="00F101EC">
            <w:pPr>
              <w:spacing w:line="360" w:lineRule="auto"/>
              <w:jc w:val="center"/>
              <w:rPr>
                <w:rFonts w:ascii="Arial" w:eastAsia="仿宋_GB2312" w:hAnsi="Arial" w:cs="Arial"/>
                <w:sz w:val="20"/>
              </w:rPr>
            </w:pPr>
            <w:r w:rsidRPr="00F101EC">
              <w:rPr>
                <w:rFonts w:ascii="Arial" w:eastAsia="仿宋_GB2312" w:hAnsi="Arial" w:cs="Arial"/>
                <w:sz w:val="20"/>
              </w:rPr>
              <w:t>3.73%</w:t>
            </w:r>
          </w:p>
        </w:tc>
      </w:tr>
    </w:tbl>
    <w:p w14:paraId="66050877" w14:textId="5CEB70B5" w:rsidR="00BB28DE" w:rsidRPr="00571F18" w:rsidRDefault="00BB28DE" w:rsidP="00F461F3">
      <w:pPr>
        <w:spacing w:line="360" w:lineRule="auto"/>
        <w:jc w:val="left"/>
        <w:rPr>
          <w:rFonts w:ascii="宋体" w:eastAsia="宋体" w:hAnsi="宋体" w:cs="Times New Roman"/>
          <w:sz w:val="20"/>
        </w:rPr>
      </w:pPr>
    </w:p>
    <w:p w14:paraId="7DFC526D" w14:textId="69E477CA" w:rsidR="00B71E06" w:rsidRPr="004529EE" w:rsidRDefault="00384695" w:rsidP="00BD1E98">
      <w:pPr>
        <w:spacing w:afterLines="50" w:after="156" w:line="360" w:lineRule="auto"/>
        <w:ind w:firstLineChars="200" w:firstLine="442"/>
        <w:rPr>
          <w:rFonts w:ascii="仿宋_GB2312" w:eastAsia="仿宋_GB2312"/>
          <w:b/>
          <w:sz w:val="22"/>
        </w:rPr>
      </w:pPr>
      <w:r w:rsidRPr="004529EE">
        <w:rPr>
          <w:rFonts w:ascii="仿宋_GB2312" w:eastAsia="仿宋_GB2312" w:hint="eastAsia"/>
          <w:b/>
          <w:sz w:val="22"/>
        </w:rPr>
        <w:t>1</w:t>
      </w:r>
      <w:r w:rsidR="00B71E06" w:rsidRPr="004529EE">
        <w:rPr>
          <w:rFonts w:ascii="仿宋_GB2312" w:eastAsia="仿宋_GB2312" w:hint="eastAsia"/>
          <w:b/>
          <w:sz w:val="22"/>
        </w:rPr>
        <w:t>、产销</w:t>
      </w:r>
      <w:r w:rsidR="001A0DEF" w:rsidRPr="004529EE">
        <w:rPr>
          <w:rFonts w:ascii="仿宋_GB2312" w:eastAsia="仿宋_GB2312" w:hint="eastAsia"/>
          <w:b/>
          <w:sz w:val="22"/>
        </w:rPr>
        <w:t>景气</w:t>
      </w:r>
      <w:r w:rsidR="00545FE3" w:rsidRPr="00550518">
        <w:rPr>
          <w:rFonts w:ascii="仿宋_GB2312" w:eastAsia="仿宋_GB2312" w:hint="eastAsia"/>
          <w:b/>
          <w:sz w:val="22"/>
        </w:rPr>
        <w:t>季度性回落</w:t>
      </w:r>
      <w:r w:rsidR="00714CA9">
        <w:rPr>
          <w:rFonts w:ascii="仿宋_GB2312" w:eastAsia="仿宋_GB2312" w:hint="eastAsia"/>
          <w:b/>
          <w:sz w:val="22"/>
        </w:rPr>
        <w:t>，</w:t>
      </w:r>
      <w:r w:rsidR="00DA5F6F">
        <w:rPr>
          <w:rFonts w:ascii="仿宋_GB2312" w:eastAsia="仿宋_GB2312" w:hint="eastAsia"/>
          <w:b/>
          <w:sz w:val="22"/>
        </w:rPr>
        <w:t>季节因素调整后整体回升，</w:t>
      </w:r>
      <w:r w:rsidR="00714CA9">
        <w:rPr>
          <w:rFonts w:ascii="仿宋_GB2312" w:eastAsia="仿宋_GB2312" w:hint="eastAsia"/>
          <w:b/>
          <w:sz w:val="22"/>
        </w:rPr>
        <w:t>经济效益</w:t>
      </w:r>
      <w:r w:rsidR="0080484E">
        <w:rPr>
          <w:rFonts w:ascii="仿宋_GB2312" w:eastAsia="仿宋_GB2312" w:hint="eastAsia"/>
          <w:b/>
          <w:sz w:val="22"/>
        </w:rPr>
        <w:t>基本</w:t>
      </w:r>
      <w:r w:rsidR="009D5235">
        <w:rPr>
          <w:rFonts w:ascii="仿宋_GB2312" w:eastAsia="仿宋_GB2312" w:hint="eastAsia"/>
          <w:b/>
          <w:sz w:val="22"/>
        </w:rPr>
        <w:t>保持稳定</w:t>
      </w:r>
    </w:p>
    <w:p w14:paraId="53F31037" w14:textId="66818BB6" w:rsidR="006E680E" w:rsidRDefault="00550518" w:rsidP="00B97F11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三</w:t>
      </w:r>
      <w:r w:rsidR="00173C84" w:rsidRPr="00173C84">
        <w:rPr>
          <w:rFonts w:ascii="仿宋_GB2312" w:eastAsia="仿宋_GB2312" w:hint="eastAsia"/>
          <w:sz w:val="22"/>
        </w:rPr>
        <w:t>季度</w:t>
      </w:r>
      <w:r w:rsidR="00173C84">
        <w:rPr>
          <w:rFonts w:ascii="仿宋_GB2312" w:eastAsia="仿宋_GB2312" w:hint="eastAsia"/>
          <w:sz w:val="22"/>
        </w:rPr>
        <w:t>，</w:t>
      </w:r>
      <w:r w:rsidR="0094484D">
        <w:rPr>
          <w:rFonts w:ascii="仿宋_GB2312" w:eastAsia="仿宋_GB2312" w:hint="eastAsia"/>
          <w:sz w:val="22"/>
        </w:rPr>
        <w:t>战略性新兴产业企业生产景气</w:t>
      </w:r>
      <w:r w:rsidR="00FE309E">
        <w:rPr>
          <w:rFonts w:ascii="仿宋_GB2312" w:eastAsia="仿宋_GB2312" w:hint="eastAsia"/>
          <w:sz w:val="22"/>
        </w:rPr>
        <w:t>由上季度</w:t>
      </w:r>
      <w:r w:rsidR="0071492B">
        <w:rPr>
          <w:rFonts w:ascii="仿宋_GB2312" w:eastAsia="仿宋_GB2312" w:hint="eastAsia"/>
          <w:sz w:val="22"/>
        </w:rPr>
        <w:t>高速反弹后</w:t>
      </w:r>
      <w:r w:rsidR="004677E5">
        <w:rPr>
          <w:rFonts w:ascii="仿宋_GB2312" w:eastAsia="仿宋_GB2312" w:hint="eastAsia"/>
          <w:sz w:val="22"/>
        </w:rPr>
        <w:t>季度性回落</w:t>
      </w:r>
      <w:r w:rsidR="0071492B">
        <w:rPr>
          <w:rFonts w:ascii="仿宋_GB2312" w:eastAsia="仿宋_GB2312" w:hint="eastAsia"/>
          <w:sz w:val="22"/>
        </w:rPr>
        <w:t>至116.7</w:t>
      </w:r>
      <w:r w:rsidR="008A1ABD">
        <w:rPr>
          <w:rFonts w:ascii="仿宋_GB2312" w:eastAsia="仿宋_GB2312" w:hint="eastAsia"/>
          <w:sz w:val="22"/>
        </w:rPr>
        <w:t>（</w:t>
      </w:r>
      <w:r w:rsidR="00137AE2">
        <w:rPr>
          <w:rFonts w:ascii="仿宋_GB2312" w:eastAsia="仿宋_GB2312" w:hint="eastAsia"/>
          <w:sz w:val="22"/>
        </w:rPr>
        <w:t>见图</w:t>
      </w:r>
      <w:r w:rsidR="002E0578">
        <w:rPr>
          <w:rFonts w:ascii="仿宋_GB2312" w:eastAsia="仿宋_GB2312" w:hint="eastAsia"/>
          <w:sz w:val="22"/>
        </w:rPr>
        <w:t>4</w:t>
      </w:r>
      <w:r w:rsidR="008A1ABD">
        <w:rPr>
          <w:rFonts w:ascii="仿宋_GB2312" w:eastAsia="仿宋_GB2312" w:hint="eastAsia"/>
          <w:sz w:val="22"/>
        </w:rPr>
        <w:t>）</w:t>
      </w:r>
      <w:r w:rsidR="000B5E37">
        <w:rPr>
          <w:rFonts w:ascii="仿宋_GB2312" w:eastAsia="仿宋_GB2312" w:hint="eastAsia"/>
          <w:sz w:val="22"/>
        </w:rPr>
        <w:t>。从主要生产指标来看，</w:t>
      </w:r>
      <w:r w:rsidR="008A1ABD">
        <w:rPr>
          <w:rFonts w:ascii="仿宋_GB2312" w:eastAsia="仿宋_GB2312" w:hint="eastAsia"/>
          <w:sz w:val="22"/>
        </w:rPr>
        <w:t>用工景气指数</w:t>
      </w:r>
      <w:r w:rsidR="00E2605F">
        <w:rPr>
          <w:rFonts w:ascii="仿宋_GB2312" w:eastAsia="仿宋_GB2312" w:hint="eastAsia"/>
          <w:sz w:val="22"/>
        </w:rPr>
        <w:t>和设备利用率指数出现不同程度的</w:t>
      </w:r>
      <w:r w:rsidR="006B623E">
        <w:rPr>
          <w:rFonts w:ascii="仿宋_GB2312" w:eastAsia="仿宋_GB2312" w:hint="eastAsia"/>
          <w:sz w:val="22"/>
        </w:rPr>
        <w:t>下滑</w:t>
      </w:r>
      <w:r w:rsidR="00080AC8">
        <w:rPr>
          <w:rFonts w:ascii="仿宋_GB2312" w:eastAsia="仿宋_GB2312" w:hint="eastAsia"/>
          <w:sz w:val="22"/>
        </w:rPr>
        <w:t>（见图5）</w:t>
      </w:r>
      <w:r w:rsidR="00E2605F">
        <w:rPr>
          <w:rFonts w:ascii="仿宋_GB2312" w:eastAsia="仿宋_GB2312" w:hint="eastAsia"/>
          <w:sz w:val="22"/>
        </w:rPr>
        <w:t>，</w:t>
      </w:r>
      <w:r w:rsidR="0071492B">
        <w:rPr>
          <w:rFonts w:ascii="仿宋_GB2312" w:eastAsia="仿宋_GB2312" w:hint="eastAsia"/>
          <w:sz w:val="22"/>
        </w:rPr>
        <w:t>前者由127.5下滑至121.9，后者由137.2下降至124.4</w:t>
      </w:r>
      <w:r w:rsidR="00332A1A">
        <w:rPr>
          <w:rFonts w:ascii="仿宋_GB2312" w:eastAsia="仿宋_GB2312" w:hint="eastAsia"/>
          <w:sz w:val="22"/>
        </w:rPr>
        <w:t>；</w:t>
      </w:r>
      <w:r w:rsidR="008A1ABD">
        <w:rPr>
          <w:rFonts w:ascii="仿宋_GB2312" w:eastAsia="仿宋_GB2312" w:hint="eastAsia"/>
          <w:sz w:val="22"/>
        </w:rPr>
        <w:t>库存指数</w:t>
      </w:r>
      <w:r w:rsidR="00F24765">
        <w:rPr>
          <w:rFonts w:ascii="仿宋_GB2312" w:eastAsia="仿宋_GB2312" w:hint="eastAsia"/>
          <w:sz w:val="22"/>
        </w:rPr>
        <w:t>波动较小，</w:t>
      </w:r>
      <w:r w:rsidR="0025664B">
        <w:rPr>
          <w:rFonts w:ascii="仿宋_GB2312" w:eastAsia="仿宋_GB2312" w:hint="eastAsia"/>
          <w:sz w:val="22"/>
        </w:rPr>
        <w:t>保持在97.5的水平，</w:t>
      </w:r>
      <w:r w:rsidR="00655801">
        <w:rPr>
          <w:rFonts w:ascii="仿宋_GB2312" w:eastAsia="仿宋_GB2312" w:hint="eastAsia"/>
          <w:sz w:val="22"/>
        </w:rPr>
        <w:t>与二</w:t>
      </w:r>
      <w:r w:rsidR="001B46DB">
        <w:rPr>
          <w:rFonts w:ascii="仿宋_GB2312" w:eastAsia="仿宋_GB2312" w:hint="eastAsia"/>
          <w:sz w:val="22"/>
        </w:rPr>
        <w:t>季度</w:t>
      </w:r>
      <w:r w:rsidR="00655801">
        <w:rPr>
          <w:rFonts w:ascii="仿宋_GB2312" w:eastAsia="仿宋_GB2312" w:hint="eastAsia"/>
          <w:sz w:val="22"/>
        </w:rPr>
        <w:t>基本持平</w:t>
      </w:r>
      <w:r w:rsidR="006E680E">
        <w:rPr>
          <w:rFonts w:ascii="仿宋_GB2312" w:eastAsia="仿宋_GB2312" w:hint="eastAsia"/>
          <w:sz w:val="22"/>
        </w:rPr>
        <w:t>。总体来看，各生产指标的走势与</w:t>
      </w:r>
      <w:r w:rsidR="00D00293">
        <w:rPr>
          <w:rFonts w:ascii="仿宋_GB2312" w:eastAsia="仿宋_GB2312" w:hint="eastAsia"/>
          <w:sz w:val="22"/>
        </w:rPr>
        <w:t>季度</w:t>
      </w:r>
      <w:r w:rsidR="006E680E">
        <w:rPr>
          <w:rFonts w:ascii="仿宋_GB2312" w:eastAsia="仿宋_GB2312" w:hint="eastAsia"/>
          <w:sz w:val="22"/>
        </w:rPr>
        <w:t>性</w:t>
      </w:r>
      <w:r w:rsidR="00D00293">
        <w:rPr>
          <w:rFonts w:ascii="仿宋_GB2312" w:eastAsia="仿宋_GB2312" w:hint="eastAsia"/>
          <w:sz w:val="22"/>
        </w:rPr>
        <w:t>回落</w:t>
      </w:r>
      <w:r w:rsidR="006E680E">
        <w:rPr>
          <w:rFonts w:ascii="仿宋_GB2312" w:eastAsia="仿宋_GB2312" w:hint="eastAsia"/>
          <w:sz w:val="22"/>
        </w:rPr>
        <w:t>相符</w:t>
      </w:r>
      <w:r w:rsidR="00B97F11">
        <w:rPr>
          <w:rFonts w:ascii="仿宋_GB2312" w:eastAsia="仿宋_GB2312" w:hint="eastAsia"/>
          <w:sz w:val="22"/>
        </w:rPr>
        <w:t>，</w:t>
      </w:r>
      <w:r w:rsidR="0069711F">
        <w:rPr>
          <w:rFonts w:ascii="仿宋_GB2312" w:eastAsia="仿宋_GB2312" w:hint="eastAsia"/>
          <w:sz w:val="22"/>
        </w:rPr>
        <w:t>总体上略低于</w:t>
      </w:r>
      <w:r w:rsidR="00C622C6">
        <w:rPr>
          <w:rFonts w:ascii="仿宋_GB2312" w:eastAsia="仿宋_GB2312" w:hint="eastAsia"/>
          <w:sz w:val="22"/>
        </w:rPr>
        <w:t>于</w:t>
      </w:r>
      <w:r w:rsidR="00B97F11">
        <w:rPr>
          <w:rFonts w:ascii="仿宋_GB2312" w:eastAsia="仿宋_GB2312" w:hint="eastAsia"/>
          <w:sz w:val="22"/>
        </w:rPr>
        <w:t>去年同期</w:t>
      </w:r>
      <w:r w:rsidR="00C622C6">
        <w:rPr>
          <w:rFonts w:ascii="仿宋_GB2312" w:eastAsia="仿宋_GB2312" w:hint="eastAsia"/>
          <w:sz w:val="22"/>
        </w:rPr>
        <w:t>水平</w:t>
      </w:r>
      <w:r w:rsidR="00B97F11">
        <w:rPr>
          <w:rFonts w:ascii="仿宋_GB2312" w:eastAsia="仿宋_GB2312" w:hint="eastAsia"/>
          <w:sz w:val="22"/>
        </w:rPr>
        <w:t>。</w:t>
      </w:r>
      <w:r w:rsidR="00501679">
        <w:rPr>
          <w:rFonts w:ascii="仿宋_GB2312" w:eastAsia="仿宋_GB2312" w:hint="eastAsia"/>
          <w:sz w:val="22"/>
        </w:rPr>
        <w:t>剔除季节影响因素后，生产景气指数</w:t>
      </w:r>
      <w:r w:rsidR="00EA4F9A">
        <w:rPr>
          <w:rFonts w:ascii="仿宋_GB2312" w:eastAsia="仿宋_GB2312" w:hint="eastAsia"/>
          <w:sz w:val="22"/>
        </w:rPr>
        <w:t>较上期增长</w:t>
      </w:r>
      <w:r w:rsidR="00501679">
        <w:rPr>
          <w:rFonts w:ascii="仿宋_GB2312" w:eastAsia="仿宋_GB2312" w:hint="eastAsia"/>
          <w:sz w:val="22"/>
        </w:rPr>
        <w:t>1.45%</w:t>
      </w:r>
      <w:r w:rsidR="00EA4F9A">
        <w:rPr>
          <w:rFonts w:ascii="仿宋_GB2312" w:eastAsia="仿宋_GB2312" w:hint="eastAsia"/>
          <w:sz w:val="22"/>
        </w:rPr>
        <w:t>，</w:t>
      </w:r>
      <w:r w:rsidR="001B34F7">
        <w:rPr>
          <w:rFonts w:ascii="仿宋_GB2312" w:eastAsia="仿宋_GB2312" w:hint="eastAsia"/>
          <w:sz w:val="22"/>
        </w:rPr>
        <w:t>其中，用工、设备和库存指数分别增长1.66%、1.39%和1.04%，</w:t>
      </w:r>
      <w:r w:rsidR="008C1934">
        <w:rPr>
          <w:rFonts w:ascii="仿宋_GB2312" w:eastAsia="仿宋_GB2312" w:hint="eastAsia"/>
          <w:sz w:val="22"/>
        </w:rPr>
        <w:t>调整后生产整体呈现回升态势。</w:t>
      </w:r>
    </w:p>
    <w:p w14:paraId="2EC1E81F" w14:textId="4399665E" w:rsidR="00FE309E" w:rsidRPr="00F47708" w:rsidRDefault="004677E5" w:rsidP="00FE2C6E">
      <w:pPr>
        <w:spacing w:line="360" w:lineRule="auto"/>
        <w:jc w:val="center"/>
        <w:rPr>
          <w:rFonts w:ascii="仿宋_GB2312" w:eastAsia="仿宋_GB2312"/>
          <w:sz w:val="22"/>
          <w:highlight w:val="lightGray"/>
        </w:rPr>
      </w:pPr>
      <w:r>
        <w:rPr>
          <w:noProof/>
        </w:rPr>
        <w:drawing>
          <wp:inline distT="0" distB="0" distL="0" distR="0" wp14:anchorId="4DCEEC7C" wp14:editId="3843BF12">
            <wp:extent cx="5113020" cy="1951355"/>
            <wp:effectExtent l="0" t="0" r="11430" b="1079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F2B471" w14:textId="5ED8D8BC" w:rsidR="007163AE" w:rsidRDefault="007163AE" w:rsidP="003E1957">
      <w:pPr>
        <w:spacing w:afterLines="50" w:after="156" w:line="360" w:lineRule="auto"/>
        <w:jc w:val="center"/>
        <w:rPr>
          <w:rFonts w:asciiTheme="minorEastAsia" w:hAnsiTheme="minorEastAsia"/>
          <w:sz w:val="20"/>
        </w:rPr>
      </w:pPr>
      <w:r w:rsidRPr="00FE309E">
        <w:rPr>
          <w:rFonts w:asciiTheme="minorEastAsia" w:hAnsiTheme="minorEastAsia" w:hint="eastAsia"/>
          <w:sz w:val="20"/>
        </w:rPr>
        <w:t>图</w:t>
      </w:r>
      <w:r w:rsidR="002E0578">
        <w:rPr>
          <w:rFonts w:asciiTheme="minorEastAsia" w:hAnsiTheme="minorEastAsia" w:hint="eastAsia"/>
          <w:sz w:val="20"/>
        </w:rPr>
        <w:t>4</w:t>
      </w:r>
      <w:r w:rsidR="005B6FC9" w:rsidRPr="00FE309E">
        <w:rPr>
          <w:rFonts w:asciiTheme="minorEastAsia" w:hAnsiTheme="minorEastAsia" w:hint="eastAsia"/>
          <w:sz w:val="20"/>
        </w:rPr>
        <w:t xml:space="preserve"> 2014年以来</w:t>
      </w:r>
      <w:r w:rsidRPr="00FE309E">
        <w:rPr>
          <w:rFonts w:asciiTheme="minorEastAsia" w:hAnsiTheme="minorEastAsia" w:hint="eastAsia"/>
          <w:sz w:val="20"/>
        </w:rPr>
        <w:t>战略性新兴产业生产</w:t>
      </w:r>
      <w:r w:rsidR="00110ECE" w:rsidRPr="00FE309E">
        <w:rPr>
          <w:rFonts w:asciiTheme="minorEastAsia" w:hAnsiTheme="minorEastAsia" w:hint="eastAsia"/>
          <w:sz w:val="20"/>
        </w:rPr>
        <w:t>景气</w:t>
      </w:r>
      <w:r w:rsidRPr="00FE309E">
        <w:rPr>
          <w:rFonts w:asciiTheme="minorEastAsia" w:hAnsiTheme="minorEastAsia" w:hint="eastAsia"/>
          <w:sz w:val="20"/>
        </w:rPr>
        <w:t>总指数</w:t>
      </w:r>
    </w:p>
    <w:p w14:paraId="7D014251" w14:textId="24E72377" w:rsidR="005A5012" w:rsidRDefault="00816480" w:rsidP="007163AE">
      <w:pPr>
        <w:spacing w:line="360" w:lineRule="auto"/>
        <w:jc w:val="center"/>
        <w:rPr>
          <w:rFonts w:asciiTheme="minorEastAsia" w:hAnsiTheme="minorEastAsia"/>
          <w:sz w:val="20"/>
        </w:rPr>
      </w:pPr>
      <w:r w:rsidRPr="008164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AACA42" wp14:editId="06639615">
            <wp:extent cx="5184140" cy="2057400"/>
            <wp:effectExtent l="0" t="0" r="16510" b="0"/>
            <wp:docPr id="73" name="图表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AB6C9E" w14:textId="1DDD638D" w:rsidR="007163AE" w:rsidRDefault="00110ECE" w:rsidP="003E1957">
      <w:pPr>
        <w:spacing w:afterLines="50" w:after="156" w:line="360" w:lineRule="auto"/>
        <w:jc w:val="center"/>
        <w:rPr>
          <w:rFonts w:asciiTheme="minorEastAsia" w:hAnsiTheme="minorEastAsia"/>
          <w:sz w:val="20"/>
        </w:rPr>
      </w:pPr>
      <w:r w:rsidRPr="005A5012">
        <w:rPr>
          <w:rFonts w:asciiTheme="minorEastAsia" w:hAnsiTheme="minorEastAsia" w:hint="eastAsia"/>
          <w:sz w:val="20"/>
        </w:rPr>
        <w:lastRenderedPageBreak/>
        <w:t>图</w:t>
      </w:r>
      <w:r w:rsidR="002E0578">
        <w:rPr>
          <w:rFonts w:asciiTheme="minorEastAsia" w:hAnsiTheme="minorEastAsia" w:hint="eastAsia"/>
          <w:sz w:val="20"/>
        </w:rPr>
        <w:t>5</w:t>
      </w:r>
      <w:r w:rsidRPr="005A5012">
        <w:rPr>
          <w:rFonts w:asciiTheme="minorEastAsia" w:hAnsiTheme="minorEastAsia" w:hint="eastAsia"/>
          <w:sz w:val="20"/>
        </w:rPr>
        <w:t xml:space="preserve"> </w:t>
      </w:r>
      <w:r w:rsidR="005A5012">
        <w:rPr>
          <w:rFonts w:asciiTheme="minorEastAsia" w:hAnsiTheme="minorEastAsia" w:hint="eastAsia"/>
          <w:sz w:val="20"/>
        </w:rPr>
        <w:t>2014</w:t>
      </w:r>
      <w:r w:rsidR="005B6FC9" w:rsidRPr="005A5012">
        <w:rPr>
          <w:rFonts w:asciiTheme="minorEastAsia" w:hAnsiTheme="minorEastAsia" w:hint="eastAsia"/>
          <w:sz w:val="20"/>
        </w:rPr>
        <w:t>年以来</w:t>
      </w:r>
      <w:r w:rsidRPr="005A5012">
        <w:rPr>
          <w:rFonts w:asciiTheme="minorEastAsia" w:hAnsiTheme="minorEastAsia" w:hint="eastAsia"/>
          <w:sz w:val="20"/>
        </w:rPr>
        <w:t>战略性新兴产业生产类景气指标</w:t>
      </w:r>
    </w:p>
    <w:p w14:paraId="5015245E" w14:textId="498D56C6" w:rsidR="00EB55E1" w:rsidRDefault="00ED7866" w:rsidP="00582724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 w:rsidRPr="002B6A08">
        <w:rPr>
          <w:rFonts w:ascii="仿宋_GB2312" w:eastAsia="仿宋_GB2312" w:hint="eastAsia"/>
          <w:sz w:val="22"/>
        </w:rPr>
        <w:t>三</w:t>
      </w:r>
      <w:r w:rsidR="00E93181" w:rsidRPr="002B6A08">
        <w:rPr>
          <w:rFonts w:ascii="仿宋_GB2312" w:eastAsia="仿宋_GB2312" w:hint="eastAsia"/>
          <w:sz w:val="22"/>
        </w:rPr>
        <w:t>季度</w:t>
      </w:r>
      <w:r w:rsidR="001A068E" w:rsidRPr="002B6A08">
        <w:rPr>
          <w:rFonts w:ascii="仿宋_GB2312" w:eastAsia="仿宋_GB2312" w:hint="eastAsia"/>
          <w:sz w:val="22"/>
        </w:rPr>
        <w:t>战略性新兴产业</w:t>
      </w:r>
      <w:r w:rsidR="0067589E" w:rsidRPr="002B6A08">
        <w:rPr>
          <w:rFonts w:ascii="仿宋_GB2312" w:eastAsia="仿宋_GB2312"/>
          <w:sz w:val="22"/>
        </w:rPr>
        <w:t>销售总指数</w:t>
      </w:r>
      <w:r w:rsidR="007D0AFD" w:rsidRPr="002B6A08">
        <w:rPr>
          <w:rFonts w:ascii="仿宋_GB2312" w:eastAsia="仿宋_GB2312" w:hint="eastAsia"/>
          <w:sz w:val="22"/>
        </w:rPr>
        <w:t>在一、二季度都低于去年同期8、9个</w:t>
      </w:r>
      <w:r w:rsidR="000B6713" w:rsidRPr="002B6A08">
        <w:rPr>
          <w:rFonts w:ascii="仿宋_GB2312" w:eastAsia="仿宋_GB2312" w:hint="eastAsia"/>
          <w:sz w:val="22"/>
        </w:rPr>
        <w:t>单位</w:t>
      </w:r>
      <w:r w:rsidR="007D0AFD" w:rsidRPr="002B6A08">
        <w:rPr>
          <w:rFonts w:ascii="仿宋_GB2312" w:eastAsia="仿宋_GB2312" w:hint="eastAsia"/>
          <w:sz w:val="22"/>
        </w:rPr>
        <w:t>的基础上，仅低于去年同期1.3个</w:t>
      </w:r>
      <w:r w:rsidR="000B6713" w:rsidRPr="002B6A08">
        <w:rPr>
          <w:rFonts w:ascii="仿宋_GB2312" w:eastAsia="仿宋_GB2312" w:hint="eastAsia"/>
          <w:sz w:val="22"/>
        </w:rPr>
        <w:t>单位</w:t>
      </w:r>
      <w:r w:rsidR="00137AE2" w:rsidRPr="002B6A08">
        <w:rPr>
          <w:rFonts w:ascii="仿宋_GB2312" w:eastAsia="仿宋_GB2312" w:hint="eastAsia"/>
          <w:sz w:val="22"/>
        </w:rPr>
        <w:t>（见图</w:t>
      </w:r>
      <w:r w:rsidR="002E0578" w:rsidRPr="002B6A08">
        <w:rPr>
          <w:rFonts w:ascii="仿宋_GB2312" w:eastAsia="仿宋_GB2312" w:hint="eastAsia"/>
          <w:sz w:val="22"/>
        </w:rPr>
        <w:t>6</w:t>
      </w:r>
      <w:r w:rsidR="00137AE2" w:rsidRPr="002B6A08">
        <w:rPr>
          <w:rFonts w:ascii="仿宋_GB2312" w:eastAsia="仿宋_GB2312" w:hint="eastAsia"/>
          <w:sz w:val="22"/>
        </w:rPr>
        <w:t>）</w:t>
      </w:r>
      <w:r w:rsidR="00557885" w:rsidRPr="002B6A08">
        <w:rPr>
          <w:rFonts w:ascii="仿宋_GB2312" w:eastAsia="仿宋_GB2312" w:hint="eastAsia"/>
          <w:sz w:val="22"/>
        </w:rPr>
        <w:t>；同时，剔除季节性影响因素，销售总指数回升2.72%</w:t>
      </w:r>
      <w:r w:rsidR="007D0AFD" w:rsidRPr="002B6A08">
        <w:rPr>
          <w:rFonts w:ascii="仿宋_GB2312" w:eastAsia="仿宋_GB2312" w:hint="eastAsia"/>
          <w:sz w:val="22"/>
        </w:rPr>
        <w:t>。</w:t>
      </w:r>
      <w:r w:rsidR="00D83E9D" w:rsidRPr="002B6A08">
        <w:rPr>
          <w:rFonts w:ascii="仿宋_GB2312" w:eastAsia="仿宋_GB2312" w:hint="eastAsia"/>
          <w:sz w:val="22"/>
        </w:rPr>
        <w:t>从主要销售指标来看，</w:t>
      </w:r>
      <w:r w:rsidR="00FF0418" w:rsidRPr="002B6A08">
        <w:rPr>
          <w:rFonts w:ascii="仿宋_GB2312" w:eastAsia="仿宋_GB2312" w:hint="eastAsia"/>
          <w:sz w:val="22"/>
        </w:rPr>
        <w:t>订单指数</w:t>
      </w:r>
      <w:r w:rsidR="009A39A2" w:rsidRPr="002B6A08">
        <w:rPr>
          <w:rFonts w:ascii="仿宋_GB2312" w:eastAsia="仿宋_GB2312" w:hint="eastAsia"/>
          <w:sz w:val="22"/>
        </w:rPr>
        <w:t>由</w:t>
      </w:r>
      <w:r w:rsidR="00CC6E36" w:rsidRPr="002B6A08">
        <w:rPr>
          <w:rFonts w:ascii="仿宋_GB2312" w:eastAsia="仿宋_GB2312" w:hint="eastAsia"/>
          <w:sz w:val="22"/>
        </w:rPr>
        <w:t>144.3下降</w:t>
      </w:r>
      <w:r w:rsidR="00181451" w:rsidRPr="002B6A08">
        <w:rPr>
          <w:rFonts w:ascii="仿宋_GB2312" w:eastAsia="仿宋_GB2312" w:hint="eastAsia"/>
          <w:sz w:val="22"/>
        </w:rPr>
        <w:t>至</w:t>
      </w:r>
      <w:r w:rsidR="00FF0418" w:rsidRPr="002B6A08">
        <w:rPr>
          <w:rFonts w:ascii="仿宋_GB2312" w:eastAsia="仿宋_GB2312"/>
          <w:sz w:val="22"/>
        </w:rPr>
        <w:t>1</w:t>
      </w:r>
      <w:r w:rsidR="00CC6E36" w:rsidRPr="002B6A08">
        <w:rPr>
          <w:rFonts w:ascii="仿宋_GB2312" w:eastAsia="仿宋_GB2312"/>
          <w:sz w:val="22"/>
        </w:rPr>
        <w:t>30.6</w:t>
      </w:r>
      <w:r w:rsidR="009A39A2" w:rsidRPr="002B6A08">
        <w:rPr>
          <w:rFonts w:ascii="仿宋_GB2312" w:eastAsia="仿宋_GB2312" w:hint="eastAsia"/>
          <w:sz w:val="22"/>
        </w:rPr>
        <w:t>，盈亏指数由</w:t>
      </w:r>
      <w:r w:rsidR="00E977ED" w:rsidRPr="002B6A08">
        <w:rPr>
          <w:rFonts w:ascii="仿宋_GB2312" w:eastAsia="仿宋_GB2312" w:hint="eastAsia"/>
          <w:sz w:val="22"/>
        </w:rPr>
        <w:t>141.4下降</w:t>
      </w:r>
      <w:r w:rsidR="009A39A2" w:rsidRPr="002B6A08">
        <w:rPr>
          <w:rFonts w:ascii="仿宋_GB2312" w:eastAsia="仿宋_GB2312" w:hint="eastAsia"/>
          <w:sz w:val="22"/>
        </w:rPr>
        <w:t>至</w:t>
      </w:r>
      <w:r w:rsidR="00E977ED" w:rsidRPr="002B6A08">
        <w:rPr>
          <w:rFonts w:ascii="仿宋_GB2312" w:eastAsia="仿宋_GB2312"/>
          <w:sz w:val="22"/>
        </w:rPr>
        <w:t>137.4</w:t>
      </w:r>
      <w:r w:rsidR="009A39A2" w:rsidRPr="002B6A08">
        <w:rPr>
          <w:rFonts w:ascii="仿宋_GB2312" w:eastAsia="仿宋_GB2312" w:hint="eastAsia"/>
          <w:sz w:val="22"/>
        </w:rPr>
        <w:t>，市场需求指数由</w:t>
      </w:r>
      <w:r w:rsidR="00887075" w:rsidRPr="002B6A08">
        <w:rPr>
          <w:rFonts w:ascii="仿宋_GB2312" w:eastAsia="仿宋_GB2312" w:hint="eastAsia"/>
          <w:sz w:val="22"/>
        </w:rPr>
        <w:t>133.3下降</w:t>
      </w:r>
      <w:r w:rsidR="009A39A2" w:rsidRPr="002B6A08">
        <w:rPr>
          <w:rFonts w:ascii="仿宋_GB2312" w:eastAsia="仿宋_GB2312" w:hint="eastAsia"/>
          <w:sz w:val="22"/>
        </w:rPr>
        <w:t>至</w:t>
      </w:r>
      <w:r w:rsidR="00887075" w:rsidRPr="002B6A08">
        <w:rPr>
          <w:rFonts w:ascii="仿宋_GB2312" w:eastAsia="仿宋_GB2312"/>
          <w:sz w:val="22"/>
        </w:rPr>
        <w:t>127.9</w:t>
      </w:r>
      <w:r w:rsidR="009A39A2" w:rsidRPr="002B6A08">
        <w:rPr>
          <w:rFonts w:ascii="仿宋_GB2312" w:eastAsia="仿宋_GB2312" w:hint="eastAsia"/>
          <w:sz w:val="22"/>
        </w:rPr>
        <w:t>，三者均</w:t>
      </w:r>
      <w:r w:rsidR="007D0AFD" w:rsidRPr="002B6A08">
        <w:rPr>
          <w:rFonts w:ascii="仿宋_GB2312" w:eastAsia="仿宋_GB2312" w:hint="eastAsia"/>
          <w:sz w:val="22"/>
        </w:rPr>
        <w:t>与去年同期水平相当，</w:t>
      </w:r>
      <w:r w:rsidR="0087193F" w:rsidRPr="002B6A08">
        <w:rPr>
          <w:rFonts w:ascii="仿宋_GB2312" w:eastAsia="仿宋_GB2312" w:hint="eastAsia"/>
          <w:sz w:val="22"/>
        </w:rPr>
        <w:t>销售价格指数</w:t>
      </w:r>
      <w:r w:rsidR="006C5D9B" w:rsidRPr="002B6A08">
        <w:rPr>
          <w:rFonts w:ascii="仿宋_GB2312" w:eastAsia="仿宋_GB2312" w:hint="eastAsia"/>
          <w:sz w:val="22"/>
        </w:rPr>
        <w:t>表现</w:t>
      </w:r>
      <w:r w:rsidR="0087193F" w:rsidRPr="002B6A08">
        <w:rPr>
          <w:rFonts w:ascii="仿宋_GB2312" w:eastAsia="仿宋_GB2312" w:hint="eastAsia"/>
          <w:sz w:val="22"/>
        </w:rPr>
        <w:t>依然</w:t>
      </w:r>
      <w:r w:rsidR="006C5D9B" w:rsidRPr="002B6A08">
        <w:rPr>
          <w:rFonts w:ascii="仿宋_GB2312" w:eastAsia="仿宋_GB2312" w:hint="eastAsia"/>
          <w:sz w:val="22"/>
        </w:rPr>
        <w:t>稳定</w:t>
      </w:r>
      <w:r w:rsidR="003C4BBE" w:rsidRPr="002B6A08">
        <w:rPr>
          <w:rFonts w:ascii="仿宋_GB2312" w:eastAsia="仿宋_GB2312" w:hint="eastAsia"/>
          <w:sz w:val="22"/>
        </w:rPr>
        <w:t>，由二</w:t>
      </w:r>
      <w:r w:rsidR="0087193F" w:rsidRPr="002B6A08">
        <w:rPr>
          <w:rFonts w:ascii="仿宋_GB2312" w:eastAsia="仿宋_GB2312" w:hint="eastAsia"/>
          <w:sz w:val="22"/>
        </w:rPr>
        <w:t>季度的</w:t>
      </w:r>
      <w:r w:rsidR="003C4BBE" w:rsidRPr="002B6A08">
        <w:rPr>
          <w:rFonts w:ascii="仿宋_GB2312" w:eastAsia="仿宋_GB2312"/>
          <w:sz w:val="22"/>
        </w:rPr>
        <w:t>102</w:t>
      </w:r>
      <w:r w:rsidR="0087193F" w:rsidRPr="002B6A08">
        <w:rPr>
          <w:rFonts w:ascii="仿宋_GB2312" w:eastAsia="仿宋_GB2312" w:hint="eastAsia"/>
          <w:sz w:val="22"/>
        </w:rPr>
        <w:t>略微</w:t>
      </w:r>
      <w:r w:rsidR="003C4BBE" w:rsidRPr="002B6A08">
        <w:rPr>
          <w:rFonts w:ascii="仿宋_GB2312" w:eastAsia="仿宋_GB2312" w:hint="eastAsia"/>
          <w:sz w:val="22"/>
        </w:rPr>
        <w:t>下降</w:t>
      </w:r>
      <w:r w:rsidR="0087193F" w:rsidRPr="002B6A08">
        <w:rPr>
          <w:rFonts w:ascii="仿宋_GB2312" w:eastAsia="仿宋_GB2312" w:hint="eastAsia"/>
          <w:sz w:val="22"/>
        </w:rPr>
        <w:t>至</w:t>
      </w:r>
      <w:r w:rsidR="003C4BBE" w:rsidRPr="002B6A08">
        <w:rPr>
          <w:rFonts w:ascii="仿宋_GB2312" w:eastAsia="仿宋_GB2312"/>
          <w:sz w:val="22"/>
        </w:rPr>
        <w:t>101.7</w:t>
      </w:r>
      <w:r w:rsidR="0087193F" w:rsidRPr="002B6A08">
        <w:rPr>
          <w:rFonts w:ascii="仿宋_GB2312" w:eastAsia="仿宋_GB2312" w:hint="eastAsia"/>
          <w:sz w:val="22"/>
        </w:rPr>
        <w:t>。</w:t>
      </w:r>
      <w:r w:rsidR="00C42DBD" w:rsidRPr="002B6A08">
        <w:rPr>
          <w:rFonts w:ascii="仿宋_GB2312" w:eastAsia="仿宋_GB2312" w:hint="eastAsia"/>
          <w:sz w:val="22"/>
        </w:rPr>
        <w:t>本期</w:t>
      </w:r>
      <w:r w:rsidR="003F4233" w:rsidRPr="002B6A08">
        <w:rPr>
          <w:rFonts w:ascii="仿宋_GB2312" w:eastAsia="仿宋_GB2312" w:hint="eastAsia"/>
          <w:sz w:val="22"/>
        </w:rPr>
        <w:t>虽然各指标呈现</w:t>
      </w:r>
      <w:r w:rsidR="00C42DBD" w:rsidRPr="002B6A08">
        <w:rPr>
          <w:rFonts w:ascii="仿宋_GB2312" w:eastAsia="仿宋_GB2312" w:hint="eastAsia"/>
          <w:sz w:val="22"/>
        </w:rPr>
        <w:t>不同程度的下滑</w:t>
      </w:r>
      <w:r w:rsidR="003F4233" w:rsidRPr="002B6A08">
        <w:rPr>
          <w:rFonts w:ascii="仿宋_GB2312" w:eastAsia="仿宋_GB2312" w:hint="eastAsia"/>
          <w:sz w:val="22"/>
        </w:rPr>
        <w:t>，</w:t>
      </w:r>
      <w:r w:rsidR="005865A6" w:rsidRPr="002B6A08">
        <w:rPr>
          <w:rFonts w:ascii="仿宋_GB2312" w:eastAsia="仿宋_GB2312" w:hint="eastAsia"/>
          <w:sz w:val="22"/>
        </w:rPr>
        <w:t>剔除季节因素影响后，</w:t>
      </w:r>
      <w:r w:rsidR="003F4233" w:rsidRPr="002B6A08">
        <w:rPr>
          <w:rFonts w:ascii="仿宋_GB2312" w:eastAsia="仿宋_GB2312" w:hint="eastAsia"/>
          <w:sz w:val="22"/>
        </w:rPr>
        <w:t>市场需求、销售价格、订单和盈亏指数分别回升4.3%、2.99%、0.35%和2.59%</w:t>
      </w:r>
      <w:r w:rsidR="00F448A9" w:rsidRPr="002B6A08">
        <w:rPr>
          <w:rFonts w:ascii="仿宋_GB2312" w:eastAsia="仿宋_GB2312" w:hint="eastAsia"/>
          <w:sz w:val="22"/>
        </w:rPr>
        <w:t>，表明实际</w:t>
      </w:r>
      <w:r w:rsidR="00FF3029" w:rsidRPr="002B6A08">
        <w:rPr>
          <w:rFonts w:ascii="仿宋_GB2312" w:eastAsia="仿宋_GB2312" w:hint="eastAsia"/>
          <w:sz w:val="22"/>
        </w:rPr>
        <w:t>销售</w:t>
      </w:r>
      <w:r w:rsidR="00F448A9" w:rsidRPr="002B6A08">
        <w:rPr>
          <w:rFonts w:ascii="仿宋_GB2312" w:eastAsia="仿宋_GB2312" w:hint="eastAsia"/>
          <w:sz w:val="22"/>
        </w:rPr>
        <w:t>市场环境</w:t>
      </w:r>
      <w:r w:rsidR="005B51DA" w:rsidRPr="002B6A08">
        <w:rPr>
          <w:rFonts w:ascii="仿宋_GB2312" w:eastAsia="仿宋_GB2312" w:hint="eastAsia"/>
          <w:sz w:val="22"/>
        </w:rPr>
        <w:t>趋暖</w:t>
      </w:r>
      <w:r w:rsidR="003F4233" w:rsidRPr="002B6A08">
        <w:rPr>
          <w:rFonts w:ascii="仿宋_GB2312" w:eastAsia="仿宋_GB2312" w:hint="eastAsia"/>
          <w:sz w:val="22"/>
        </w:rPr>
        <w:t>。</w:t>
      </w:r>
    </w:p>
    <w:p w14:paraId="7D8A4C85" w14:textId="56211BD0" w:rsidR="00FF0418" w:rsidRPr="005169B6" w:rsidRDefault="005169B6" w:rsidP="0032399B">
      <w:pPr>
        <w:spacing w:line="360" w:lineRule="auto"/>
        <w:rPr>
          <w:rFonts w:ascii="仿宋_GB2312" w:eastAsia="仿宋_GB2312"/>
          <w:sz w:val="22"/>
        </w:rPr>
      </w:pPr>
      <w:r>
        <w:rPr>
          <w:noProof/>
        </w:rPr>
        <w:drawing>
          <wp:inline distT="0" distB="0" distL="0" distR="0" wp14:anchorId="4D6CDAEB" wp14:editId="767C8F7F">
            <wp:extent cx="5215255" cy="2181225"/>
            <wp:effectExtent l="0" t="0" r="4445" b="9525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992A9E" w14:textId="3F7CD08F" w:rsidR="00110ECE" w:rsidRDefault="00110ECE" w:rsidP="00110ECE">
      <w:pPr>
        <w:spacing w:line="360" w:lineRule="auto"/>
        <w:ind w:firstLineChars="150" w:firstLine="300"/>
        <w:jc w:val="center"/>
        <w:rPr>
          <w:rFonts w:asciiTheme="minorEastAsia" w:hAnsiTheme="minorEastAsia"/>
          <w:sz w:val="20"/>
        </w:rPr>
      </w:pPr>
      <w:r w:rsidRPr="009F742D">
        <w:rPr>
          <w:rFonts w:asciiTheme="minorEastAsia" w:hAnsiTheme="minorEastAsia" w:hint="eastAsia"/>
          <w:sz w:val="20"/>
        </w:rPr>
        <w:t>图</w:t>
      </w:r>
      <w:r w:rsidR="002E0578">
        <w:rPr>
          <w:rFonts w:asciiTheme="minorEastAsia" w:hAnsiTheme="minorEastAsia" w:hint="eastAsia"/>
          <w:sz w:val="20"/>
        </w:rPr>
        <w:t>6</w:t>
      </w:r>
      <w:r w:rsidRPr="009F742D">
        <w:rPr>
          <w:rFonts w:asciiTheme="minorEastAsia" w:hAnsiTheme="minorEastAsia" w:hint="eastAsia"/>
          <w:sz w:val="20"/>
        </w:rPr>
        <w:t xml:space="preserve"> </w:t>
      </w:r>
      <w:r w:rsidR="005B6FC9" w:rsidRPr="009F742D">
        <w:rPr>
          <w:rFonts w:asciiTheme="minorEastAsia" w:hAnsiTheme="minorEastAsia" w:hint="eastAsia"/>
          <w:sz w:val="20"/>
        </w:rPr>
        <w:t>2014年以来</w:t>
      </w:r>
      <w:r w:rsidRPr="009F742D">
        <w:rPr>
          <w:rFonts w:asciiTheme="minorEastAsia" w:hAnsiTheme="minorEastAsia" w:hint="eastAsia"/>
          <w:sz w:val="20"/>
        </w:rPr>
        <w:t>战略性新兴产业销售景气总指数</w:t>
      </w:r>
    </w:p>
    <w:p w14:paraId="2945834E" w14:textId="77777777" w:rsidR="005169B6" w:rsidRDefault="005169B6" w:rsidP="00110ECE">
      <w:pPr>
        <w:spacing w:line="360" w:lineRule="auto"/>
        <w:ind w:firstLineChars="150" w:firstLine="300"/>
        <w:jc w:val="center"/>
        <w:rPr>
          <w:rFonts w:asciiTheme="minorEastAsia" w:hAnsiTheme="minorEastAsia"/>
          <w:sz w:val="20"/>
        </w:rPr>
      </w:pPr>
    </w:p>
    <w:p w14:paraId="5004C843" w14:textId="20204945" w:rsidR="00FD0CD4" w:rsidRPr="005169B6" w:rsidRDefault="005169B6" w:rsidP="0032399B">
      <w:pPr>
        <w:spacing w:line="360" w:lineRule="auto"/>
        <w:jc w:val="left"/>
        <w:rPr>
          <w:rFonts w:ascii="仿宋_GB2312" w:eastAsia="仿宋_GB2312"/>
          <w:sz w:val="22"/>
        </w:rPr>
      </w:pPr>
      <w:r>
        <w:rPr>
          <w:noProof/>
        </w:rPr>
        <w:drawing>
          <wp:inline distT="0" distB="0" distL="0" distR="0" wp14:anchorId="11A7AA5F" wp14:editId="43D0A1EE">
            <wp:extent cx="5061585" cy="2133600"/>
            <wp:effectExtent l="0" t="0" r="5715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183630" w14:textId="6DB8ABDF" w:rsidR="0056453D" w:rsidRPr="00D83E9D" w:rsidRDefault="0021002D" w:rsidP="0021002D">
      <w:pPr>
        <w:spacing w:line="360" w:lineRule="auto"/>
        <w:jc w:val="center"/>
        <w:rPr>
          <w:rFonts w:asciiTheme="minorEastAsia" w:hAnsiTheme="minorEastAsia"/>
          <w:sz w:val="20"/>
        </w:rPr>
      </w:pPr>
      <w:r w:rsidRPr="00D83E9D">
        <w:rPr>
          <w:rFonts w:asciiTheme="minorEastAsia" w:hAnsiTheme="minorEastAsia" w:hint="eastAsia"/>
          <w:sz w:val="20"/>
        </w:rPr>
        <w:t>图</w:t>
      </w:r>
      <w:r w:rsidR="002E0578">
        <w:rPr>
          <w:rFonts w:asciiTheme="minorEastAsia" w:hAnsiTheme="minorEastAsia" w:hint="eastAsia"/>
          <w:sz w:val="20"/>
        </w:rPr>
        <w:t>7</w:t>
      </w:r>
      <w:r w:rsidRPr="00D83E9D">
        <w:rPr>
          <w:rFonts w:asciiTheme="minorEastAsia" w:hAnsiTheme="minorEastAsia" w:hint="eastAsia"/>
          <w:sz w:val="20"/>
        </w:rPr>
        <w:t xml:space="preserve"> </w:t>
      </w:r>
      <w:r w:rsidR="005B6FC9" w:rsidRPr="00D83E9D">
        <w:rPr>
          <w:rFonts w:asciiTheme="minorEastAsia" w:hAnsiTheme="minorEastAsia" w:hint="eastAsia"/>
          <w:sz w:val="20"/>
        </w:rPr>
        <w:t>2014年以来</w:t>
      </w:r>
      <w:r w:rsidRPr="00D83E9D">
        <w:rPr>
          <w:rFonts w:asciiTheme="minorEastAsia" w:hAnsiTheme="minorEastAsia" w:hint="eastAsia"/>
          <w:sz w:val="20"/>
        </w:rPr>
        <w:t>战略性新兴产业销售类景气指标</w:t>
      </w:r>
    </w:p>
    <w:p w14:paraId="31E3BF28" w14:textId="77777777" w:rsidR="00D83E9D" w:rsidRPr="00D83E9D" w:rsidRDefault="00D83E9D" w:rsidP="0021002D">
      <w:pPr>
        <w:spacing w:line="360" w:lineRule="auto"/>
        <w:jc w:val="center"/>
        <w:rPr>
          <w:rFonts w:ascii="仿宋_GB2312" w:eastAsia="仿宋_GB2312"/>
          <w:sz w:val="22"/>
          <w:highlight w:val="lightGray"/>
        </w:rPr>
      </w:pPr>
    </w:p>
    <w:p w14:paraId="092934C8" w14:textId="60D360D9" w:rsidR="00384695" w:rsidRPr="001F6511" w:rsidRDefault="00384695" w:rsidP="00582724">
      <w:pPr>
        <w:spacing w:line="360" w:lineRule="auto"/>
        <w:ind w:firstLineChars="200" w:firstLine="442"/>
        <w:rPr>
          <w:rFonts w:ascii="仿宋_GB2312" w:eastAsia="仿宋_GB2312"/>
          <w:b/>
          <w:sz w:val="22"/>
        </w:rPr>
      </w:pPr>
      <w:r w:rsidRPr="001F6511">
        <w:rPr>
          <w:rFonts w:ascii="仿宋_GB2312" w:eastAsia="仿宋_GB2312" w:hint="eastAsia"/>
          <w:b/>
          <w:sz w:val="22"/>
        </w:rPr>
        <w:t>2</w:t>
      </w:r>
      <w:r w:rsidR="00CB25F7" w:rsidRPr="001F6511">
        <w:rPr>
          <w:rFonts w:ascii="仿宋_GB2312" w:eastAsia="仿宋_GB2312" w:hint="eastAsia"/>
          <w:b/>
          <w:sz w:val="22"/>
        </w:rPr>
        <w:t>、资金</w:t>
      </w:r>
      <w:r w:rsidR="00EB7639" w:rsidRPr="001F6511">
        <w:rPr>
          <w:rFonts w:ascii="仿宋_GB2312" w:eastAsia="仿宋_GB2312" w:hint="eastAsia"/>
          <w:b/>
          <w:sz w:val="22"/>
        </w:rPr>
        <w:t>总</w:t>
      </w:r>
      <w:r w:rsidR="009A6A5E">
        <w:rPr>
          <w:rFonts w:ascii="仿宋_GB2312" w:eastAsia="仿宋_GB2312" w:hint="eastAsia"/>
          <w:b/>
          <w:sz w:val="22"/>
        </w:rPr>
        <w:t>体</w:t>
      </w:r>
      <w:r w:rsidR="00CB25F7" w:rsidRPr="001F6511">
        <w:rPr>
          <w:rFonts w:ascii="仿宋_GB2312" w:eastAsia="仿宋_GB2312" w:hint="eastAsia"/>
          <w:b/>
          <w:sz w:val="22"/>
        </w:rPr>
        <w:t>活跃</w:t>
      </w:r>
      <w:r w:rsidR="009A6A5E">
        <w:rPr>
          <w:rFonts w:ascii="仿宋_GB2312" w:eastAsia="仿宋_GB2312" w:hint="eastAsia"/>
          <w:b/>
          <w:sz w:val="22"/>
        </w:rPr>
        <w:t>程</w:t>
      </w:r>
      <w:r w:rsidR="00CB25F7" w:rsidRPr="001F6511">
        <w:rPr>
          <w:rFonts w:ascii="仿宋_GB2312" w:eastAsia="仿宋_GB2312" w:hint="eastAsia"/>
          <w:b/>
          <w:sz w:val="22"/>
        </w:rPr>
        <w:t>度</w:t>
      </w:r>
      <w:r w:rsidR="008977F5">
        <w:rPr>
          <w:rFonts w:ascii="仿宋_GB2312" w:eastAsia="仿宋_GB2312" w:hint="eastAsia"/>
          <w:b/>
          <w:sz w:val="22"/>
        </w:rPr>
        <w:t>小幅下滑</w:t>
      </w:r>
      <w:r w:rsidR="00CB25F7" w:rsidRPr="001F6511">
        <w:rPr>
          <w:rFonts w:ascii="仿宋_GB2312" w:eastAsia="仿宋_GB2312" w:hint="eastAsia"/>
          <w:b/>
          <w:sz w:val="22"/>
        </w:rPr>
        <w:t>，</w:t>
      </w:r>
      <w:r w:rsidR="001D7F59">
        <w:rPr>
          <w:rFonts w:ascii="仿宋_GB2312" w:eastAsia="仿宋_GB2312" w:hint="eastAsia"/>
          <w:b/>
          <w:sz w:val="22"/>
        </w:rPr>
        <w:t>季节因素调整后</w:t>
      </w:r>
      <w:r w:rsidR="00A024A0">
        <w:rPr>
          <w:rFonts w:ascii="仿宋_GB2312" w:eastAsia="仿宋_GB2312" w:hint="eastAsia"/>
          <w:b/>
          <w:sz w:val="22"/>
        </w:rPr>
        <w:t>略微</w:t>
      </w:r>
      <w:r w:rsidR="001D7F59">
        <w:rPr>
          <w:rFonts w:ascii="仿宋_GB2312" w:eastAsia="仿宋_GB2312" w:hint="eastAsia"/>
          <w:b/>
          <w:sz w:val="22"/>
        </w:rPr>
        <w:t>回升，</w:t>
      </w:r>
      <w:r w:rsidR="002F5ADF">
        <w:rPr>
          <w:rFonts w:ascii="仿宋_GB2312" w:eastAsia="仿宋_GB2312" w:hint="eastAsia"/>
          <w:b/>
          <w:sz w:val="22"/>
        </w:rPr>
        <w:t>流动性</w:t>
      </w:r>
      <w:r w:rsidR="00066032">
        <w:rPr>
          <w:rFonts w:ascii="仿宋_GB2312" w:eastAsia="仿宋_GB2312" w:hint="eastAsia"/>
          <w:b/>
          <w:sz w:val="22"/>
        </w:rPr>
        <w:t>保持稳定</w:t>
      </w:r>
    </w:p>
    <w:p w14:paraId="1E25DB8D" w14:textId="41454BD1" w:rsidR="00C93730" w:rsidRDefault="00224597" w:rsidP="00C93730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三</w:t>
      </w:r>
      <w:r w:rsidR="00C91F51">
        <w:rPr>
          <w:rFonts w:ascii="仿宋_GB2312" w:eastAsia="仿宋_GB2312" w:hint="eastAsia"/>
          <w:sz w:val="22"/>
        </w:rPr>
        <w:t>季度，战略性新兴产业资金景气</w:t>
      </w:r>
      <w:r w:rsidR="002E0D6C">
        <w:rPr>
          <w:rFonts w:ascii="仿宋_GB2312" w:eastAsia="仿宋_GB2312" w:hint="eastAsia"/>
          <w:sz w:val="22"/>
        </w:rPr>
        <w:t>指数</w:t>
      </w:r>
      <w:r w:rsidR="00A80A4B">
        <w:rPr>
          <w:rFonts w:ascii="仿宋_GB2312" w:eastAsia="仿宋_GB2312" w:hint="eastAsia"/>
          <w:sz w:val="22"/>
        </w:rPr>
        <w:t>小幅下滑</w:t>
      </w:r>
      <w:r w:rsidR="00C91F51">
        <w:rPr>
          <w:rFonts w:ascii="仿宋_GB2312" w:eastAsia="仿宋_GB2312" w:hint="eastAsia"/>
          <w:sz w:val="22"/>
        </w:rPr>
        <w:t>，</w:t>
      </w:r>
      <w:r w:rsidR="00B91EDA">
        <w:rPr>
          <w:rFonts w:ascii="仿宋_GB2312" w:eastAsia="仿宋_GB2312" w:hint="eastAsia"/>
          <w:sz w:val="22"/>
        </w:rPr>
        <w:t>由132.6</w:t>
      </w:r>
      <w:r w:rsidR="00560826">
        <w:rPr>
          <w:rFonts w:ascii="仿宋_GB2312" w:eastAsia="仿宋_GB2312" w:hint="eastAsia"/>
          <w:sz w:val="22"/>
        </w:rPr>
        <w:t>下降至13</w:t>
      </w:r>
      <w:r w:rsidR="00B91EDA">
        <w:rPr>
          <w:rFonts w:ascii="仿宋_GB2312" w:eastAsia="仿宋_GB2312" w:hint="eastAsia"/>
          <w:sz w:val="22"/>
        </w:rPr>
        <w:t>1</w:t>
      </w:r>
      <w:r w:rsidR="00560826">
        <w:rPr>
          <w:rFonts w:ascii="仿宋_GB2312" w:eastAsia="仿宋_GB2312" w:hint="eastAsia"/>
          <w:sz w:val="22"/>
        </w:rPr>
        <w:t>.</w:t>
      </w:r>
      <w:r w:rsidR="00B91EDA">
        <w:rPr>
          <w:rFonts w:ascii="仿宋_GB2312" w:eastAsia="仿宋_GB2312" w:hint="eastAsia"/>
          <w:sz w:val="22"/>
        </w:rPr>
        <w:t>2</w:t>
      </w:r>
      <w:r w:rsidR="00FB6471">
        <w:rPr>
          <w:rFonts w:ascii="仿宋_GB2312" w:eastAsia="仿宋_GB2312" w:hint="eastAsia"/>
          <w:sz w:val="22"/>
        </w:rPr>
        <w:t>（见图</w:t>
      </w:r>
      <w:r w:rsidR="002E0578">
        <w:rPr>
          <w:rFonts w:ascii="仿宋_GB2312" w:eastAsia="仿宋_GB2312" w:hint="eastAsia"/>
          <w:sz w:val="22"/>
        </w:rPr>
        <w:t>8</w:t>
      </w:r>
      <w:r w:rsidR="00FB6471">
        <w:rPr>
          <w:rFonts w:ascii="仿宋_GB2312" w:eastAsia="仿宋_GB2312" w:hint="eastAsia"/>
          <w:sz w:val="22"/>
        </w:rPr>
        <w:t>）</w:t>
      </w:r>
      <w:r w:rsidR="00391F9E">
        <w:rPr>
          <w:rFonts w:ascii="仿宋_GB2312" w:eastAsia="仿宋_GB2312" w:hint="eastAsia"/>
          <w:sz w:val="22"/>
        </w:rPr>
        <w:t>，</w:t>
      </w:r>
      <w:r w:rsidR="00660139">
        <w:rPr>
          <w:rFonts w:ascii="仿宋_GB2312" w:eastAsia="仿宋_GB2312" w:hint="eastAsia"/>
          <w:sz w:val="22"/>
        </w:rPr>
        <w:lastRenderedPageBreak/>
        <w:t>与前两年的走势不同，今年以来资金景气指数持续下跌，</w:t>
      </w:r>
      <w:r w:rsidR="00761423">
        <w:rPr>
          <w:rFonts w:ascii="仿宋_GB2312" w:eastAsia="仿宋_GB2312" w:hint="eastAsia"/>
          <w:sz w:val="22"/>
        </w:rPr>
        <w:t>本期</w:t>
      </w:r>
      <w:r w:rsidR="00996C76">
        <w:rPr>
          <w:rFonts w:ascii="仿宋_GB2312" w:eastAsia="仿宋_GB2312" w:hint="eastAsia"/>
          <w:sz w:val="22"/>
        </w:rPr>
        <w:t>已跌至</w:t>
      </w:r>
      <w:r w:rsidR="00CF6EF1">
        <w:rPr>
          <w:rFonts w:ascii="仿宋_GB2312" w:eastAsia="仿宋_GB2312" w:hint="eastAsia"/>
          <w:sz w:val="22"/>
        </w:rPr>
        <w:t>调查</w:t>
      </w:r>
      <w:r w:rsidR="00996C76">
        <w:rPr>
          <w:rFonts w:ascii="仿宋_GB2312" w:eastAsia="仿宋_GB2312" w:hint="eastAsia"/>
          <w:sz w:val="22"/>
        </w:rPr>
        <w:t>以来的新低。</w:t>
      </w:r>
      <w:r w:rsidR="002B6A08">
        <w:rPr>
          <w:rFonts w:ascii="仿宋_GB2312" w:eastAsia="仿宋_GB2312" w:hint="eastAsia"/>
          <w:sz w:val="22"/>
        </w:rPr>
        <w:t>从其构成看</w:t>
      </w:r>
      <w:r w:rsidR="008C01BF">
        <w:rPr>
          <w:rFonts w:ascii="仿宋_GB2312" w:eastAsia="仿宋_GB2312" w:hint="eastAsia"/>
          <w:sz w:val="22"/>
        </w:rPr>
        <w:t>融资指数和</w:t>
      </w:r>
      <w:r w:rsidR="00410118">
        <w:rPr>
          <w:rFonts w:ascii="仿宋_GB2312" w:eastAsia="仿宋_GB2312" w:hint="eastAsia"/>
          <w:sz w:val="22"/>
        </w:rPr>
        <w:t>投资</w:t>
      </w:r>
      <w:r w:rsidR="008C01BF">
        <w:rPr>
          <w:rFonts w:ascii="仿宋_GB2312" w:eastAsia="仿宋_GB2312" w:hint="eastAsia"/>
          <w:sz w:val="22"/>
        </w:rPr>
        <w:t>指数</w:t>
      </w:r>
      <w:r w:rsidR="00C372B5">
        <w:rPr>
          <w:rFonts w:ascii="仿宋_GB2312" w:eastAsia="仿宋_GB2312" w:hint="eastAsia"/>
          <w:sz w:val="22"/>
        </w:rPr>
        <w:t>双双</w:t>
      </w:r>
      <w:r w:rsidR="008C01BF">
        <w:rPr>
          <w:rFonts w:ascii="仿宋_GB2312" w:eastAsia="仿宋_GB2312" w:hint="eastAsia"/>
          <w:sz w:val="22"/>
        </w:rPr>
        <w:t>下滑，</w:t>
      </w:r>
      <w:r w:rsidR="00272957">
        <w:rPr>
          <w:rFonts w:ascii="仿宋_GB2312" w:eastAsia="仿宋_GB2312" w:hint="eastAsia"/>
          <w:sz w:val="22"/>
        </w:rPr>
        <w:t>融资指数</w:t>
      </w:r>
      <w:r w:rsidR="00CF7661">
        <w:rPr>
          <w:rFonts w:ascii="仿宋_GB2312" w:eastAsia="仿宋_GB2312" w:hint="eastAsia"/>
          <w:sz w:val="22"/>
        </w:rPr>
        <w:t>季</w:t>
      </w:r>
      <w:r w:rsidR="003C4304">
        <w:rPr>
          <w:rFonts w:ascii="仿宋_GB2312" w:eastAsia="仿宋_GB2312" w:hint="eastAsia"/>
          <w:sz w:val="22"/>
        </w:rPr>
        <w:t>度</w:t>
      </w:r>
      <w:r w:rsidR="00CF7661">
        <w:rPr>
          <w:rFonts w:ascii="仿宋_GB2312" w:eastAsia="仿宋_GB2312" w:hint="eastAsia"/>
          <w:sz w:val="22"/>
        </w:rPr>
        <w:t>性</w:t>
      </w:r>
      <w:r w:rsidR="003C4304">
        <w:rPr>
          <w:rFonts w:ascii="仿宋_GB2312" w:eastAsia="仿宋_GB2312" w:hint="eastAsia"/>
          <w:sz w:val="22"/>
        </w:rPr>
        <w:t>回落</w:t>
      </w:r>
      <w:r w:rsidR="00E93446">
        <w:rPr>
          <w:rFonts w:ascii="仿宋_GB2312" w:eastAsia="仿宋_GB2312" w:hint="eastAsia"/>
          <w:sz w:val="22"/>
        </w:rPr>
        <w:t>，</w:t>
      </w:r>
      <w:r w:rsidR="00C372B5">
        <w:rPr>
          <w:rFonts w:ascii="仿宋_GB2312" w:eastAsia="仿宋_GB2312" w:hint="eastAsia"/>
          <w:sz w:val="22"/>
        </w:rPr>
        <w:t>投资指数由126.2跌至118.0，</w:t>
      </w:r>
      <w:r w:rsidR="00200E8D">
        <w:rPr>
          <w:rFonts w:ascii="仿宋_GB2312" w:eastAsia="仿宋_GB2312" w:hint="eastAsia"/>
          <w:sz w:val="22"/>
        </w:rPr>
        <w:t>投资指数大幅</w:t>
      </w:r>
      <w:r w:rsidR="00C372B5">
        <w:rPr>
          <w:rFonts w:ascii="仿宋_GB2312" w:eastAsia="仿宋_GB2312" w:hint="eastAsia"/>
          <w:sz w:val="22"/>
        </w:rPr>
        <w:t>下滑是</w:t>
      </w:r>
      <w:r w:rsidR="009616C3">
        <w:rPr>
          <w:rFonts w:ascii="仿宋_GB2312" w:eastAsia="仿宋_GB2312" w:hint="eastAsia"/>
          <w:sz w:val="22"/>
        </w:rPr>
        <w:t>资金景气指数下降的主要原因；</w:t>
      </w:r>
      <w:r w:rsidR="00272957">
        <w:rPr>
          <w:rFonts w:ascii="仿宋_GB2312" w:eastAsia="仿宋_GB2312" w:hint="eastAsia"/>
          <w:sz w:val="22"/>
        </w:rPr>
        <w:t>资金周转指数</w:t>
      </w:r>
      <w:r w:rsidR="00A70C0B">
        <w:rPr>
          <w:rFonts w:ascii="仿宋_GB2312" w:eastAsia="仿宋_GB2312" w:hint="eastAsia"/>
          <w:sz w:val="22"/>
        </w:rPr>
        <w:t>与</w:t>
      </w:r>
      <w:r w:rsidR="00415D0A">
        <w:rPr>
          <w:rFonts w:ascii="仿宋_GB2312" w:eastAsia="仿宋_GB2312" w:hint="eastAsia"/>
          <w:sz w:val="22"/>
        </w:rPr>
        <w:t>上</w:t>
      </w:r>
      <w:r w:rsidR="00A70C0B">
        <w:rPr>
          <w:rFonts w:ascii="仿宋_GB2312" w:eastAsia="仿宋_GB2312" w:hint="eastAsia"/>
          <w:sz w:val="22"/>
        </w:rPr>
        <w:t>期</w:t>
      </w:r>
      <w:r w:rsidR="00415D0A">
        <w:rPr>
          <w:rFonts w:ascii="仿宋_GB2312" w:eastAsia="仿宋_GB2312" w:hint="eastAsia"/>
          <w:sz w:val="22"/>
        </w:rPr>
        <w:t>基本持平</w:t>
      </w:r>
      <w:r w:rsidR="00481FED">
        <w:rPr>
          <w:rFonts w:ascii="仿宋_GB2312" w:eastAsia="仿宋_GB2312" w:hint="eastAsia"/>
          <w:sz w:val="22"/>
        </w:rPr>
        <w:t>，</w:t>
      </w:r>
      <w:r w:rsidR="008C01BF">
        <w:rPr>
          <w:rFonts w:ascii="仿宋_GB2312" w:eastAsia="仿宋_GB2312" w:hint="eastAsia"/>
          <w:sz w:val="22"/>
        </w:rPr>
        <w:t>企业</w:t>
      </w:r>
      <w:r w:rsidR="00481FED">
        <w:rPr>
          <w:rFonts w:ascii="仿宋_GB2312" w:eastAsia="仿宋_GB2312" w:hint="eastAsia"/>
          <w:sz w:val="22"/>
        </w:rPr>
        <w:t>资金流转活跃度</w:t>
      </w:r>
      <w:r w:rsidR="00781303">
        <w:rPr>
          <w:rFonts w:ascii="仿宋_GB2312" w:eastAsia="仿宋_GB2312" w:hint="eastAsia"/>
          <w:sz w:val="22"/>
        </w:rPr>
        <w:t>较为平稳</w:t>
      </w:r>
      <w:r w:rsidR="00481FED">
        <w:rPr>
          <w:rFonts w:ascii="仿宋_GB2312" w:eastAsia="仿宋_GB2312" w:hint="eastAsia"/>
          <w:sz w:val="22"/>
        </w:rPr>
        <w:t>。</w:t>
      </w:r>
      <w:r w:rsidR="00BC0B6E">
        <w:rPr>
          <w:rFonts w:ascii="仿宋_GB2312" w:eastAsia="仿宋_GB2312" w:hint="eastAsia"/>
          <w:sz w:val="22"/>
        </w:rPr>
        <w:t>剔除季节性影响因素后，资金景气指数小幅增长0.64%，其中融资大幅提高4.72%，资金周转略微回升0.42%，值得注意的是投资较上期下降1.46%</w:t>
      </w:r>
      <w:r w:rsidR="00C07FB5">
        <w:rPr>
          <w:rFonts w:ascii="仿宋_GB2312" w:eastAsia="仿宋_GB2312" w:hint="eastAsia"/>
          <w:sz w:val="22"/>
        </w:rPr>
        <w:t>，</w:t>
      </w:r>
      <w:r w:rsidR="00D23FE6">
        <w:rPr>
          <w:rFonts w:ascii="仿宋_GB2312" w:eastAsia="仿宋_GB2312" w:hint="eastAsia"/>
          <w:sz w:val="22"/>
        </w:rPr>
        <w:t>是本期下滑最严重的指标</w:t>
      </w:r>
      <w:r w:rsidR="00BC0B6E">
        <w:rPr>
          <w:rFonts w:ascii="仿宋_GB2312" w:eastAsia="仿宋_GB2312" w:hint="eastAsia"/>
          <w:sz w:val="22"/>
        </w:rPr>
        <w:t>。</w:t>
      </w:r>
    </w:p>
    <w:p w14:paraId="36B5E716" w14:textId="26B30A0E" w:rsidR="0060000B" w:rsidRPr="00640632" w:rsidRDefault="00C93730" w:rsidP="00FE2C6E">
      <w:pPr>
        <w:spacing w:line="360" w:lineRule="auto"/>
        <w:jc w:val="center"/>
        <w:rPr>
          <w:rFonts w:ascii="仿宋_GB2312" w:eastAsia="仿宋_GB2312"/>
          <w:sz w:val="22"/>
          <w:highlight w:val="lightGray"/>
        </w:rPr>
      </w:pPr>
      <w:r>
        <w:rPr>
          <w:noProof/>
        </w:rPr>
        <w:drawing>
          <wp:inline distT="0" distB="0" distL="0" distR="0" wp14:anchorId="7AF29A93" wp14:editId="068D2121">
            <wp:extent cx="5213350" cy="1914525"/>
            <wp:effectExtent l="0" t="0" r="6350" b="9525"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B6F0A9C" w14:textId="6CB2D886" w:rsidR="0021002D" w:rsidRDefault="0021002D" w:rsidP="0021002D">
      <w:pPr>
        <w:spacing w:line="360" w:lineRule="auto"/>
        <w:ind w:firstLineChars="200" w:firstLine="400"/>
        <w:jc w:val="center"/>
        <w:rPr>
          <w:rFonts w:asciiTheme="minorEastAsia" w:hAnsiTheme="minorEastAsia"/>
          <w:sz w:val="20"/>
        </w:rPr>
      </w:pPr>
      <w:r w:rsidRPr="00640632">
        <w:rPr>
          <w:rFonts w:asciiTheme="minorEastAsia" w:hAnsiTheme="minorEastAsia" w:hint="eastAsia"/>
          <w:sz w:val="20"/>
        </w:rPr>
        <w:t>图</w:t>
      </w:r>
      <w:r w:rsidR="002E0578">
        <w:rPr>
          <w:rFonts w:asciiTheme="minorEastAsia" w:hAnsiTheme="minorEastAsia" w:hint="eastAsia"/>
          <w:sz w:val="20"/>
        </w:rPr>
        <w:t>8</w:t>
      </w:r>
      <w:r w:rsidRPr="00640632">
        <w:rPr>
          <w:rFonts w:asciiTheme="minorEastAsia" w:hAnsiTheme="minorEastAsia" w:hint="eastAsia"/>
          <w:sz w:val="20"/>
        </w:rPr>
        <w:t xml:space="preserve"> </w:t>
      </w:r>
      <w:r w:rsidR="006917E5" w:rsidRPr="00640632">
        <w:rPr>
          <w:rFonts w:asciiTheme="minorEastAsia" w:hAnsiTheme="minorEastAsia" w:hint="eastAsia"/>
          <w:sz w:val="20"/>
        </w:rPr>
        <w:t>2014年以来</w:t>
      </w:r>
      <w:r w:rsidRPr="00640632">
        <w:rPr>
          <w:rFonts w:asciiTheme="minorEastAsia" w:hAnsiTheme="minorEastAsia" w:hint="eastAsia"/>
          <w:sz w:val="20"/>
        </w:rPr>
        <w:t>战略性新兴产业资金景气总指数</w:t>
      </w:r>
    </w:p>
    <w:p w14:paraId="6DF6F7C8" w14:textId="77777777" w:rsidR="009307EA" w:rsidRDefault="009307EA" w:rsidP="004E3BEB">
      <w:pPr>
        <w:spacing w:line="360" w:lineRule="auto"/>
        <w:ind w:firstLineChars="200" w:firstLine="400"/>
        <w:jc w:val="center"/>
        <w:rPr>
          <w:rFonts w:asciiTheme="minorEastAsia" w:hAnsiTheme="minorEastAsia"/>
          <w:sz w:val="20"/>
        </w:rPr>
      </w:pPr>
    </w:p>
    <w:p w14:paraId="368CB043" w14:textId="09DD4D16" w:rsidR="0021002D" w:rsidRPr="00F47708" w:rsidRDefault="004E3BEB" w:rsidP="00FE2C6E">
      <w:pPr>
        <w:spacing w:line="360" w:lineRule="auto"/>
        <w:jc w:val="center"/>
        <w:rPr>
          <w:rFonts w:ascii="仿宋_GB2312" w:eastAsia="仿宋_GB2312"/>
          <w:sz w:val="22"/>
          <w:highlight w:val="lightGray"/>
        </w:rPr>
      </w:pPr>
      <w:r>
        <w:rPr>
          <w:noProof/>
        </w:rPr>
        <w:drawing>
          <wp:inline distT="0" distB="0" distL="0" distR="0" wp14:anchorId="29C0CF2A" wp14:editId="740B884F">
            <wp:extent cx="5128592" cy="2305878"/>
            <wp:effectExtent l="0" t="0" r="15240" b="18415"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52D6E0" w14:textId="18C39125" w:rsidR="0021002D" w:rsidRDefault="00C22B43" w:rsidP="00217152">
      <w:pPr>
        <w:spacing w:afterLines="100" w:after="312" w:line="360" w:lineRule="auto"/>
        <w:jc w:val="center"/>
        <w:rPr>
          <w:rFonts w:asciiTheme="minorEastAsia" w:hAnsiTheme="minorEastAsia"/>
          <w:sz w:val="20"/>
        </w:rPr>
      </w:pPr>
      <w:r w:rsidRPr="00640632">
        <w:rPr>
          <w:rFonts w:asciiTheme="minorEastAsia" w:hAnsiTheme="minorEastAsia" w:hint="eastAsia"/>
          <w:sz w:val="20"/>
        </w:rPr>
        <w:t>图</w:t>
      </w:r>
      <w:r w:rsidR="002E0578">
        <w:rPr>
          <w:rFonts w:asciiTheme="minorEastAsia" w:hAnsiTheme="minorEastAsia" w:hint="eastAsia"/>
          <w:sz w:val="20"/>
        </w:rPr>
        <w:t>9</w:t>
      </w:r>
      <w:r w:rsidRPr="00640632">
        <w:rPr>
          <w:rFonts w:asciiTheme="minorEastAsia" w:hAnsiTheme="minorEastAsia" w:hint="eastAsia"/>
          <w:sz w:val="20"/>
        </w:rPr>
        <w:t xml:space="preserve"> </w:t>
      </w:r>
      <w:r w:rsidR="006917E5" w:rsidRPr="00640632">
        <w:rPr>
          <w:rFonts w:asciiTheme="minorEastAsia" w:hAnsiTheme="minorEastAsia" w:hint="eastAsia"/>
          <w:sz w:val="20"/>
        </w:rPr>
        <w:t>2014年以来</w:t>
      </w:r>
      <w:r w:rsidRPr="00640632">
        <w:rPr>
          <w:rFonts w:asciiTheme="minorEastAsia" w:hAnsiTheme="minorEastAsia" w:hint="eastAsia"/>
          <w:sz w:val="20"/>
        </w:rPr>
        <w:t>战略性新兴产业资金类景气指标</w:t>
      </w:r>
    </w:p>
    <w:p w14:paraId="31BBFF0E" w14:textId="0FBE7DF3" w:rsidR="00206EB1" w:rsidRPr="00EF1DC3" w:rsidRDefault="00206EB1" w:rsidP="002B5DF1">
      <w:pPr>
        <w:spacing w:afterLines="50" w:after="156" w:line="360" w:lineRule="auto"/>
        <w:ind w:firstLineChars="200" w:firstLine="442"/>
        <w:rPr>
          <w:rFonts w:ascii="仿宋_GB2312" w:eastAsia="仿宋_GB2312"/>
          <w:b/>
          <w:sz w:val="22"/>
        </w:rPr>
      </w:pPr>
      <w:r w:rsidRPr="00EF1DC3">
        <w:rPr>
          <w:rFonts w:ascii="仿宋_GB2312" w:eastAsia="仿宋_GB2312" w:hint="eastAsia"/>
          <w:b/>
          <w:sz w:val="22"/>
        </w:rPr>
        <w:t>3、创新活力</w:t>
      </w:r>
      <w:r w:rsidR="002B6A08">
        <w:rPr>
          <w:rFonts w:ascii="仿宋_GB2312" w:eastAsia="仿宋_GB2312" w:hint="eastAsia"/>
          <w:b/>
          <w:sz w:val="22"/>
        </w:rPr>
        <w:t>有所</w:t>
      </w:r>
      <w:r w:rsidR="00035798">
        <w:rPr>
          <w:rFonts w:ascii="仿宋_GB2312" w:eastAsia="仿宋_GB2312" w:hint="eastAsia"/>
          <w:b/>
          <w:sz w:val="22"/>
        </w:rPr>
        <w:t>回落</w:t>
      </w:r>
    </w:p>
    <w:p w14:paraId="143497CD" w14:textId="6A85166B" w:rsidR="007359D7" w:rsidRPr="007359D7" w:rsidRDefault="00185C4A" w:rsidP="00582724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三</w:t>
      </w:r>
      <w:r w:rsidR="007359D7" w:rsidRPr="007359D7">
        <w:rPr>
          <w:rFonts w:ascii="仿宋_GB2312" w:eastAsia="仿宋_GB2312" w:hint="eastAsia"/>
          <w:sz w:val="22"/>
        </w:rPr>
        <w:t>季度</w:t>
      </w:r>
      <w:r w:rsidR="009D4211">
        <w:rPr>
          <w:rFonts w:ascii="仿宋_GB2312" w:eastAsia="仿宋_GB2312" w:hint="eastAsia"/>
          <w:sz w:val="22"/>
        </w:rPr>
        <w:t>，</w:t>
      </w:r>
      <w:r w:rsidR="00E0129C">
        <w:rPr>
          <w:rFonts w:ascii="仿宋_GB2312" w:eastAsia="仿宋_GB2312" w:hint="eastAsia"/>
          <w:sz w:val="22"/>
        </w:rPr>
        <w:t>战略性新兴产业</w:t>
      </w:r>
      <w:r w:rsidR="007359D7" w:rsidRPr="007359D7">
        <w:rPr>
          <w:rFonts w:ascii="仿宋_GB2312" w:eastAsia="仿宋_GB2312" w:hint="eastAsia"/>
          <w:sz w:val="22"/>
        </w:rPr>
        <w:t>创新</w:t>
      </w:r>
      <w:r w:rsidR="00ED46A2">
        <w:rPr>
          <w:rFonts w:ascii="仿宋_GB2312" w:eastAsia="仿宋_GB2312" w:hint="eastAsia"/>
          <w:sz w:val="22"/>
        </w:rPr>
        <w:t>景气</w:t>
      </w:r>
      <w:r w:rsidR="00383DA7">
        <w:rPr>
          <w:rFonts w:ascii="仿宋_GB2312" w:eastAsia="仿宋_GB2312" w:hint="eastAsia"/>
          <w:sz w:val="22"/>
        </w:rPr>
        <w:t>季</w:t>
      </w:r>
      <w:r w:rsidR="001F2D19">
        <w:rPr>
          <w:rFonts w:ascii="仿宋_GB2312" w:eastAsia="仿宋_GB2312" w:hint="eastAsia"/>
          <w:sz w:val="22"/>
        </w:rPr>
        <w:t>度</w:t>
      </w:r>
      <w:r w:rsidR="00383DA7">
        <w:rPr>
          <w:rFonts w:ascii="仿宋_GB2312" w:eastAsia="仿宋_GB2312" w:hint="eastAsia"/>
          <w:sz w:val="22"/>
        </w:rPr>
        <w:t>性</w:t>
      </w:r>
      <w:r w:rsidR="001F2D19">
        <w:rPr>
          <w:rFonts w:ascii="仿宋_GB2312" w:eastAsia="仿宋_GB2312" w:hint="eastAsia"/>
          <w:sz w:val="22"/>
        </w:rPr>
        <w:t>回落</w:t>
      </w:r>
      <w:r w:rsidR="00CE377C">
        <w:rPr>
          <w:rFonts w:ascii="仿宋_GB2312" w:eastAsia="仿宋_GB2312" w:hint="eastAsia"/>
          <w:sz w:val="22"/>
        </w:rPr>
        <w:t>，</w:t>
      </w:r>
      <w:r w:rsidR="00E364F8">
        <w:rPr>
          <w:rFonts w:ascii="仿宋_GB2312" w:eastAsia="仿宋_GB2312" w:hint="eastAsia"/>
          <w:sz w:val="22"/>
        </w:rPr>
        <w:t>由</w:t>
      </w:r>
      <w:r w:rsidR="00154610">
        <w:rPr>
          <w:rFonts w:ascii="仿宋_GB2312" w:eastAsia="仿宋_GB2312" w:hint="eastAsia"/>
          <w:sz w:val="22"/>
        </w:rPr>
        <w:t>140.3降</w:t>
      </w:r>
      <w:r w:rsidR="00ED46A2">
        <w:rPr>
          <w:rFonts w:ascii="仿宋_GB2312" w:eastAsia="仿宋_GB2312" w:hint="eastAsia"/>
          <w:sz w:val="22"/>
        </w:rPr>
        <w:t>至</w:t>
      </w:r>
      <w:r w:rsidR="00154610">
        <w:rPr>
          <w:rFonts w:ascii="仿宋_GB2312" w:eastAsia="仿宋_GB2312" w:hint="eastAsia"/>
          <w:sz w:val="22"/>
        </w:rPr>
        <w:t>132.5</w:t>
      </w:r>
      <w:r w:rsidR="007359D7" w:rsidRPr="007359D7">
        <w:rPr>
          <w:rFonts w:ascii="仿宋_GB2312" w:eastAsia="仿宋_GB2312" w:hint="eastAsia"/>
          <w:sz w:val="22"/>
        </w:rPr>
        <w:t>（见图</w:t>
      </w:r>
      <w:r w:rsidR="002E0578">
        <w:rPr>
          <w:rFonts w:ascii="仿宋_GB2312" w:eastAsia="仿宋_GB2312" w:hint="eastAsia"/>
          <w:sz w:val="22"/>
        </w:rPr>
        <w:t>10</w:t>
      </w:r>
      <w:r w:rsidR="007359D7" w:rsidRPr="007359D7">
        <w:rPr>
          <w:rFonts w:ascii="仿宋_GB2312" w:eastAsia="仿宋_GB2312" w:hint="eastAsia"/>
          <w:sz w:val="22"/>
        </w:rPr>
        <w:t>）</w:t>
      </w:r>
      <w:r w:rsidR="007359D7">
        <w:rPr>
          <w:rFonts w:ascii="仿宋_GB2312" w:eastAsia="仿宋_GB2312" w:hint="eastAsia"/>
          <w:sz w:val="22"/>
        </w:rPr>
        <w:t>，</w:t>
      </w:r>
      <w:r w:rsidR="00633F6A">
        <w:rPr>
          <w:rFonts w:ascii="仿宋_GB2312" w:eastAsia="仿宋_GB2312" w:hint="eastAsia"/>
          <w:sz w:val="22"/>
        </w:rPr>
        <w:t>低于去年同期</w:t>
      </w:r>
      <w:r w:rsidR="00143D65">
        <w:rPr>
          <w:rFonts w:ascii="仿宋_GB2312" w:eastAsia="仿宋_GB2312" w:hint="eastAsia"/>
          <w:sz w:val="22"/>
        </w:rPr>
        <w:t>3.2个单位</w:t>
      </w:r>
      <w:r w:rsidR="00D34746">
        <w:rPr>
          <w:rFonts w:ascii="仿宋_GB2312" w:eastAsia="仿宋_GB2312" w:hint="eastAsia"/>
          <w:sz w:val="22"/>
        </w:rPr>
        <w:t>。从各创新指标来看，</w:t>
      </w:r>
      <w:r w:rsidR="00B03FC1">
        <w:rPr>
          <w:rFonts w:ascii="仿宋_GB2312" w:eastAsia="仿宋_GB2312" w:hint="eastAsia"/>
          <w:sz w:val="22"/>
        </w:rPr>
        <w:t>订单指数的下降直接影响</w:t>
      </w:r>
      <w:r w:rsidR="003F7306">
        <w:rPr>
          <w:rFonts w:ascii="仿宋_GB2312" w:eastAsia="仿宋_GB2312" w:hint="eastAsia"/>
          <w:sz w:val="22"/>
        </w:rPr>
        <w:t>企业研发积极性，研发投入</w:t>
      </w:r>
      <w:r w:rsidR="00143D65">
        <w:rPr>
          <w:rFonts w:ascii="仿宋_GB2312" w:eastAsia="仿宋_GB2312" w:hint="eastAsia"/>
          <w:sz w:val="22"/>
        </w:rPr>
        <w:t>缩减</w:t>
      </w:r>
      <w:r w:rsidR="00254262">
        <w:rPr>
          <w:rFonts w:ascii="仿宋_GB2312" w:eastAsia="仿宋_GB2312" w:hint="eastAsia"/>
          <w:sz w:val="22"/>
        </w:rPr>
        <w:t>，</w:t>
      </w:r>
      <w:r w:rsidR="002475F2">
        <w:rPr>
          <w:rFonts w:ascii="仿宋_GB2312" w:eastAsia="仿宋_GB2312" w:hint="eastAsia"/>
          <w:sz w:val="22"/>
        </w:rPr>
        <w:t>本季度研发投入</w:t>
      </w:r>
      <w:r w:rsidR="00C2275E">
        <w:rPr>
          <w:rFonts w:ascii="仿宋_GB2312" w:eastAsia="仿宋_GB2312" w:hint="eastAsia"/>
          <w:sz w:val="22"/>
        </w:rPr>
        <w:t>指数</w:t>
      </w:r>
      <w:r w:rsidR="002475F2">
        <w:rPr>
          <w:rFonts w:ascii="仿宋_GB2312" w:eastAsia="仿宋_GB2312" w:hint="eastAsia"/>
          <w:sz w:val="22"/>
        </w:rPr>
        <w:t>为</w:t>
      </w:r>
      <w:r w:rsidR="009A2B32">
        <w:rPr>
          <w:rFonts w:ascii="仿宋_GB2312" w:eastAsia="仿宋_GB2312" w:hint="eastAsia"/>
          <w:sz w:val="22"/>
        </w:rPr>
        <w:t>133.3</w:t>
      </w:r>
      <w:r w:rsidR="0019683B">
        <w:rPr>
          <w:rFonts w:ascii="仿宋_GB2312" w:eastAsia="仿宋_GB2312" w:hint="eastAsia"/>
          <w:sz w:val="22"/>
        </w:rPr>
        <w:t>（见图</w:t>
      </w:r>
      <w:r w:rsidR="002E0578">
        <w:rPr>
          <w:rFonts w:ascii="仿宋_GB2312" w:eastAsia="仿宋_GB2312" w:hint="eastAsia"/>
          <w:sz w:val="22"/>
        </w:rPr>
        <w:t>11</w:t>
      </w:r>
      <w:r w:rsidR="0019683B">
        <w:rPr>
          <w:rFonts w:ascii="仿宋_GB2312" w:eastAsia="仿宋_GB2312" w:hint="eastAsia"/>
          <w:sz w:val="22"/>
        </w:rPr>
        <w:t>）</w:t>
      </w:r>
      <w:r w:rsidR="002475F2">
        <w:rPr>
          <w:rFonts w:ascii="仿宋_GB2312" w:eastAsia="仿宋_GB2312" w:hint="eastAsia"/>
          <w:sz w:val="22"/>
        </w:rPr>
        <w:t>，</w:t>
      </w:r>
      <w:r w:rsidR="00143D65">
        <w:rPr>
          <w:rFonts w:ascii="仿宋_GB2312" w:eastAsia="仿宋_GB2312" w:hint="eastAsia"/>
          <w:sz w:val="22"/>
        </w:rPr>
        <w:t>低于二</w:t>
      </w:r>
      <w:r w:rsidR="002475F2">
        <w:rPr>
          <w:rFonts w:ascii="仿宋_GB2312" w:eastAsia="仿宋_GB2312" w:hint="eastAsia"/>
          <w:sz w:val="22"/>
        </w:rPr>
        <w:t>季度</w:t>
      </w:r>
      <w:r w:rsidR="003F7306">
        <w:rPr>
          <w:rFonts w:ascii="仿宋_GB2312" w:eastAsia="仿宋_GB2312" w:hint="eastAsia"/>
          <w:sz w:val="22"/>
        </w:rPr>
        <w:t>1</w:t>
      </w:r>
      <w:r w:rsidR="00143D65">
        <w:rPr>
          <w:rFonts w:ascii="仿宋_GB2312" w:eastAsia="仿宋_GB2312" w:hint="eastAsia"/>
          <w:sz w:val="22"/>
        </w:rPr>
        <w:t>41.6</w:t>
      </w:r>
      <w:r w:rsidR="003F7306">
        <w:rPr>
          <w:rFonts w:ascii="仿宋_GB2312" w:eastAsia="仿宋_GB2312" w:hint="eastAsia"/>
          <w:sz w:val="22"/>
        </w:rPr>
        <w:t>的水平</w:t>
      </w:r>
      <w:r w:rsidR="00EC379D">
        <w:rPr>
          <w:rFonts w:ascii="仿宋_GB2312" w:eastAsia="仿宋_GB2312" w:hint="eastAsia"/>
          <w:sz w:val="22"/>
        </w:rPr>
        <w:t>；</w:t>
      </w:r>
      <w:r w:rsidR="0019683B">
        <w:rPr>
          <w:rFonts w:ascii="仿宋_GB2312" w:eastAsia="仿宋_GB2312" w:hint="eastAsia"/>
          <w:sz w:val="22"/>
        </w:rPr>
        <w:t>专利申请指数则由</w:t>
      </w:r>
      <w:r w:rsidR="00DE61B9">
        <w:rPr>
          <w:rFonts w:ascii="仿宋_GB2312" w:eastAsia="仿宋_GB2312" w:hint="eastAsia"/>
          <w:sz w:val="22"/>
        </w:rPr>
        <w:t>132.4下降</w:t>
      </w:r>
      <w:r w:rsidR="0019683B">
        <w:rPr>
          <w:rFonts w:ascii="仿宋_GB2312" w:eastAsia="仿宋_GB2312" w:hint="eastAsia"/>
          <w:sz w:val="22"/>
        </w:rPr>
        <w:t>至</w:t>
      </w:r>
      <w:r w:rsidR="00143D65">
        <w:rPr>
          <w:rFonts w:ascii="仿宋_GB2312" w:eastAsia="仿宋_GB2312" w:hint="eastAsia"/>
          <w:sz w:val="22"/>
        </w:rPr>
        <w:t>126.1</w:t>
      </w:r>
      <w:r w:rsidR="00EC379D">
        <w:rPr>
          <w:rFonts w:ascii="仿宋_GB2312" w:eastAsia="仿宋_GB2312" w:hint="eastAsia"/>
          <w:sz w:val="22"/>
        </w:rPr>
        <w:t>，</w:t>
      </w:r>
      <w:r w:rsidR="00143D65">
        <w:rPr>
          <w:rFonts w:ascii="仿宋_GB2312" w:eastAsia="仿宋_GB2312" w:hint="eastAsia"/>
          <w:sz w:val="22"/>
        </w:rPr>
        <w:t>降幅近5%，低于去年同期2.5个单位</w:t>
      </w:r>
      <w:r w:rsidR="0019683B">
        <w:rPr>
          <w:rFonts w:ascii="仿宋_GB2312" w:eastAsia="仿宋_GB2312" w:hint="eastAsia"/>
          <w:sz w:val="22"/>
        </w:rPr>
        <w:t>。</w:t>
      </w:r>
      <w:r w:rsidR="00BE7BD9">
        <w:rPr>
          <w:rFonts w:ascii="仿宋_GB2312" w:eastAsia="仿宋_GB2312" w:hint="eastAsia"/>
          <w:sz w:val="22"/>
        </w:rPr>
        <w:t>剔</w:t>
      </w:r>
      <w:r w:rsidR="00BE7BD9">
        <w:rPr>
          <w:rFonts w:ascii="仿宋_GB2312" w:eastAsia="仿宋_GB2312" w:hint="eastAsia"/>
          <w:sz w:val="22"/>
        </w:rPr>
        <w:lastRenderedPageBreak/>
        <w:t>除季节影响因素后，创新景气指数较上期回升1.54%，其中研发投入指数增长1.6%，专利申请指数则下降0.37%，</w:t>
      </w:r>
      <w:r w:rsidR="00AD408D">
        <w:rPr>
          <w:rFonts w:ascii="仿宋_GB2312" w:eastAsia="仿宋_GB2312" w:hint="eastAsia"/>
          <w:sz w:val="22"/>
        </w:rPr>
        <w:t>表明实际创新环境虽较上期好转，但专利申请</w:t>
      </w:r>
      <w:r w:rsidR="002B6A08">
        <w:rPr>
          <w:rFonts w:ascii="仿宋_GB2312" w:eastAsia="仿宋_GB2312" w:hint="eastAsia"/>
          <w:sz w:val="22"/>
        </w:rPr>
        <w:t>情况却有所</w:t>
      </w:r>
      <w:r w:rsidR="0046547E">
        <w:rPr>
          <w:rFonts w:ascii="仿宋_GB2312" w:eastAsia="仿宋_GB2312" w:hint="eastAsia"/>
          <w:sz w:val="22"/>
        </w:rPr>
        <w:t>下滑</w:t>
      </w:r>
      <w:r w:rsidR="00AD408D">
        <w:rPr>
          <w:rFonts w:ascii="仿宋_GB2312" w:eastAsia="仿宋_GB2312" w:hint="eastAsia"/>
          <w:sz w:val="22"/>
        </w:rPr>
        <w:t>。</w:t>
      </w:r>
    </w:p>
    <w:p w14:paraId="40B05389" w14:textId="477A44D3" w:rsidR="00FF3E0D" w:rsidRPr="00F47708" w:rsidRDefault="00453E66" w:rsidP="00FE2C6E">
      <w:pPr>
        <w:spacing w:line="360" w:lineRule="auto"/>
        <w:jc w:val="center"/>
        <w:rPr>
          <w:rFonts w:ascii="仿宋_GB2312" w:eastAsia="仿宋_GB2312"/>
          <w:sz w:val="22"/>
          <w:highlight w:val="lightGray"/>
        </w:rPr>
      </w:pPr>
      <w:r>
        <w:rPr>
          <w:noProof/>
        </w:rPr>
        <w:drawing>
          <wp:inline distT="0" distB="0" distL="0" distR="0" wp14:anchorId="5FDB2FD7" wp14:editId="404462EF">
            <wp:extent cx="5274860" cy="1794681"/>
            <wp:effectExtent l="0" t="0" r="2540" b="15240"/>
            <wp:docPr id="35" name="图表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7819439" w14:textId="40840067" w:rsidR="00206EB1" w:rsidRDefault="00C22B43" w:rsidP="000201CF">
      <w:pPr>
        <w:spacing w:afterLines="100" w:after="312" w:line="360" w:lineRule="auto"/>
        <w:jc w:val="center"/>
        <w:rPr>
          <w:rFonts w:asciiTheme="minorEastAsia" w:hAnsiTheme="minorEastAsia"/>
          <w:sz w:val="20"/>
        </w:rPr>
      </w:pPr>
      <w:r w:rsidRPr="00FF3E0D">
        <w:rPr>
          <w:rFonts w:asciiTheme="minorEastAsia" w:hAnsiTheme="minorEastAsia" w:hint="eastAsia"/>
          <w:sz w:val="20"/>
        </w:rPr>
        <w:t>图</w:t>
      </w:r>
      <w:r w:rsidR="002E0578">
        <w:rPr>
          <w:rFonts w:asciiTheme="minorEastAsia" w:hAnsiTheme="minorEastAsia" w:hint="eastAsia"/>
          <w:sz w:val="20"/>
        </w:rPr>
        <w:t>10</w:t>
      </w:r>
      <w:r w:rsidRPr="00FF3E0D">
        <w:rPr>
          <w:rFonts w:asciiTheme="minorEastAsia" w:hAnsiTheme="minorEastAsia" w:hint="eastAsia"/>
          <w:sz w:val="20"/>
        </w:rPr>
        <w:t xml:space="preserve"> </w:t>
      </w:r>
      <w:r w:rsidR="006917E5" w:rsidRPr="00FF3E0D">
        <w:rPr>
          <w:rFonts w:asciiTheme="minorEastAsia" w:hAnsiTheme="minorEastAsia" w:hint="eastAsia"/>
          <w:sz w:val="20"/>
        </w:rPr>
        <w:t>2014年以来</w:t>
      </w:r>
      <w:r w:rsidRPr="00FF3E0D">
        <w:rPr>
          <w:rFonts w:asciiTheme="minorEastAsia" w:hAnsiTheme="minorEastAsia" w:hint="eastAsia"/>
          <w:sz w:val="20"/>
        </w:rPr>
        <w:t>战略性新兴产业创新景气总指数</w:t>
      </w:r>
    </w:p>
    <w:p w14:paraId="5120264C" w14:textId="3EC1162F" w:rsidR="00C22B43" w:rsidRPr="00F47708" w:rsidRDefault="00453E66" w:rsidP="00FE2C6E">
      <w:pPr>
        <w:spacing w:line="360" w:lineRule="auto"/>
        <w:jc w:val="center"/>
        <w:rPr>
          <w:rFonts w:ascii="仿宋_GB2312" w:eastAsia="仿宋_GB2312"/>
          <w:sz w:val="22"/>
          <w:highlight w:val="lightGray"/>
        </w:rPr>
      </w:pPr>
      <w:r>
        <w:rPr>
          <w:noProof/>
        </w:rPr>
        <w:drawing>
          <wp:inline distT="0" distB="0" distL="0" distR="0" wp14:anchorId="4CF5BC89" wp14:editId="3A22069D">
            <wp:extent cx="5259628" cy="2150669"/>
            <wp:effectExtent l="0" t="0" r="17780" b="2540"/>
            <wp:docPr id="36" name="图表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96A1869" w14:textId="20EE4BD8" w:rsidR="00A73260" w:rsidRDefault="00A73260" w:rsidP="000201CF">
      <w:pPr>
        <w:spacing w:afterLines="100" w:after="312" w:line="360" w:lineRule="auto"/>
        <w:jc w:val="center"/>
        <w:rPr>
          <w:rFonts w:ascii="仿宋_GB2312" w:eastAsia="仿宋_GB2312"/>
          <w:sz w:val="22"/>
        </w:rPr>
      </w:pPr>
      <w:r w:rsidRPr="00D10494">
        <w:rPr>
          <w:rFonts w:asciiTheme="minorEastAsia" w:hAnsiTheme="minorEastAsia" w:hint="eastAsia"/>
          <w:sz w:val="20"/>
        </w:rPr>
        <w:t>图</w:t>
      </w:r>
      <w:r w:rsidR="002E0578">
        <w:rPr>
          <w:rFonts w:asciiTheme="minorEastAsia" w:hAnsiTheme="minorEastAsia" w:hint="eastAsia"/>
          <w:sz w:val="20"/>
        </w:rPr>
        <w:t>11</w:t>
      </w:r>
      <w:r w:rsidRPr="00D10494">
        <w:rPr>
          <w:rFonts w:asciiTheme="minorEastAsia" w:hAnsiTheme="minorEastAsia" w:hint="eastAsia"/>
          <w:sz w:val="20"/>
        </w:rPr>
        <w:t xml:space="preserve"> </w:t>
      </w:r>
      <w:r w:rsidR="006917E5" w:rsidRPr="00D10494">
        <w:rPr>
          <w:rFonts w:asciiTheme="minorEastAsia" w:hAnsiTheme="minorEastAsia" w:hint="eastAsia"/>
          <w:sz w:val="20"/>
        </w:rPr>
        <w:t>2014年以来</w:t>
      </w:r>
      <w:r w:rsidRPr="00D10494">
        <w:rPr>
          <w:rFonts w:asciiTheme="minorEastAsia" w:hAnsiTheme="minorEastAsia" w:hint="eastAsia"/>
          <w:sz w:val="20"/>
        </w:rPr>
        <w:t>战略性新兴产业创新类景气指标</w:t>
      </w:r>
    </w:p>
    <w:p w14:paraId="23EE0041" w14:textId="14BDA2BF" w:rsidR="00487073" w:rsidRPr="00582724" w:rsidRDefault="00487073" w:rsidP="00582724">
      <w:pPr>
        <w:spacing w:line="360" w:lineRule="auto"/>
        <w:ind w:firstLineChars="200" w:firstLine="442"/>
        <w:rPr>
          <w:rFonts w:ascii="仿宋_GB2312" w:eastAsia="仿宋_GB2312"/>
          <w:b/>
          <w:sz w:val="22"/>
        </w:rPr>
      </w:pPr>
      <w:r w:rsidRPr="00582724">
        <w:rPr>
          <w:rFonts w:ascii="仿宋_GB2312" w:eastAsia="仿宋_GB2312" w:hint="eastAsia"/>
          <w:b/>
          <w:sz w:val="22"/>
        </w:rPr>
        <w:t>4、政策</w:t>
      </w:r>
      <w:r w:rsidR="00246343">
        <w:rPr>
          <w:rFonts w:ascii="仿宋_GB2312" w:eastAsia="仿宋_GB2312" w:hint="eastAsia"/>
          <w:b/>
          <w:sz w:val="22"/>
        </w:rPr>
        <w:t>指数</w:t>
      </w:r>
      <w:r w:rsidR="00857A1C">
        <w:rPr>
          <w:rFonts w:ascii="仿宋_GB2312" w:eastAsia="仿宋_GB2312" w:hint="eastAsia"/>
          <w:b/>
          <w:sz w:val="22"/>
        </w:rPr>
        <w:t>基本持平</w:t>
      </w:r>
      <w:r w:rsidR="00C353D0">
        <w:rPr>
          <w:rFonts w:ascii="仿宋_GB2312" w:eastAsia="仿宋_GB2312" w:hint="eastAsia"/>
          <w:b/>
          <w:sz w:val="22"/>
        </w:rPr>
        <w:t>，季节因素调整后大幅回升</w:t>
      </w:r>
    </w:p>
    <w:p w14:paraId="7C8C7FEC" w14:textId="61CDE2D9" w:rsidR="00A73260" w:rsidRPr="00941667" w:rsidRDefault="00487DF8" w:rsidP="00217A08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本季度</w:t>
      </w:r>
      <w:r w:rsidR="00ED3C89">
        <w:rPr>
          <w:rFonts w:ascii="仿宋_GB2312" w:eastAsia="仿宋_GB2312" w:hint="eastAsia"/>
          <w:sz w:val="22"/>
        </w:rPr>
        <w:t>政策</w:t>
      </w:r>
      <w:r w:rsidR="00383466" w:rsidRPr="00582724">
        <w:rPr>
          <w:rFonts w:ascii="仿宋_GB2312" w:eastAsia="仿宋_GB2312" w:hint="eastAsia"/>
          <w:sz w:val="22"/>
        </w:rPr>
        <w:t>景气指数为13</w:t>
      </w:r>
      <w:r w:rsidR="00C018F6">
        <w:rPr>
          <w:rFonts w:ascii="仿宋_GB2312" w:eastAsia="仿宋_GB2312" w:hint="eastAsia"/>
          <w:sz w:val="22"/>
        </w:rPr>
        <w:t>0.</w:t>
      </w:r>
      <w:r w:rsidR="0093101E">
        <w:rPr>
          <w:rFonts w:ascii="仿宋_GB2312" w:eastAsia="仿宋_GB2312" w:hint="eastAsia"/>
          <w:sz w:val="22"/>
        </w:rPr>
        <w:t>1</w:t>
      </w:r>
      <w:r w:rsidR="00C018F6">
        <w:rPr>
          <w:rFonts w:ascii="仿宋_GB2312" w:eastAsia="仿宋_GB2312" w:hint="eastAsia"/>
          <w:sz w:val="22"/>
        </w:rPr>
        <w:t>（见图</w:t>
      </w:r>
      <w:r w:rsidR="009A4CFD">
        <w:rPr>
          <w:rFonts w:ascii="仿宋_GB2312" w:eastAsia="仿宋_GB2312" w:hint="eastAsia"/>
          <w:sz w:val="22"/>
        </w:rPr>
        <w:t>1</w:t>
      </w:r>
      <w:r w:rsidR="002E0578">
        <w:rPr>
          <w:rFonts w:ascii="仿宋_GB2312" w:eastAsia="仿宋_GB2312" w:hint="eastAsia"/>
          <w:sz w:val="22"/>
        </w:rPr>
        <w:t>2</w:t>
      </w:r>
      <w:r w:rsidR="00C018F6">
        <w:rPr>
          <w:rFonts w:ascii="仿宋_GB2312" w:eastAsia="仿宋_GB2312" w:hint="eastAsia"/>
          <w:sz w:val="22"/>
        </w:rPr>
        <w:t>）</w:t>
      </w:r>
      <w:r w:rsidR="00871CE0" w:rsidRPr="00582724">
        <w:rPr>
          <w:rFonts w:ascii="仿宋_GB2312" w:eastAsia="仿宋_GB2312" w:hint="eastAsia"/>
          <w:sz w:val="22"/>
        </w:rPr>
        <w:t>，</w:t>
      </w:r>
      <w:r w:rsidR="009865AE">
        <w:rPr>
          <w:rFonts w:ascii="仿宋_GB2312" w:eastAsia="仿宋_GB2312" w:hint="eastAsia"/>
          <w:sz w:val="22"/>
        </w:rPr>
        <w:t>与二季度基本持平，处于较为景气区间。</w:t>
      </w:r>
      <w:r w:rsidR="00733E37">
        <w:rPr>
          <w:rFonts w:ascii="仿宋_GB2312" w:eastAsia="仿宋_GB2312" w:hint="eastAsia"/>
          <w:sz w:val="22"/>
        </w:rPr>
        <w:t>调整季节性影响因素后，</w:t>
      </w:r>
      <w:r w:rsidR="00E12EE5">
        <w:rPr>
          <w:rFonts w:ascii="仿宋_GB2312" w:eastAsia="仿宋_GB2312" w:hint="eastAsia"/>
          <w:sz w:val="22"/>
        </w:rPr>
        <w:t>政策景气较上期增长3.73%，</w:t>
      </w:r>
      <w:r w:rsidR="00D57E32">
        <w:rPr>
          <w:rFonts w:ascii="仿宋_GB2312" w:eastAsia="仿宋_GB2312" w:hint="eastAsia"/>
          <w:sz w:val="22"/>
        </w:rPr>
        <w:t>说明</w:t>
      </w:r>
      <w:r w:rsidR="00963DD8">
        <w:rPr>
          <w:rFonts w:ascii="仿宋_GB2312" w:eastAsia="仿宋_GB2312" w:hint="eastAsia"/>
          <w:sz w:val="22"/>
        </w:rPr>
        <w:t>三季度</w:t>
      </w:r>
      <w:r w:rsidR="00E12EE5">
        <w:rPr>
          <w:rFonts w:ascii="仿宋_GB2312" w:eastAsia="仿宋_GB2312" w:hint="eastAsia"/>
          <w:sz w:val="22"/>
        </w:rPr>
        <w:t>为战略性新兴产业企业发展提供</w:t>
      </w:r>
      <w:r w:rsidR="00D8364E">
        <w:rPr>
          <w:rFonts w:ascii="仿宋_GB2312" w:eastAsia="仿宋_GB2312" w:hint="eastAsia"/>
          <w:sz w:val="22"/>
        </w:rPr>
        <w:t>了</w:t>
      </w:r>
      <w:r w:rsidR="00E12EE5">
        <w:rPr>
          <w:rFonts w:ascii="仿宋_GB2312" w:eastAsia="仿宋_GB2312" w:hint="eastAsia"/>
          <w:sz w:val="22"/>
        </w:rPr>
        <w:t>良好的政策环境。</w:t>
      </w:r>
    </w:p>
    <w:p w14:paraId="3514776C" w14:textId="62DF5A0C" w:rsidR="00A73260" w:rsidRDefault="00907B46" w:rsidP="00DD3FC0">
      <w:pPr>
        <w:spacing w:line="360" w:lineRule="auto"/>
        <w:jc w:val="center"/>
        <w:rPr>
          <w:rFonts w:ascii="仿宋_GB2312" w:eastAsia="仿宋_GB2312"/>
          <w:sz w:val="22"/>
        </w:rPr>
      </w:pPr>
      <w:r>
        <w:rPr>
          <w:noProof/>
        </w:rPr>
        <w:lastRenderedPageBreak/>
        <w:drawing>
          <wp:inline distT="0" distB="0" distL="0" distR="0" wp14:anchorId="18EC3FD9" wp14:editId="781BAD9F">
            <wp:extent cx="5259629" cy="2026310"/>
            <wp:effectExtent l="0" t="0" r="17780" b="12065"/>
            <wp:docPr id="37" name="图表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44B3984" w14:textId="258B9E13" w:rsidR="00BA4062" w:rsidRPr="00BA4062" w:rsidRDefault="009A18DC" w:rsidP="000A1D55">
      <w:pPr>
        <w:spacing w:afterLines="100" w:after="312" w:line="360" w:lineRule="auto"/>
        <w:jc w:val="center"/>
        <w:rPr>
          <w:rFonts w:asciiTheme="minorEastAsia" w:hAnsiTheme="minorEastAsia"/>
          <w:sz w:val="20"/>
        </w:rPr>
      </w:pPr>
      <w:r w:rsidRPr="007163AE">
        <w:rPr>
          <w:rFonts w:asciiTheme="minorEastAsia" w:hAnsiTheme="minorEastAsia" w:hint="eastAsia"/>
          <w:sz w:val="20"/>
        </w:rPr>
        <w:t>图</w:t>
      </w:r>
      <w:r w:rsidR="002E0578">
        <w:rPr>
          <w:rFonts w:asciiTheme="minorEastAsia" w:hAnsiTheme="minorEastAsia" w:hint="eastAsia"/>
          <w:sz w:val="20"/>
        </w:rPr>
        <w:t>12</w:t>
      </w:r>
      <w:r>
        <w:rPr>
          <w:rFonts w:asciiTheme="minorEastAsia" w:hAnsiTheme="minorEastAsia" w:hint="eastAsia"/>
          <w:sz w:val="20"/>
        </w:rPr>
        <w:t xml:space="preserve"> </w:t>
      </w:r>
      <w:r w:rsidR="006917E5">
        <w:rPr>
          <w:rFonts w:asciiTheme="minorEastAsia" w:hAnsiTheme="minorEastAsia" w:hint="eastAsia"/>
          <w:sz w:val="20"/>
        </w:rPr>
        <w:t>2014年以来</w:t>
      </w:r>
      <w:r w:rsidRPr="007163AE">
        <w:rPr>
          <w:rFonts w:asciiTheme="minorEastAsia" w:hAnsiTheme="minorEastAsia" w:hint="eastAsia"/>
          <w:sz w:val="20"/>
        </w:rPr>
        <w:t>战略性新兴产业</w:t>
      </w:r>
      <w:r>
        <w:rPr>
          <w:rFonts w:asciiTheme="minorEastAsia" w:hAnsiTheme="minorEastAsia" w:hint="eastAsia"/>
          <w:sz w:val="20"/>
        </w:rPr>
        <w:t>政策景气</w:t>
      </w:r>
      <w:r w:rsidRPr="007163AE">
        <w:rPr>
          <w:rFonts w:asciiTheme="minorEastAsia" w:hAnsiTheme="minorEastAsia" w:hint="eastAsia"/>
          <w:sz w:val="20"/>
        </w:rPr>
        <w:t>总指数</w:t>
      </w:r>
    </w:p>
    <w:p w14:paraId="64408A51" w14:textId="0583F0C7" w:rsidR="0073722C" w:rsidRDefault="002679BA" w:rsidP="0034401A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除了希望得到资金支持、税收减免、人才培养与引进</w:t>
      </w:r>
      <w:r w:rsidR="00F7302C">
        <w:rPr>
          <w:rFonts w:ascii="仿宋_GB2312" w:eastAsia="仿宋_GB2312" w:hint="eastAsia"/>
          <w:sz w:val="22"/>
        </w:rPr>
        <w:t>之</w:t>
      </w:r>
      <w:r>
        <w:rPr>
          <w:rFonts w:ascii="仿宋_GB2312" w:eastAsia="仿宋_GB2312" w:hint="eastAsia"/>
          <w:sz w:val="22"/>
        </w:rPr>
        <w:t>外，</w:t>
      </w:r>
      <w:r w:rsidR="0073722C">
        <w:rPr>
          <w:rFonts w:ascii="仿宋_GB2312" w:eastAsia="仿宋_GB2312" w:hint="eastAsia"/>
          <w:sz w:val="22"/>
        </w:rPr>
        <w:t>不同产业的政策诉求存在差异：</w:t>
      </w:r>
      <w:r w:rsidR="0073722C" w:rsidRPr="000A1D55">
        <w:rPr>
          <w:rFonts w:ascii="仿宋_GB2312" w:eastAsia="仿宋_GB2312" w:hint="eastAsia"/>
          <w:sz w:val="22"/>
        </w:rPr>
        <w:t>高端装备制造企业更侧重于</w:t>
      </w:r>
      <w:r w:rsidR="00863311" w:rsidRPr="000A1D55">
        <w:rPr>
          <w:rFonts w:ascii="仿宋_GB2312" w:eastAsia="仿宋_GB2312" w:hint="eastAsia"/>
          <w:sz w:val="22"/>
        </w:rPr>
        <w:t>国内市场开拓与竞争，</w:t>
      </w:r>
      <w:r w:rsidR="00312FD3" w:rsidRPr="000A1D55">
        <w:rPr>
          <w:rFonts w:ascii="仿宋_GB2312" w:eastAsia="仿宋_GB2312" w:hint="eastAsia"/>
          <w:sz w:val="22"/>
        </w:rPr>
        <w:t>明确提出需要各地方政府调整相应政策壁垒，为国有高端装备制造企业与外资企业平等竞争国内市场打好基础</w:t>
      </w:r>
      <w:r w:rsidR="0073722C" w:rsidRPr="000A1D55">
        <w:rPr>
          <w:rFonts w:ascii="仿宋_GB2312" w:eastAsia="仿宋_GB2312" w:hint="eastAsia"/>
          <w:sz w:val="22"/>
        </w:rPr>
        <w:t>；新材料企业</w:t>
      </w:r>
      <w:r w:rsidR="00F7302C" w:rsidRPr="000A1D55">
        <w:rPr>
          <w:rFonts w:ascii="仿宋_GB2312" w:eastAsia="仿宋_GB2312" w:hint="eastAsia"/>
          <w:sz w:val="22"/>
        </w:rPr>
        <w:t>则希望进一步建立完善的知识产权保护制度，以期有利于建立</w:t>
      </w:r>
      <w:r w:rsidR="0082310D" w:rsidRPr="000A1D55">
        <w:rPr>
          <w:rFonts w:ascii="仿宋_GB2312" w:eastAsia="仿宋_GB2312" w:hint="eastAsia"/>
          <w:sz w:val="22"/>
        </w:rPr>
        <w:t>良好的国内产业秩序并积极参与海外市场的开拓</w:t>
      </w:r>
      <w:r w:rsidR="0073722C" w:rsidRPr="000A1D55">
        <w:rPr>
          <w:rFonts w:ascii="仿宋_GB2312" w:eastAsia="仿宋_GB2312" w:hint="eastAsia"/>
          <w:sz w:val="22"/>
        </w:rPr>
        <w:t>；新一代信息技术企业</w:t>
      </w:r>
      <w:r w:rsidR="002853AE" w:rsidRPr="000A1D55">
        <w:rPr>
          <w:rFonts w:ascii="仿宋_GB2312" w:eastAsia="仿宋_GB2312" w:hint="eastAsia"/>
          <w:sz w:val="22"/>
        </w:rPr>
        <w:t>的诉求</w:t>
      </w:r>
      <w:r w:rsidR="00ED76F0" w:rsidRPr="000A1D55">
        <w:rPr>
          <w:rFonts w:ascii="仿宋_GB2312" w:eastAsia="仿宋_GB2312" w:hint="eastAsia"/>
          <w:sz w:val="22"/>
        </w:rPr>
        <w:t>相对集中表现在政府对企业研发的政策支持方面；</w:t>
      </w:r>
      <w:r w:rsidR="00707082" w:rsidRPr="000A1D55">
        <w:rPr>
          <w:rFonts w:ascii="仿宋_GB2312" w:eastAsia="仿宋_GB2312" w:hint="eastAsia"/>
          <w:sz w:val="22"/>
        </w:rPr>
        <w:t>生物企业希望进一步建立完善的市场准入标准，明确</w:t>
      </w:r>
      <w:r w:rsidR="0073722C" w:rsidRPr="000A1D55">
        <w:rPr>
          <w:rFonts w:ascii="仿宋_GB2312" w:eastAsia="仿宋_GB2312" w:hint="eastAsia"/>
          <w:sz w:val="22"/>
        </w:rPr>
        <w:t>新药研发、</w:t>
      </w:r>
      <w:r w:rsidR="00707082" w:rsidRPr="000A1D55">
        <w:rPr>
          <w:rFonts w:ascii="仿宋_GB2312" w:eastAsia="仿宋_GB2312" w:hint="eastAsia"/>
          <w:sz w:val="22"/>
        </w:rPr>
        <w:t>药品招标等</w:t>
      </w:r>
      <w:r w:rsidR="00A56398" w:rsidRPr="000A1D55">
        <w:rPr>
          <w:rFonts w:ascii="仿宋_GB2312" w:eastAsia="仿宋_GB2312" w:hint="eastAsia"/>
          <w:sz w:val="22"/>
        </w:rPr>
        <w:t>完备的</w:t>
      </w:r>
      <w:r w:rsidR="00707082" w:rsidRPr="000A1D55">
        <w:rPr>
          <w:rFonts w:ascii="仿宋_GB2312" w:eastAsia="仿宋_GB2312" w:hint="eastAsia"/>
          <w:sz w:val="22"/>
        </w:rPr>
        <w:t>指导政策</w:t>
      </w:r>
      <w:r w:rsidR="00A56398" w:rsidRPr="000A1D55">
        <w:rPr>
          <w:rFonts w:ascii="仿宋_GB2312" w:eastAsia="仿宋_GB2312" w:hint="eastAsia"/>
          <w:sz w:val="22"/>
        </w:rPr>
        <w:t>意见</w:t>
      </w:r>
      <w:r w:rsidR="0073722C" w:rsidRPr="000A1D55">
        <w:rPr>
          <w:rFonts w:ascii="仿宋_GB2312" w:eastAsia="仿宋_GB2312" w:hint="eastAsia"/>
          <w:sz w:val="22"/>
        </w:rPr>
        <w:t>；新能源企业在</w:t>
      </w:r>
      <w:r w:rsidR="00D029B5" w:rsidRPr="000A1D55">
        <w:rPr>
          <w:rFonts w:ascii="仿宋_GB2312" w:eastAsia="仿宋_GB2312" w:hint="eastAsia"/>
          <w:sz w:val="22"/>
        </w:rPr>
        <w:t>企业能源消耗</w:t>
      </w:r>
      <w:r w:rsidR="0073722C" w:rsidRPr="000A1D55">
        <w:rPr>
          <w:rFonts w:ascii="仿宋_GB2312" w:eastAsia="仿宋_GB2312" w:hint="eastAsia"/>
          <w:sz w:val="22"/>
        </w:rPr>
        <w:t>补贴、</w:t>
      </w:r>
      <w:r w:rsidR="00D029B5" w:rsidRPr="000A1D55">
        <w:rPr>
          <w:rFonts w:ascii="仿宋_GB2312" w:eastAsia="仿宋_GB2312" w:hint="eastAsia"/>
          <w:sz w:val="22"/>
        </w:rPr>
        <w:t>市场标准</w:t>
      </w:r>
      <w:r w:rsidR="0073722C" w:rsidRPr="000A1D55">
        <w:rPr>
          <w:rFonts w:ascii="仿宋_GB2312" w:eastAsia="仿宋_GB2312" w:hint="eastAsia"/>
          <w:sz w:val="22"/>
        </w:rPr>
        <w:t>和</w:t>
      </w:r>
      <w:r w:rsidR="00D029B5" w:rsidRPr="000A1D55">
        <w:rPr>
          <w:rFonts w:ascii="仿宋_GB2312" w:eastAsia="仿宋_GB2312" w:hint="eastAsia"/>
          <w:sz w:val="22"/>
        </w:rPr>
        <w:t>打破海外贸易壁垒方面存在较为强烈的诉求</w:t>
      </w:r>
      <w:r w:rsidR="0073722C" w:rsidRPr="000A1D55">
        <w:rPr>
          <w:rFonts w:ascii="仿宋_GB2312" w:eastAsia="仿宋_GB2312" w:hint="eastAsia"/>
          <w:sz w:val="22"/>
        </w:rPr>
        <w:t>；除</w:t>
      </w:r>
      <w:r w:rsidR="00551493" w:rsidRPr="000A1D55">
        <w:rPr>
          <w:rFonts w:ascii="仿宋_GB2312" w:eastAsia="仿宋_GB2312" w:hint="eastAsia"/>
          <w:sz w:val="22"/>
        </w:rPr>
        <w:t>对</w:t>
      </w:r>
      <w:r w:rsidR="0073722C" w:rsidRPr="000A1D55">
        <w:rPr>
          <w:rFonts w:ascii="仿宋_GB2312" w:eastAsia="仿宋_GB2312" w:hint="eastAsia"/>
          <w:sz w:val="22"/>
        </w:rPr>
        <w:t>电池的补贴</w:t>
      </w:r>
      <w:r w:rsidR="00551493" w:rsidRPr="000A1D55">
        <w:rPr>
          <w:rFonts w:ascii="仿宋_GB2312" w:eastAsia="仿宋_GB2312" w:hint="eastAsia"/>
          <w:sz w:val="22"/>
        </w:rPr>
        <w:t>政策</w:t>
      </w:r>
      <w:r w:rsidR="0073722C" w:rsidRPr="000A1D55">
        <w:rPr>
          <w:rFonts w:ascii="仿宋_GB2312" w:eastAsia="仿宋_GB2312" w:hint="eastAsia"/>
          <w:sz w:val="22"/>
        </w:rPr>
        <w:t>外，新能源汽车企业的诉求还体现在</w:t>
      </w:r>
      <w:r w:rsidR="0099263F" w:rsidRPr="000A1D55">
        <w:rPr>
          <w:rFonts w:ascii="仿宋_GB2312" w:eastAsia="仿宋_GB2312" w:hint="eastAsia"/>
          <w:sz w:val="22"/>
        </w:rPr>
        <w:t>新能源汽车配套基础设施建设及使用标准的建立、推广等方面；</w:t>
      </w:r>
      <w:r w:rsidR="0073722C" w:rsidRPr="000A1D55">
        <w:rPr>
          <w:rFonts w:ascii="仿宋_GB2312" w:eastAsia="仿宋_GB2312" w:hint="eastAsia"/>
          <w:sz w:val="22"/>
        </w:rPr>
        <w:t>节能环保企业不仅希望政府能在拓宽融资渠道和</w:t>
      </w:r>
      <w:r w:rsidR="000D4BAD" w:rsidRPr="000A1D55">
        <w:rPr>
          <w:rFonts w:ascii="仿宋_GB2312" w:eastAsia="仿宋_GB2312" w:hint="eastAsia"/>
          <w:sz w:val="22"/>
        </w:rPr>
        <w:t>税收减免</w:t>
      </w:r>
      <w:r w:rsidR="0073722C" w:rsidRPr="000A1D55">
        <w:rPr>
          <w:rFonts w:ascii="仿宋_GB2312" w:eastAsia="仿宋_GB2312" w:hint="eastAsia"/>
          <w:sz w:val="22"/>
        </w:rPr>
        <w:t>方面</w:t>
      </w:r>
      <w:r w:rsidR="0073722C" w:rsidRPr="00421368">
        <w:rPr>
          <w:rFonts w:ascii="仿宋_GB2312" w:eastAsia="仿宋_GB2312" w:hint="eastAsia"/>
          <w:sz w:val="22"/>
        </w:rPr>
        <w:t>给予政策支持</w:t>
      </w:r>
      <w:r w:rsidR="00C24E4D" w:rsidRPr="00421368">
        <w:rPr>
          <w:rFonts w:ascii="仿宋_GB2312" w:eastAsia="仿宋_GB2312" w:hint="eastAsia"/>
          <w:sz w:val="22"/>
        </w:rPr>
        <w:t>外</w:t>
      </w:r>
      <w:r w:rsidR="0073722C" w:rsidRPr="00421368">
        <w:rPr>
          <w:rFonts w:ascii="仿宋_GB2312" w:eastAsia="仿宋_GB2312" w:hint="eastAsia"/>
          <w:sz w:val="22"/>
        </w:rPr>
        <w:t>，同时</w:t>
      </w:r>
      <w:r w:rsidR="00C24E4D" w:rsidRPr="00421368">
        <w:rPr>
          <w:rFonts w:ascii="仿宋_GB2312" w:eastAsia="仿宋_GB2312" w:hint="eastAsia"/>
          <w:sz w:val="22"/>
        </w:rPr>
        <w:t>还提出希望</w:t>
      </w:r>
      <w:r w:rsidR="0073722C" w:rsidRPr="00421368">
        <w:rPr>
          <w:rFonts w:ascii="仿宋_GB2312" w:eastAsia="仿宋_GB2312" w:hint="eastAsia"/>
          <w:sz w:val="22"/>
        </w:rPr>
        <w:t>政府</w:t>
      </w:r>
      <w:r w:rsidR="00BC3B6F" w:rsidRPr="00421368">
        <w:rPr>
          <w:rFonts w:ascii="仿宋_GB2312" w:eastAsia="仿宋_GB2312" w:hint="eastAsia"/>
          <w:sz w:val="22"/>
        </w:rPr>
        <w:t>逐步加强引导、完善落后产能淘汰机制</w:t>
      </w:r>
      <w:r w:rsidR="0073722C" w:rsidRPr="00421368">
        <w:rPr>
          <w:rFonts w:ascii="仿宋_GB2312" w:eastAsia="仿宋_GB2312" w:hint="eastAsia"/>
          <w:sz w:val="22"/>
        </w:rPr>
        <w:t>。</w:t>
      </w:r>
      <w:bookmarkStart w:id="0" w:name="_GoBack"/>
      <w:bookmarkEnd w:id="0"/>
    </w:p>
    <w:p w14:paraId="380F8CBF" w14:textId="77777777" w:rsidR="00850826" w:rsidRDefault="00850826" w:rsidP="00BB28DE">
      <w:pPr>
        <w:spacing w:line="360" w:lineRule="auto"/>
        <w:ind w:firstLineChars="200" w:firstLine="442"/>
        <w:rPr>
          <w:rFonts w:ascii="仿宋_GB2312" w:eastAsia="仿宋_GB2312"/>
          <w:b/>
          <w:sz w:val="22"/>
        </w:rPr>
      </w:pPr>
    </w:p>
    <w:p w14:paraId="2C07EBAD" w14:textId="4010FF26" w:rsidR="00BB28DE" w:rsidRPr="00201771" w:rsidRDefault="00383DA7" w:rsidP="00BB28DE">
      <w:pPr>
        <w:spacing w:line="360" w:lineRule="auto"/>
        <w:ind w:firstLineChars="200" w:firstLine="442"/>
        <w:rPr>
          <w:rFonts w:ascii="仿宋_GB2312" w:eastAsia="仿宋_GB2312"/>
          <w:b/>
          <w:sz w:val="22"/>
        </w:rPr>
      </w:pPr>
      <w:r w:rsidRPr="00201771">
        <w:rPr>
          <w:rFonts w:ascii="仿宋_GB2312" w:eastAsia="仿宋_GB2312" w:hint="eastAsia"/>
          <w:b/>
          <w:sz w:val="22"/>
        </w:rPr>
        <w:t>三</w:t>
      </w:r>
      <w:r w:rsidR="00656589" w:rsidRPr="00201771">
        <w:rPr>
          <w:rFonts w:ascii="仿宋_GB2312" w:eastAsia="仿宋_GB2312" w:hint="eastAsia"/>
          <w:b/>
          <w:sz w:val="22"/>
        </w:rPr>
        <w:t>、</w:t>
      </w:r>
      <w:r w:rsidR="00BB28DE" w:rsidRPr="00201771">
        <w:rPr>
          <w:rFonts w:ascii="仿宋_GB2312" w:eastAsia="仿宋_GB2312" w:hint="eastAsia"/>
          <w:b/>
          <w:sz w:val="22"/>
        </w:rPr>
        <w:t>新一代信息技术、高端装备制造和节能环保产业呈现上涨态势</w:t>
      </w:r>
    </w:p>
    <w:p w14:paraId="185BACAD" w14:textId="30A09AF0" w:rsidR="00D73DE4" w:rsidRDefault="00C40C3D" w:rsidP="00067643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 w:rsidRPr="003C7187">
        <w:rPr>
          <w:rFonts w:ascii="仿宋_GB2312" w:eastAsia="仿宋_GB2312" w:hint="eastAsia"/>
          <w:sz w:val="22"/>
        </w:rPr>
        <w:t>分</w:t>
      </w:r>
      <w:r>
        <w:rPr>
          <w:rFonts w:ascii="仿宋_GB2312" w:eastAsia="仿宋_GB2312" w:hint="eastAsia"/>
          <w:sz w:val="22"/>
        </w:rPr>
        <w:t>产业</w:t>
      </w:r>
      <w:r w:rsidR="003C7187" w:rsidRPr="003C7187">
        <w:rPr>
          <w:rFonts w:ascii="仿宋_GB2312" w:eastAsia="仿宋_GB2312" w:hint="eastAsia"/>
          <w:sz w:val="22"/>
        </w:rPr>
        <w:t>情况看，</w:t>
      </w:r>
      <w:r w:rsidR="00214E85">
        <w:rPr>
          <w:rFonts w:ascii="仿宋_GB2312" w:eastAsia="仿宋_GB2312" w:hint="eastAsia"/>
          <w:sz w:val="22"/>
        </w:rPr>
        <w:t>新一代信息技术产业</w:t>
      </w:r>
      <w:r w:rsidR="003C7187">
        <w:rPr>
          <w:rFonts w:ascii="仿宋_GB2312" w:eastAsia="仿宋_GB2312" w:hint="eastAsia"/>
          <w:sz w:val="22"/>
        </w:rPr>
        <w:t>位居七大产业之首，</w:t>
      </w:r>
      <w:r w:rsidR="00111F36">
        <w:rPr>
          <w:rFonts w:ascii="仿宋_GB2312" w:eastAsia="仿宋_GB2312" w:hint="eastAsia"/>
          <w:sz w:val="22"/>
        </w:rPr>
        <w:t>新能源汽车降至第三位，高端装备制造和节能环保有所回升，新材料产业垫底</w:t>
      </w:r>
      <w:r w:rsidR="009A6E1B">
        <w:rPr>
          <w:rFonts w:ascii="仿宋_GB2312" w:eastAsia="仿宋_GB2312" w:hint="eastAsia"/>
          <w:sz w:val="22"/>
        </w:rPr>
        <w:t>。</w:t>
      </w:r>
    </w:p>
    <w:p w14:paraId="3793EC7A" w14:textId="07D8266D" w:rsidR="00EA3A21" w:rsidRDefault="009A6E1B" w:rsidP="00067643">
      <w:pPr>
        <w:spacing w:line="360" w:lineRule="auto"/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三</w:t>
      </w:r>
      <w:r w:rsidR="00786C41">
        <w:rPr>
          <w:rFonts w:ascii="仿宋_GB2312" w:eastAsia="仿宋_GB2312" w:hint="eastAsia"/>
          <w:sz w:val="22"/>
        </w:rPr>
        <w:t>季度，</w:t>
      </w:r>
      <w:r w:rsidR="00947EC5">
        <w:rPr>
          <w:rFonts w:ascii="仿宋_GB2312" w:eastAsia="仿宋_GB2312" w:hint="eastAsia"/>
          <w:sz w:val="22"/>
        </w:rPr>
        <w:t>新一代信息技术、</w:t>
      </w:r>
      <w:r w:rsidR="005B07C1">
        <w:rPr>
          <w:rFonts w:ascii="仿宋_GB2312" w:eastAsia="仿宋_GB2312" w:hint="eastAsia"/>
          <w:sz w:val="22"/>
        </w:rPr>
        <w:t>新能源汽车</w:t>
      </w:r>
      <w:r w:rsidR="00947EC5">
        <w:rPr>
          <w:rFonts w:ascii="仿宋_GB2312" w:eastAsia="仿宋_GB2312" w:hint="eastAsia"/>
          <w:sz w:val="22"/>
        </w:rPr>
        <w:t>及生物</w:t>
      </w:r>
      <w:r w:rsidR="005B07C1">
        <w:rPr>
          <w:rFonts w:ascii="仿宋_GB2312" w:eastAsia="仿宋_GB2312" w:hint="eastAsia"/>
          <w:sz w:val="22"/>
        </w:rPr>
        <w:t>位列第一梯队，其双指标（企业家信心指数和行业景气指数）均</w:t>
      </w:r>
      <w:r w:rsidR="001D5D84">
        <w:rPr>
          <w:rFonts w:ascii="仿宋_GB2312" w:eastAsia="仿宋_GB2312" w:hint="eastAsia"/>
          <w:sz w:val="22"/>
        </w:rPr>
        <w:t>超过</w:t>
      </w:r>
      <w:r w:rsidR="00AB51AF">
        <w:rPr>
          <w:rFonts w:ascii="仿宋_GB2312" w:eastAsia="仿宋_GB2312" w:hint="eastAsia"/>
          <w:sz w:val="22"/>
        </w:rPr>
        <w:t>145</w:t>
      </w:r>
      <w:r w:rsidR="001D5D84">
        <w:rPr>
          <w:rFonts w:ascii="仿宋_GB2312" w:eastAsia="仿宋_GB2312" w:hint="eastAsia"/>
          <w:sz w:val="22"/>
        </w:rPr>
        <w:t>点</w:t>
      </w:r>
      <w:r w:rsidR="00607379">
        <w:rPr>
          <w:rFonts w:ascii="仿宋_GB2312" w:eastAsia="仿宋_GB2312" w:hint="eastAsia"/>
          <w:sz w:val="22"/>
        </w:rPr>
        <w:t>（见表</w:t>
      </w:r>
      <w:r w:rsidR="00A2784C">
        <w:rPr>
          <w:rFonts w:ascii="仿宋_GB2312" w:eastAsia="仿宋_GB2312" w:hint="eastAsia"/>
          <w:sz w:val="22"/>
        </w:rPr>
        <w:t>3</w:t>
      </w:r>
      <w:r w:rsidR="00607379">
        <w:rPr>
          <w:rFonts w:ascii="仿宋_GB2312" w:eastAsia="仿宋_GB2312" w:hint="eastAsia"/>
          <w:sz w:val="22"/>
        </w:rPr>
        <w:t>）</w:t>
      </w:r>
      <w:r w:rsidR="005B07C1">
        <w:rPr>
          <w:rFonts w:ascii="仿宋_GB2312" w:eastAsia="仿宋_GB2312" w:hint="eastAsia"/>
          <w:sz w:val="22"/>
        </w:rPr>
        <w:t>，处于较强景气区间，较其他产业有</w:t>
      </w:r>
      <w:r w:rsidR="00ED49C4">
        <w:rPr>
          <w:rFonts w:ascii="仿宋_GB2312" w:eastAsia="仿宋_GB2312" w:hint="eastAsia"/>
          <w:sz w:val="22"/>
        </w:rPr>
        <w:t>明显</w:t>
      </w:r>
      <w:r w:rsidR="005B07C1">
        <w:rPr>
          <w:rFonts w:ascii="仿宋_GB2312" w:eastAsia="仿宋_GB2312" w:hint="eastAsia"/>
          <w:sz w:val="22"/>
        </w:rPr>
        <w:t>领先优势，且下季度预期指数</w:t>
      </w:r>
      <w:r w:rsidR="00A47791">
        <w:rPr>
          <w:rFonts w:ascii="仿宋_GB2312" w:eastAsia="仿宋_GB2312" w:hint="eastAsia"/>
          <w:sz w:val="22"/>
        </w:rPr>
        <w:t>表明各方对保持</w:t>
      </w:r>
      <w:r w:rsidR="005B07C1">
        <w:rPr>
          <w:rFonts w:ascii="仿宋_GB2312" w:eastAsia="仿宋_GB2312" w:hint="eastAsia"/>
          <w:sz w:val="22"/>
        </w:rPr>
        <w:t>增长态势</w:t>
      </w:r>
      <w:r w:rsidR="00A47791">
        <w:rPr>
          <w:rFonts w:ascii="仿宋_GB2312" w:eastAsia="仿宋_GB2312" w:hint="eastAsia"/>
          <w:sz w:val="22"/>
        </w:rPr>
        <w:t>持乐观态度</w:t>
      </w:r>
      <w:r w:rsidR="005B07C1">
        <w:rPr>
          <w:rFonts w:ascii="仿宋_GB2312" w:eastAsia="仿宋_GB2312" w:hint="eastAsia"/>
          <w:sz w:val="22"/>
        </w:rPr>
        <w:t>。第二梯队为新</w:t>
      </w:r>
      <w:r w:rsidR="00067DD3">
        <w:rPr>
          <w:rFonts w:ascii="仿宋_GB2312" w:eastAsia="仿宋_GB2312" w:hint="eastAsia"/>
          <w:sz w:val="22"/>
        </w:rPr>
        <w:t>能源</w:t>
      </w:r>
      <w:r w:rsidR="0070145A">
        <w:rPr>
          <w:rFonts w:ascii="仿宋_GB2312" w:eastAsia="仿宋_GB2312" w:hint="eastAsia"/>
          <w:sz w:val="22"/>
        </w:rPr>
        <w:t>，</w:t>
      </w:r>
      <w:r w:rsidR="00E73AB9">
        <w:rPr>
          <w:rFonts w:ascii="仿宋_GB2312" w:eastAsia="仿宋_GB2312" w:hint="eastAsia"/>
          <w:sz w:val="22"/>
        </w:rPr>
        <w:t>其</w:t>
      </w:r>
      <w:proofErr w:type="gramStart"/>
      <w:r w:rsidR="005B07C1">
        <w:rPr>
          <w:rFonts w:ascii="仿宋_GB2312" w:eastAsia="仿宋_GB2312" w:hint="eastAsia"/>
          <w:sz w:val="22"/>
        </w:rPr>
        <w:t>双指标</w:t>
      </w:r>
      <w:proofErr w:type="gramEnd"/>
      <w:r w:rsidR="00D31CDE">
        <w:rPr>
          <w:rFonts w:ascii="仿宋_GB2312" w:eastAsia="仿宋_GB2312" w:hint="eastAsia"/>
          <w:sz w:val="22"/>
        </w:rPr>
        <w:t>均</w:t>
      </w:r>
      <w:r w:rsidR="005B07C1">
        <w:rPr>
          <w:rFonts w:ascii="仿宋_GB2312" w:eastAsia="仿宋_GB2312" w:hint="eastAsia"/>
          <w:sz w:val="22"/>
        </w:rPr>
        <w:t>在1</w:t>
      </w:r>
      <w:r w:rsidR="00A30087">
        <w:rPr>
          <w:rFonts w:ascii="仿宋_GB2312" w:eastAsia="仿宋_GB2312" w:hint="eastAsia"/>
          <w:sz w:val="22"/>
        </w:rPr>
        <w:t>3</w:t>
      </w:r>
      <w:r w:rsidR="00F20E86">
        <w:rPr>
          <w:rFonts w:ascii="仿宋_GB2312" w:eastAsia="仿宋_GB2312" w:hint="eastAsia"/>
          <w:sz w:val="22"/>
        </w:rPr>
        <w:t>5</w:t>
      </w:r>
      <w:r w:rsidR="00ED49C4">
        <w:rPr>
          <w:rFonts w:ascii="仿宋_GB2312" w:eastAsia="仿宋_GB2312" w:hint="eastAsia"/>
          <w:sz w:val="22"/>
        </w:rPr>
        <w:t>点</w:t>
      </w:r>
      <w:r w:rsidR="00F20E86">
        <w:rPr>
          <w:rFonts w:ascii="仿宋_GB2312" w:eastAsia="仿宋_GB2312" w:hint="eastAsia"/>
          <w:sz w:val="22"/>
        </w:rPr>
        <w:t>上下</w:t>
      </w:r>
      <w:r w:rsidR="00ED49C4">
        <w:rPr>
          <w:rFonts w:ascii="仿宋_GB2312" w:eastAsia="仿宋_GB2312" w:hint="eastAsia"/>
          <w:sz w:val="22"/>
        </w:rPr>
        <w:t>波</w:t>
      </w:r>
      <w:r w:rsidR="005B07C1">
        <w:rPr>
          <w:rFonts w:ascii="仿宋_GB2312" w:eastAsia="仿宋_GB2312" w:hint="eastAsia"/>
          <w:sz w:val="22"/>
        </w:rPr>
        <w:t>动，</w:t>
      </w:r>
      <w:r w:rsidR="00B60C9A">
        <w:rPr>
          <w:rFonts w:ascii="仿宋_GB2312" w:eastAsia="仿宋_GB2312" w:hint="eastAsia"/>
          <w:sz w:val="22"/>
        </w:rPr>
        <w:t>处于较为景气区间。</w:t>
      </w:r>
      <w:r w:rsidR="00643AEA">
        <w:rPr>
          <w:rFonts w:ascii="仿宋_GB2312" w:eastAsia="仿宋_GB2312" w:hint="eastAsia"/>
          <w:sz w:val="22"/>
        </w:rPr>
        <w:t>第三梯队是新</w:t>
      </w:r>
      <w:r w:rsidR="00A30087">
        <w:rPr>
          <w:rFonts w:ascii="仿宋_GB2312" w:eastAsia="仿宋_GB2312" w:hint="eastAsia"/>
          <w:sz w:val="22"/>
        </w:rPr>
        <w:t>材料</w:t>
      </w:r>
      <w:r w:rsidR="00643AEA">
        <w:rPr>
          <w:rFonts w:ascii="仿宋_GB2312" w:eastAsia="仿宋_GB2312" w:hint="eastAsia"/>
          <w:sz w:val="22"/>
        </w:rPr>
        <w:t>、节能环保和高端装备</w:t>
      </w:r>
      <w:r w:rsidR="00930706">
        <w:rPr>
          <w:rFonts w:ascii="仿宋_GB2312" w:eastAsia="仿宋_GB2312" w:hint="eastAsia"/>
          <w:sz w:val="22"/>
        </w:rPr>
        <w:t>制造业</w:t>
      </w:r>
      <w:r w:rsidR="00643AEA">
        <w:rPr>
          <w:rFonts w:ascii="仿宋_GB2312" w:eastAsia="仿宋_GB2312" w:hint="eastAsia"/>
          <w:sz w:val="22"/>
        </w:rPr>
        <w:t>，</w:t>
      </w:r>
      <w:r w:rsidR="00067D72">
        <w:rPr>
          <w:rFonts w:ascii="仿宋_GB2312" w:eastAsia="仿宋_GB2312" w:hint="eastAsia"/>
          <w:sz w:val="22"/>
        </w:rPr>
        <w:t>这三个行业</w:t>
      </w:r>
      <w:r w:rsidR="005B53AF">
        <w:rPr>
          <w:rFonts w:ascii="仿宋_GB2312" w:eastAsia="仿宋_GB2312" w:hint="eastAsia"/>
          <w:sz w:val="22"/>
        </w:rPr>
        <w:t>的</w:t>
      </w:r>
      <w:proofErr w:type="gramStart"/>
      <w:r w:rsidR="005B53AF">
        <w:rPr>
          <w:rFonts w:ascii="仿宋_GB2312" w:eastAsia="仿宋_GB2312" w:hint="eastAsia"/>
          <w:sz w:val="22"/>
        </w:rPr>
        <w:t>双指标</w:t>
      </w:r>
      <w:proofErr w:type="gramEnd"/>
      <w:r w:rsidR="00067D72">
        <w:rPr>
          <w:rFonts w:ascii="仿宋_GB2312" w:eastAsia="仿宋_GB2312" w:hint="eastAsia"/>
          <w:sz w:val="22"/>
        </w:rPr>
        <w:t>在</w:t>
      </w:r>
      <w:r w:rsidR="004371DC">
        <w:rPr>
          <w:rFonts w:ascii="仿宋_GB2312" w:eastAsia="仿宋_GB2312" w:hint="eastAsia"/>
          <w:sz w:val="22"/>
        </w:rPr>
        <w:t>130点</w:t>
      </w:r>
      <w:r w:rsidR="00CF4661">
        <w:rPr>
          <w:rFonts w:ascii="仿宋_GB2312" w:eastAsia="仿宋_GB2312" w:hint="eastAsia"/>
          <w:sz w:val="22"/>
        </w:rPr>
        <w:t>至140点</w:t>
      </w:r>
      <w:r w:rsidR="004371DC">
        <w:rPr>
          <w:rFonts w:ascii="仿宋_GB2312" w:eastAsia="仿宋_GB2312" w:hint="eastAsia"/>
          <w:sz w:val="22"/>
        </w:rPr>
        <w:t>位</w:t>
      </w:r>
      <w:r w:rsidR="00CF4661">
        <w:rPr>
          <w:rFonts w:ascii="仿宋_GB2312" w:eastAsia="仿宋_GB2312" w:hint="eastAsia"/>
          <w:sz w:val="22"/>
        </w:rPr>
        <w:t>之间</w:t>
      </w:r>
      <w:r w:rsidR="00067D72">
        <w:rPr>
          <w:rFonts w:ascii="仿宋_GB2312" w:eastAsia="仿宋_GB2312" w:hint="eastAsia"/>
          <w:sz w:val="22"/>
        </w:rPr>
        <w:t>波动。</w:t>
      </w:r>
    </w:p>
    <w:p w14:paraId="40E3CD9A" w14:textId="33B0ACA8" w:rsidR="00654111" w:rsidRPr="00582724" w:rsidRDefault="006917E5" w:rsidP="00F4246A">
      <w:pPr>
        <w:spacing w:beforeLines="100" w:before="312" w:line="360" w:lineRule="auto"/>
        <w:jc w:val="center"/>
        <w:rPr>
          <w:rFonts w:ascii="仿宋_GB2312" w:eastAsia="仿宋_GB2312"/>
          <w:sz w:val="22"/>
        </w:rPr>
      </w:pPr>
      <w:r w:rsidRPr="006917E5">
        <w:rPr>
          <w:rFonts w:asciiTheme="minorEastAsia" w:hAnsiTheme="minorEastAsia" w:hint="eastAsia"/>
          <w:sz w:val="20"/>
        </w:rPr>
        <w:lastRenderedPageBreak/>
        <w:t>表</w:t>
      </w:r>
      <w:r w:rsidR="002E0578">
        <w:rPr>
          <w:rFonts w:asciiTheme="minorEastAsia" w:hAnsiTheme="minorEastAsia" w:hint="eastAsia"/>
          <w:sz w:val="20"/>
        </w:rPr>
        <w:t>3</w:t>
      </w:r>
      <w:r w:rsidRPr="006917E5">
        <w:rPr>
          <w:rFonts w:asciiTheme="minorEastAsia" w:hAnsiTheme="minorEastAsia" w:hint="eastAsia"/>
          <w:sz w:val="20"/>
        </w:rPr>
        <w:t xml:space="preserve">  战略性新兴产业</w:t>
      </w:r>
      <w:r w:rsidR="006E6C9E">
        <w:rPr>
          <w:rFonts w:asciiTheme="minorEastAsia" w:hAnsiTheme="minorEastAsia" w:hint="eastAsia"/>
          <w:sz w:val="20"/>
        </w:rPr>
        <w:t>2016年</w:t>
      </w:r>
      <w:r w:rsidR="00930706">
        <w:rPr>
          <w:rFonts w:asciiTheme="minorEastAsia" w:hAnsiTheme="minorEastAsia" w:hint="eastAsia"/>
          <w:sz w:val="20"/>
        </w:rPr>
        <w:t>三</w:t>
      </w:r>
      <w:r w:rsidRPr="006917E5">
        <w:rPr>
          <w:rFonts w:asciiTheme="minorEastAsia" w:hAnsiTheme="minorEastAsia" w:hint="eastAsia"/>
          <w:sz w:val="20"/>
        </w:rPr>
        <w:t>季度和2016</w:t>
      </w:r>
      <w:r w:rsidR="006E6C9E">
        <w:rPr>
          <w:rFonts w:asciiTheme="minorEastAsia" w:hAnsiTheme="minorEastAsia" w:hint="eastAsia"/>
          <w:sz w:val="20"/>
        </w:rPr>
        <w:t>年</w:t>
      </w:r>
      <w:r w:rsidR="00930706">
        <w:rPr>
          <w:rFonts w:asciiTheme="minorEastAsia" w:hAnsiTheme="minorEastAsia" w:hint="eastAsia"/>
          <w:sz w:val="20"/>
        </w:rPr>
        <w:t>四</w:t>
      </w:r>
      <w:r w:rsidRPr="006917E5">
        <w:rPr>
          <w:rFonts w:asciiTheme="minorEastAsia" w:hAnsiTheme="minorEastAsia" w:hint="eastAsia"/>
          <w:sz w:val="20"/>
        </w:rPr>
        <w:t>季度预期指数（分产业）</w:t>
      </w:r>
    </w:p>
    <w:tbl>
      <w:tblPr>
        <w:tblStyle w:val="a4"/>
        <w:tblW w:w="8664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01"/>
        <w:gridCol w:w="1275"/>
        <w:gridCol w:w="851"/>
        <w:gridCol w:w="1134"/>
        <w:gridCol w:w="896"/>
        <w:gridCol w:w="96"/>
        <w:gridCol w:w="969"/>
        <w:gridCol w:w="1066"/>
      </w:tblGrid>
      <w:tr w:rsidR="00E278F9" w:rsidRPr="00582724" w14:paraId="00108181" w14:textId="77777777" w:rsidTr="000171C5">
        <w:trPr>
          <w:trHeight w:val="737"/>
        </w:trPr>
        <w:tc>
          <w:tcPr>
            <w:tcW w:w="1276" w:type="dxa"/>
            <w:shd w:val="clear" w:color="auto" w:fill="F2F2F2" w:themeFill="background1" w:themeFillShade="F2"/>
          </w:tcPr>
          <w:p w14:paraId="7E535925" w14:textId="4AED366A" w:rsidR="00654111" w:rsidRPr="00582724" w:rsidRDefault="00654111" w:rsidP="00E278F9">
            <w:pPr>
              <w:spacing w:line="360" w:lineRule="auto"/>
              <w:rPr>
                <w:rFonts w:ascii="仿宋_GB2312" w:eastAsia="仿宋_GB2312" w:hAnsi="Arial" w:cs="Arial"/>
                <w:color w:val="333333"/>
              </w:rPr>
            </w:pP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5E8FD63A" w14:textId="77777777" w:rsidR="00654111" w:rsidRPr="00582724" w:rsidRDefault="00654111" w:rsidP="00E278F9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节能环保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F1A5D97" w14:textId="77777777" w:rsidR="00654111" w:rsidRPr="00582724" w:rsidRDefault="00654111" w:rsidP="00E278F9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333333"/>
              </w:rPr>
            </w:pPr>
            <w:r w:rsidRPr="005764A2">
              <w:rPr>
                <w:rFonts w:ascii="仿宋_GB2312" w:eastAsia="仿宋_GB2312" w:hAnsi="Arial" w:cs="Arial" w:hint="eastAsia"/>
                <w:color w:val="333333"/>
                <w:sz w:val="20"/>
              </w:rPr>
              <w:t>新一代信息技术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185409F" w14:textId="77777777" w:rsidR="00654111" w:rsidRPr="00582724" w:rsidRDefault="00654111" w:rsidP="00E278F9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生物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0CFAA4" w14:textId="77777777" w:rsidR="00654111" w:rsidRPr="00582724" w:rsidRDefault="00654111" w:rsidP="00E278F9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高端装备制造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7CF8281C" w14:textId="77777777" w:rsidR="00654111" w:rsidRPr="00582724" w:rsidRDefault="00654111" w:rsidP="00E278F9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新能源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5727C5C3" w14:textId="77777777" w:rsidR="00654111" w:rsidRPr="00582724" w:rsidRDefault="00654111" w:rsidP="00E278F9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新材料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14:paraId="2BDAB2F7" w14:textId="77777777" w:rsidR="00654111" w:rsidRPr="00582724" w:rsidRDefault="00654111" w:rsidP="00E278F9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新能源汽车</w:t>
            </w:r>
          </w:p>
        </w:tc>
      </w:tr>
      <w:tr w:rsidR="007330EC" w:rsidRPr="00582724" w14:paraId="7E55BFE0" w14:textId="77777777" w:rsidTr="000171C5">
        <w:trPr>
          <w:trHeight w:val="737"/>
        </w:trPr>
        <w:tc>
          <w:tcPr>
            <w:tcW w:w="1276" w:type="dxa"/>
            <w:shd w:val="clear" w:color="auto" w:fill="F2F2F2" w:themeFill="background1" w:themeFillShade="F2"/>
          </w:tcPr>
          <w:p w14:paraId="1444E830" w14:textId="080756FD" w:rsidR="007330EC" w:rsidRPr="00582724" w:rsidRDefault="007330EC" w:rsidP="006E6C9E">
            <w:pPr>
              <w:spacing w:line="360" w:lineRule="auto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即期企业家信心指数</w:t>
            </w:r>
          </w:p>
        </w:tc>
        <w:tc>
          <w:tcPr>
            <w:tcW w:w="1101" w:type="dxa"/>
            <w:vAlign w:val="center"/>
          </w:tcPr>
          <w:p w14:paraId="328C475E" w14:textId="37E1C485" w:rsidR="007330EC" w:rsidRPr="00EA58B8" w:rsidRDefault="007330EC" w:rsidP="00786C41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139.4 </w:t>
            </w:r>
          </w:p>
        </w:tc>
        <w:tc>
          <w:tcPr>
            <w:tcW w:w="1275" w:type="dxa"/>
            <w:vAlign w:val="center"/>
          </w:tcPr>
          <w:p w14:paraId="4A9A9EAF" w14:textId="1CFE8394" w:rsidR="007330EC" w:rsidRPr="00EA58B8" w:rsidRDefault="007330EC" w:rsidP="00786C41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146.8 </w:t>
            </w:r>
          </w:p>
        </w:tc>
        <w:tc>
          <w:tcPr>
            <w:tcW w:w="851" w:type="dxa"/>
            <w:vAlign w:val="center"/>
          </w:tcPr>
          <w:p w14:paraId="28C6766B" w14:textId="0C5A6CB3" w:rsidR="007330EC" w:rsidRPr="00EA58B8" w:rsidRDefault="007330EC" w:rsidP="00FE2C6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152.1 </w:t>
            </w:r>
          </w:p>
        </w:tc>
        <w:tc>
          <w:tcPr>
            <w:tcW w:w="1134" w:type="dxa"/>
            <w:vAlign w:val="center"/>
          </w:tcPr>
          <w:p w14:paraId="60B9AE5A" w14:textId="5DB63092" w:rsidR="007330EC" w:rsidRPr="00EA58B8" w:rsidRDefault="007330EC" w:rsidP="00FE2C6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136.2 </w:t>
            </w:r>
          </w:p>
        </w:tc>
        <w:tc>
          <w:tcPr>
            <w:tcW w:w="896" w:type="dxa"/>
            <w:vAlign w:val="center"/>
          </w:tcPr>
          <w:p w14:paraId="4E629779" w14:textId="05A9F6FB" w:rsidR="007330EC" w:rsidRPr="00EA58B8" w:rsidRDefault="007330EC" w:rsidP="00FE2C6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137.9 </w:t>
            </w:r>
          </w:p>
        </w:tc>
        <w:tc>
          <w:tcPr>
            <w:tcW w:w="1065" w:type="dxa"/>
            <w:gridSpan w:val="2"/>
            <w:vAlign w:val="center"/>
          </w:tcPr>
          <w:p w14:paraId="3759E290" w14:textId="6B745A08" w:rsidR="007330EC" w:rsidRPr="00EA58B8" w:rsidRDefault="007330EC" w:rsidP="00FE2C6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146.3 </w:t>
            </w:r>
          </w:p>
        </w:tc>
        <w:tc>
          <w:tcPr>
            <w:tcW w:w="1066" w:type="dxa"/>
            <w:vAlign w:val="center"/>
          </w:tcPr>
          <w:p w14:paraId="0E556D7B" w14:textId="70962E98" w:rsidR="007330EC" w:rsidRPr="00EA58B8" w:rsidRDefault="007330EC" w:rsidP="00FE2C6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157.7 </w:t>
            </w:r>
          </w:p>
        </w:tc>
      </w:tr>
      <w:tr w:rsidR="007330EC" w:rsidRPr="00582724" w14:paraId="6DC50E91" w14:textId="77777777" w:rsidTr="000171C5">
        <w:trPr>
          <w:trHeight w:val="737"/>
        </w:trPr>
        <w:tc>
          <w:tcPr>
            <w:tcW w:w="1276" w:type="dxa"/>
            <w:shd w:val="clear" w:color="auto" w:fill="DAEEF3" w:themeFill="accent5" w:themeFillTint="33"/>
          </w:tcPr>
          <w:p w14:paraId="3AAEFD6B" w14:textId="538E1207" w:rsidR="007330EC" w:rsidRPr="00582724" w:rsidRDefault="007330EC" w:rsidP="006E6C9E">
            <w:pPr>
              <w:spacing w:line="360" w:lineRule="auto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预期企业家信心指数</w:t>
            </w:r>
          </w:p>
        </w:tc>
        <w:tc>
          <w:tcPr>
            <w:tcW w:w="1101" w:type="dxa"/>
            <w:shd w:val="clear" w:color="auto" w:fill="DAEEF3" w:themeFill="accent5" w:themeFillTint="33"/>
            <w:vAlign w:val="center"/>
          </w:tcPr>
          <w:p w14:paraId="663CD440" w14:textId="5EFC449A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149.7 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46A7880C" w14:textId="5E06E705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156.7 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41B044F" w14:textId="3DC21927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156.4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B811D45" w14:textId="292F7D1D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143.4 </w:t>
            </w:r>
          </w:p>
        </w:tc>
        <w:tc>
          <w:tcPr>
            <w:tcW w:w="896" w:type="dxa"/>
            <w:shd w:val="clear" w:color="auto" w:fill="DAEEF3" w:themeFill="accent5" w:themeFillTint="33"/>
            <w:vAlign w:val="center"/>
          </w:tcPr>
          <w:p w14:paraId="634CC059" w14:textId="251971E7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140.4 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127BFFD6" w14:textId="3EF77DF8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145.9 </w:t>
            </w:r>
          </w:p>
        </w:tc>
        <w:tc>
          <w:tcPr>
            <w:tcW w:w="1066" w:type="dxa"/>
            <w:shd w:val="clear" w:color="auto" w:fill="DAEEF3" w:themeFill="accent5" w:themeFillTint="33"/>
            <w:vAlign w:val="center"/>
          </w:tcPr>
          <w:p w14:paraId="3A125EA1" w14:textId="52624A44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168.4 </w:t>
            </w:r>
          </w:p>
        </w:tc>
      </w:tr>
      <w:tr w:rsidR="007A5ADC" w:rsidRPr="00582724" w14:paraId="4858FE59" w14:textId="77777777" w:rsidTr="000171C5">
        <w:trPr>
          <w:trHeight w:val="737"/>
        </w:trPr>
        <w:tc>
          <w:tcPr>
            <w:tcW w:w="1276" w:type="dxa"/>
            <w:shd w:val="clear" w:color="auto" w:fill="F2F2F2" w:themeFill="background1" w:themeFillShade="F2"/>
          </w:tcPr>
          <w:p w14:paraId="3BCCC6D7" w14:textId="3E6236FE" w:rsidR="007A5ADC" w:rsidRPr="00582724" w:rsidRDefault="007A5ADC" w:rsidP="006E6C9E">
            <w:pPr>
              <w:spacing w:line="360" w:lineRule="auto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即期行业景气指数</w:t>
            </w:r>
          </w:p>
        </w:tc>
        <w:tc>
          <w:tcPr>
            <w:tcW w:w="1101" w:type="dxa"/>
            <w:vAlign w:val="center"/>
          </w:tcPr>
          <w:p w14:paraId="39F4EAD1" w14:textId="1E449F6C" w:rsidR="007A5ADC" w:rsidRPr="00EA58B8" w:rsidRDefault="007A5ADC" w:rsidP="00FE2C6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128.4 </w:t>
            </w:r>
          </w:p>
        </w:tc>
        <w:tc>
          <w:tcPr>
            <w:tcW w:w="1275" w:type="dxa"/>
            <w:vAlign w:val="center"/>
          </w:tcPr>
          <w:p w14:paraId="03E11D0F" w14:textId="4D7E7CE4" w:rsidR="007A5ADC" w:rsidRPr="00EA58B8" w:rsidRDefault="007A5ADC" w:rsidP="00FE2C6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148.5 </w:t>
            </w:r>
          </w:p>
        </w:tc>
        <w:tc>
          <w:tcPr>
            <w:tcW w:w="851" w:type="dxa"/>
            <w:vAlign w:val="center"/>
          </w:tcPr>
          <w:p w14:paraId="6E2486B6" w14:textId="34497ACF" w:rsidR="007A5ADC" w:rsidRPr="00EA58B8" w:rsidRDefault="007A5ADC" w:rsidP="00FE2C6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>140.7</w:t>
            </w:r>
          </w:p>
        </w:tc>
        <w:tc>
          <w:tcPr>
            <w:tcW w:w="1134" w:type="dxa"/>
            <w:vAlign w:val="center"/>
          </w:tcPr>
          <w:p w14:paraId="0A50F226" w14:textId="50EF11E3" w:rsidR="007A5ADC" w:rsidRPr="00EA58B8" w:rsidRDefault="007A5ADC" w:rsidP="00FE2C6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130.8 </w:t>
            </w:r>
          </w:p>
        </w:tc>
        <w:tc>
          <w:tcPr>
            <w:tcW w:w="896" w:type="dxa"/>
            <w:vAlign w:val="center"/>
          </w:tcPr>
          <w:p w14:paraId="5E66635C" w14:textId="2E372B44" w:rsidR="007A5ADC" w:rsidRPr="00EA58B8" w:rsidRDefault="007A5ADC" w:rsidP="00FE2C6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135.5 </w:t>
            </w:r>
          </w:p>
        </w:tc>
        <w:tc>
          <w:tcPr>
            <w:tcW w:w="1065" w:type="dxa"/>
            <w:gridSpan w:val="2"/>
            <w:vAlign w:val="center"/>
          </w:tcPr>
          <w:p w14:paraId="18FEAC2C" w14:textId="74AAA695" w:rsidR="007A5ADC" w:rsidRPr="00EA58B8" w:rsidRDefault="007A5ADC" w:rsidP="00FE2C6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123.2 </w:t>
            </w:r>
          </w:p>
        </w:tc>
        <w:tc>
          <w:tcPr>
            <w:tcW w:w="1066" w:type="dxa"/>
            <w:vAlign w:val="center"/>
          </w:tcPr>
          <w:p w14:paraId="7D1FCF19" w14:textId="2492B868" w:rsidR="007A5ADC" w:rsidRPr="00EA58B8" w:rsidRDefault="007A5ADC" w:rsidP="00FE2C6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139.5 </w:t>
            </w:r>
          </w:p>
        </w:tc>
      </w:tr>
      <w:tr w:rsidR="007330EC" w:rsidRPr="00582724" w14:paraId="42D8A2CE" w14:textId="77777777" w:rsidTr="000171C5">
        <w:trPr>
          <w:trHeight w:val="737"/>
        </w:trPr>
        <w:tc>
          <w:tcPr>
            <w:tcW w:w="1276" w:type="dxa"/>
            <w:shd w:val="clear" w:color="auto" w:fill="DAEEF3" w:themeFill="accent5" w:themeFillTint="33"/>
          </w:tcPr>
          <w:p w14:paraId="1922775F" w14:textId="49DAB7BE" w:rsidR="007330EC" w:rsidRPr="00582724" w:rsidRDefault="007330EC" w:rsidP="006E6C9E">
            <w:pPr>
              <w:spacing w:line="360" w:lineRule="auto"/>
              <w:rPr>
                <w:rFonts w:ascii="仿宋_GB2312" w:eastAsia="仿宋_GB2312" w:hAnsi="Arial" w:cs="Arial"/>
                <w:color w:val="333333"/>
              </w:rPr>
            </w:pPr>
            <w:r w:rsidRPr="00582724">
              <w:rPr>
                <w:rFonts w:ascii="仿宋_GB2312" w:eastAsia="仿宋_GB2312" w:hAnsi="Arial" w:cs="Arial" w:hint="eastAsia"/>
                <w:color w:val="333333"/>
              </w:rPr>
              <w:t>预期行业景气指数</w:t>
            </w:r>
          </w:p>
        </w:tc>
        <w:tc>
          <w:tcPr>
            <w:tcW w:w="1101" w:type="dxa"/>
            <w:shd w:val="clear" w:color="auto" w:fill="DAEEF3" w:themeFill="accent5" w:themeFillTint="33"/>
            <w:vAlign w:val="center"/>
          </w:tcPr>
          <w:p w14:paraId="5A4A4596" w14:textId="11297DD5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149.9 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6E5C6FAB" w14:textId="76827BF0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160.1 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B34EDB4" w14:textId="63394575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156.0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88FF285" w14:textId="25B9C490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144.5 </w:t>
            </w:r>
          </w:p>
        </w:tc>
        <w:tc>
          <w:tcPr>
            <w:tcW w:w="896" w:type="dxa"/>
            <w:shd w:val="clear" w:color="auto" w:fill="DAEEF3" w:themeFill="accent5" w:themeFillTint="33"/>
            <w:vAlign w:val="center"/>
          </w:tcPr>
          <w:p w14:paraId="7557DA50" w14:textId="0DD1A4E5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145.9 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14:paraId="465F34E2" w14:textId="71A0485E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150.4 </w:t>
            </w:r>
          </w:p>
        </w:tc>
        <w:tc>
          <w:tcPr>
            <w:tcW w:w="1066" w:type="dxa"/>
            <w:shd w:val="clear" w:color="auto" w:fill="DAEEF3" w:themeFill="accent5" w:themeFillTint="33"/>
            <w:vAlign w:val="center"/>
          </w:tcPr>
          <w:p w14:paraId="4D7CABD3" w14:textId="3C19412C" w:rsidR="007330EC" w:rsidRPr="00EA58B8" w:rsidRDefault="007330EC" w:rsidP="00FE2C6E">
            <w:pPr>
              <w:jc w:val="center"/>
              <w:rPr>
                <w:rFonts w:ascii="Arial" w:hAnsi="Arial" w:cs="Arial"/>
                <w:szCs w:val="21"/>
              </w:rPr>
            </w:pPr>
            <w:r w:rsidRPr="00EA58B8">
              <w:rPr>
                <w:rFonts w:ascii="Arial" w:hAnsi="Arial" w:cs="Arial"/>
                <w:color w:val="000000"/>
                <w:szCs w:val="21"/>
              </w:rPr>
              <w:t xml:space="preserve">164.8 </w:t>
            </w:r>
          </w:p>
        </w:tc>
      </w:tr>
    </w:tbl>
    <w:p w14:paraId="38AB5099" w14:textId="77777777" w:rsidR="00EA58B8" w:rsidRDefault="00EA58B8" w:rsidP="0079028E">
      <w:pPr>
        <w:spacing w:line="360" w:lineRule="auto"/>
        <w:ind w:firstLineChars="200" w:firstLine="440"/>
        <w:jc w:val="left"/>
        <w:rPr>
          <w:rFonts w:ascii="仿宋_GB2312" w:eastAsia="仿宋_GB2312"/>
          <w:sz w:val="22"/>
        </w:rPr>
      </w:pPr>
    </w:p>
    <w:p w14:paraId="119FEFAF" w14:textId="1AD89563" w:rsidR="00E11929" w:rsidRPr="003862E4" w:rsidRDefault="003C2B3F" w:rsidP="0079028E">
      <w:pPr>
        <w:spacing w:line="360" w:lineRule="auto"/>
        <w:ind w:firstLineChars="200" w:firstLine="440"/>
        <w:jc w:val="left"/>
        <w:rPr>
          <w:rFonts w:ascii="仿宋_GB2312" w:eastAsia="仿宋_GB2312"/>
          <w:sz w:val="22"/>
        </w:rPr>
      </w:pPr>
      <w:r w:rsidRPr="003C2B3F">
        <w:rPr>
          <w:rFonts w:ascii="仿宋_GB2312" w:eastAsia="仿宋_GB2312" w:hint="eastAsia"/>
          <w:sz w:val="22"/>
        </w:rPr>
        <w:t>从</w:t>
      </w:r>
      <w:r w:rsidR="009E764F">
        <w:rPr>
          <w:rFonts w:ascii="仿宋_GB2312" w:eastAsia="仿宋_GB2312" w:hint="eastAsia"/>
          <w:sz w:val="22"/>
        </w:rPr>
        <w:t>七大产业的发展趋势来看，</w:t>
      </w:r>
      <w:r w:rsidR="00383C94">
        <w:rPr>
          <w:rFonts w:ascii="仿宋_GB2312" w:eastAsia="仿宋_GB2312" w:hint="eastAsia"/>
          <w:sz w:val="22"/>
        </w:rPr>
        <w:t>新一代信息技术</w:t>
      </w:r>
      <w:r w:rsidR="008774D0">
        <w:rPr>
          <w:rFonts w:ascii="仿宋_GB2312" w:eastAsia="仿宋_GB2312" w:hint="eastAsia"/>
          <w:sz w:val="22"/>
        </w:rPr>
        <w:t>、</w:t>
      </w:r>
      <w:r w:rsidR="00D10977">
        <w:rPr>
          <w:rFonts w:ascii="仿宋_GB2312" w:eastAsia="仿宋_GB2312" w:hint="eastAsia"/>
          <w:sz w:val="22"/>
        </w:rPr>
        <w:t>高端装备制造</w:t>
      </w:r>
      <w:r w:rsidR="008774D0">
        <w:rPr>
          <w:rFonts w:ascii="仿宋_GB2312" w:eastAsia="仿宋_GB2312" w:hint="eastAsia"/>
          <w:sz w:val="22"/>
        </w:rPr>
        <w:t>和</w:t>
      </w:r>
      <w:r w:rsidR="00D10977">
        <w:rPr>
          <w:rFonts w:ascii="仿宋_GB2312" w:eastAsia="仿宋_GB2312" w:hint="eastAsia"/>
          <w:sz w:val="22"/>
        </w:rPr>
        <w:t>节能环保</w:t>
      </w:r>
      <w:r w:rsidR="00EA58B8">
        <w:rPr>
          <w:rFonts w:ascii="仿宋_GB2312" w:eastAsia="仿宋_GB2312" w:hint="eastAsia"/>
          <w:sz w:val="22"/>
        </w:rPr>
        <w:t>产业</w:t>
      </w:r>
      <w:r>
        <w:rPr>
          <w:rFonts w:ascii="仿宋_GB2312" w:eastAsia="仿宋_GB2312" w:hint="eastAsia"/>
          <w:sz w:val="22"/>
        </w:rPr>
        <w:t>呈现上涨态势（见图1</w:t>
      </w:r>
      <w:r w:rsidR="002E0578">
        <w:rPr>
          <w:rFonts w:ascii="仿宋_GB2312" w:eastAsia="仿宋_GB2312" w:hint="eastAsia"/>
          <w:sz w:val="22"/>
        </w:rPr>
        <w:t>3</w:t>
      </w:r>
      <w:r w:rsidR="00F4246A">
        <w:rPr>
          <w:rFonts w:ascii="仿宋_GB2312" w:eastAsia="仿宋_GB2312" w:hint="eastAsia"/>
          <w:sz w:val="22"/>
        </w:rPr>
        <w:t>）。</w:t>
      </w:r>
      <w:r w:rsidR="008774D0">
        <w:rPr>
          <w:rFonts w:ascii="仿宋_GB2312" w:eastAsia="仿宋_GB2312" w:hint="eastAsia"/>
          <w:sz w:val="22"/>
        </w:rPr>
        <w:t>生物行业指数小幅下滑，前三季度表现较为平稳。新材料、新能源汽车以及新能源产业呈现下降态势。</w:t>
      </w:r>
      <w:r w:rsidR="008774D0" w:rsidRPr="00AA2974">
        <w:rPr>
          <w:rFonts w:ascii="仿宋_GB2312" w:eastAsia="仿宋_GB2312" w:hint="eastAsia"/>
          <w:color w:val="000000" w:themeColor="text1"/>
          <w:sz w:val="22"/>
        </w:rPr>
        <w:t>其中，</w:t>
      </w:r>
      <w:r w:rsidR="00A059ED" w:rsidRPr="00AA2974">
        <w:rPr>
          <w:rFonts w:ascii="仿宋_GB2312" w:eastAsia="仿宋_GB2312" w:hint="eastAsia"/>
          <w:color w:val="000000" w:themeColor="text1"/>
          <w:sz w:val="22"/>
        </w:rPr>
        <w:t>新材料</w:t>
      </w:r>
      <w:r w:rsidR="00AA2974" w:rsidRPr="00AA2974">
        <w:rPr>
          <w:rFonts w:ascii="仿宋_GB2312" w:eastAsia="仿宋_GB2312" w:hint="eastAsia"/>
          <w:color w:val="000000" w:themeColor="text1"/>
          <w:sz w:val="22"/>
        </w:rPr>
        <w:t>行业经济指数</w:t>
      </w:r>
      <w:r w:rsidR="008774D0" w:rsidRPr="00AA2974">
        <w:rPr>
          <w:rFonts w:ascii="仿宋_GB2312" w:eastAsia="仿宋_GB2312" w:hint="eastAsia"/>
          <w:color w:val="000000" w:themeColor="text1"/>
          <w:sz w:val="22"/>
        </w:rPr>
        <w:t>本期</w:t>
      </w:r>
      <w:proofErr w:type="gramStart"/>
      <w:r w:rsidR="008774D0" w:rsidRPr="00AA2974">
        <w:rPr>
          <w:rFonts w:ascii="仿宋_GB2312" w:eastAsia="仿宋_GB2312" w:hint="eastAsia"/>
          <w:color w:val="000000" w:themeColor="text1"/>
          <w:sz w:val="22"/>
        </w:rPr>
        <w:t>垫底七</w:t>
      </w:r>
      <w:proofErr w:type="gramEnd"/>
      <w:r w:rsidR="008774D0" w:rsidRPr="00AA2974">
        <w:rPr>
          <w:rFonts w:ascii="仿宋_GB2312" w:eastAsia="仿宋_GB2312" w:hint="eastAsia"/>
          <w:color w:val="000000" w:themeColor="text1"/>
          <w:sz w:val="22"/>
        </w:rPr>
        <w:t>大产业</w:t>
      </w:r>
      <w:r w:rsidR="00920F98" w:rsidRPr="00AA2974">
        <w:rPr>
          <w:rFonts w:ascii="仿宋_GB2312" w:eastAsia="仿宋_GB2312" w:hint="eastAsia"/>
          <w:color w:val="000000" w:themeColor="text1"/>
          <w:sz w:val="22"/>
        </w:rPr>
        <w:t>；</w:t>
      </w:r>
      <w:r w:rsidR="008B0B0A" w:rsidRPr="00AA2974">
        <w:rPr>
          <w:rFonts w:ascii="仿宋_GB2312" w:eastAsia="仿宋_GB2312" w:hint="eastAsia"/>
          <w:color w:val="000000" w:themeColor="text1"/>
          <w:sz w:val="22"/>
        </w:rPr>
        <w:t>新能源汽车</w:t>
      </w:r>
      <w:r w:rsidR="006D4223" w:rsidRPr="00AA2974">
        <w:rPr>
          <w:rFonts w:ascii="仿宋_GB2312" w:eastAsia="仿宋_GB2312" w:hint="eastAsia"/>
          <w:color w:val="000000" w:themeColor="text1"/>
          <w:sz w:val="22"/>
        </w:rPr>
        <w:t>维持波动态势，在</w:t>
      </w:r>
      <w:r w:rsidR="001D6E1E" w:rsidRPr="00AA2974">
        <w:rPr>
          <w:rFonts w:ascii="仿宋_GB2312" w:eastAsia="仿宋_GB2312" w:hint="eastAsia"/>
          <w:color w:val="000000" w:themeColor="text1"/>
          <w:sz w:val="22"/>
        </w:rPr>
        <w:t>经历</w:t>
      </w:r>
      <w:r w:rsidR="006D4223" w:rsidRPr="00AA2974">
        <w:rPr>
          <w:rFonts w:ascii="仿宋_GB2312" w:eastAsia="仿宋_GB2312" w:hint="eastAsia"/>
          <w:color w:val="000000" w:themeColor="text1"/>
          <w:sz w:val="22"/>
        </w:rPr>
        <w:t>二季度快速上涨后，</w:t>
      </w:r>
      <w:r w:rsidR="008774D0" w:rsidRPr="00AA2974">
        <w:rPr>
          <w:rFonts w:ascii="仿宋_GB2312" w:eastAsia="仿宋_GB2312" w:hint="eastAsia"/>
          <w:color w:val="000000" w:themeColor="text1"/>
          <w:sz w:val="22"/>
        </w:rPr>
        <w:t>本期</w:t>
      </w:r>
      <w:r w:rsidR="006D4223" w:rsidRPr="00AA2974">
        <w:rPr>
          <w:rFonts w:ascii="仿宋_GB2312" w:eastAsia="仿宋_GB2312" w:hint="eastAsia"/>
          <w:color w:val="000000" w:themeColor="text1"/>
          <w:sz w:val="22"/>
        </w:rPr>
        <w:t>有所回落</w:t>
      </w:r>
      <w:r w:rsidR="009E764F" w:rsidRPr="00AA2974">
        <w:rPr>
          <w:rFonts w:ascii="仿宋_GB2312" w:eastAsia="仿宋_GB2312" w:hint="eastAsia"/>
          <w:color w:val="000000" w:themeColor="text1"/>
          <w:sz w:val="22"/>
        </w:rPr>
        <w:t>；新能源</w:t>
      </w:r>
      <w:proofErr w:type="gramStart"/>
      <w:r w:rsidR="009E764F" w:rsidRPr="00AA2974">
        <w:rPr>
          <w:rFonts w:ascii="仿宋_GB2312" w:eastAsia="仿宋_GB2312" w:hint="eastAsia"/>
          <w:color w:val="000000" w:themeColor="text1"/>
          <w:sz w:val="22"/>
        </w:rPr>
        <w:t>产业</w:t>
      </w:r>
      <w:r w:rsidR="008911BA" w:rsidRPr="00AA2974">
        <w:rPr>
          <w:rFonts w:ascii="仿宋_GB2312" w:eastAsia="仿宋_GB2312" w:hint="eastAsia"/>
          <w:color w:val="000000" w:themeColor="text1"/>
          <w:sz w:val="22"/>
        </w:rPr>
        <w:t>继</w:t>
      </w:r>
      <w:proofErr w:type="gramEnd"/>
      <w:r w:rsidR="008911BA" w:rsidRPr="00AA2974">
        <w:rPr>
          <w:rFonts w:ascii="仿宋_GB2312" w:eastAsia="仿宋_GB2312" w:hint="eastAsia"/>
          <w:color w:val="000000" w:themeColor="text1"/>
          <w:sz w:val="22"/>
        </w:rPr>
        <w:t>二季度大幅下滑后，</w:t>
      </w:r>
      <w:r w:rsidR="008774D0" w:rsidRPr="00AA2974">
        <w:rPr>
          <w:rFonts w:ascii="仿宋_GB2312" w:eastAsia="仿宋_GB2312" w:hint="eastAsia"/>
          <w:color w:val="000000" w:themeColor="text1"/>
          <w:sz w:val="22"/>
        </w:rPr>
        <w:t>本期</w:t>
      </w:r>
      <w:r w:rsidR="00D00925" w:rsidRPr="00AA2974">
        <w:rPr>
          <w:rFonts w:ascii="仿宋_GB2312" w:eastAsia="仿宋_GB2312" w:hint="eastAsia"/>
          <w:color w:val="000000" w:themeColor="text1"/>
          <w:sz w:val="22"/>
        </w:rPr>
        <w:t>进一步刷新</w:t>
      </w:r>
      <w:r w:rsidR="009E764F" w:rsidRPr="00AA2974">
        <w:rPr>
          <w:rFonts w:ascii="仿宋_GB2312" w:eastAsia="仿宋_GB2312" w:hint="eastAsia"/>
          <w:color w:val="000000" w:themeColor="text1"/>
          <w:sz w:val="22"/>
        </w:rPr>
        <w:t>2015年以来的最低点。</w:t>
      </w:r>
      <w:r w:rsidR="003862E4" w:rsidRPr="00EA58B8">
        <w:rPr>
          <w:rFonts w:ascii="Arial" w:eastAsia="仿宋_GB2312" w:hAnsi="Arial" w:cs="Arial"/>
          <w:noProof/>
          <w:sz w:val="22"/>
        </w:rPr>
        <w:drawing>
          <wp:inline distT="0" distB="0" distL="0" distR="0" wp14:anchorId="463BBFE3" wp14:editId="21FFB1BA">
            <wp:extent cx="5181600" cy="3236913"/>
            <wp:effectExtent l="19050" t="19050" r="19050" b="20955"/>
            <wp:docPr id="1026" name="Picture 2" descr="C:\Users\sic\Desktop\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ic\Desktop\图片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369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14:paraId="10A49DE7" w14:textId="7156E791" w:rsidR="005360FF" w:rsidRDefault="005360FF" w:rsidP="005360FF">
      <w:pPr>
        <w:spacing w:line="360" w:lineRule="auto"/>
        <w:jc w:val="center"/>
        <w:rPr>
          <w:rFonts w:asciiTheme="minorEastAsia" w:hAnsiTheme="minorEastAsia"/>
          <w:sz w:val="20"/>
        </w:rPr>
      </w:pPr>
      <w:r w:rsidRPr="006933C7">
        <w:rPr>
          <w:rFonts w:asciiTheme="minorEastAsia" w:hAnsiTheme="minorEastAsia" w:hint="eastAsia"/>
          <w:sz w:val="20"/>
        </w:rPr>
        <w:t>图</w:t>
      </w:r>
      <w:r>
        <w:rPr>
          <w:rFonts w:asciiTheme="minorEastAsia" w:hAnsiTheme="minorEastAsia" w:hint="eastAsia"/>
          <w:sz w:val="20"/>
        </w:rPr>
        <w:t>1</w:t>
      </w:r>
      <w:r w:rsidR="002E0578">
        <w:rPr>
          <w:rFonts w:asciiTheme="minorEastAsia" w:hAnsiTheme="minorEastAsia" w:hint="eastAsia"/>
          <w:sz w:val="20"/>
        </w:rPr>
        <w:t>3</w:t>
      </w:r>
      <w:r w:rsidRPr="006933C7">
        <w:rPr>
          <w:rFonts w:asciiTheme="minorEastAsia" w:hAnsiTheme="minorEastAsia" w:hint="eastAsia"/>
          <w:sz w:val="20"/>
        </w:rPr>
        <w:t xml:space="preserve"> 2015年以来战略性新兴产业行业景气指数（分产业）</w:t>
      </w:r>
    </w:p>
    <w:sectPr w:rsidR="005360FF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BA53" w14:textId="77777777" w:rsidR="00DA0F21" w:rsidRDefault="00DA0F21"/>
  </w:endnote>
  <w:endnote w:type="continuationSeparator" w:id="0">
    <w:p w14:paraId="2FEDB05C" w14:textId="77777777" w:rsidR="00DA0F21" w:rsidRDefault="00DA0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D29C0" w14:textId="77777777" w:rsidR="00DA0F21" w:rsidRDefault="00DA0F21"/>
  </w:footnote>
  <w:footnote w:type="continuationSeparator" w:id="0">
    <w:p w14:paraId="562070DF" w14:textId="77777777" w:rsidR="00DA0F21" w:rsidRDefault="00DA0F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91"/>
    <w:rsid w:val="0000039D"/>
    <w:rsid w:val="00002854"/>
    <w:rsid w:val="00004FC7"/>
    <w:rsid w:val="00005438"/>
    <w:rsid w:val="0000764A"/>
    <w:rsid w:val="00011F9C"/>
    <w:rsid w:val="000122FD"/>
    <w:rsid w:val="00014772"/>
    <w:rsid w:val="00015A15"/>
    <w:rsid w:val="000160FA"/>
    <w:rsid w:val="000171C5"/>
    <w:rsid w:val="00017B76"/>
    <w:rsid w:val="00017BA7"/>
    <w:rsid w:val="000201CF"/>
    <w:rsid w:val="000202C6"/>
    <w:rsid w:val="00023CA1"/>
    <w:rsid w:val="00023FA6"/>
    <w:rsid w:val="0002479B"/>
    <w:rsid w:val="000268C4"/>
    <w:rsid w:val="000301A8"/>
    <w:rsid w:val="00030D2F"/>
    <w:rsid w:val="000314AA"/>
    <w:rsid w:val="00031575"/>
    <w:rsid w:val="00032D7D"/>
    <w:rsid w:val="0003327A"/>
    <w:rsid w:val="00035798"/>
    <w:rsid w:val="00035E84"/>
    <w:rsid w:val="0003694E"/>
    <w:rsid w:val="0003718B"/>
    <w:rsid w:val="00042E16"/>
    <w:rsid w:val="000452CF"/>
    <w:rsid w:val="00045408"/>
    <w:rsid w:val="00050D16"/>
    <w:rsid w:val="000539B6"/>
    <w:rsid w:val="000541FB"/>
    <w:rsid w:val="00054214"/>
    <w:rsid w:val="00054758"/>
    <w:rsid w:val="00057D7D"/>
    <w:rsid w:val="00057F56"/>
    <w:rsid w:val="0006094D"/>
    <w:rsid w:val="000626C5"/>
    <w:rsid w:val="00065BD7"/>
    <w:rsid w:val="00066032"/>
    <w:rsid w:val="0006623C"/>
    <w:rsid w:val="00066D25"/>
    <w:rsid w:val="00067423"/>
    <w:rsid w:val="00067643"/>
    <w:rsid w:val="00067D72"/>
    <w:rsid w:val="00067DD3"/>
    <w:rsid w:val="000720E3"/>
    <w:rsid w:val="0007578F"/>
    <w:rsid w:val="00076F4B"/>
    <w:rsid w:val="00077443"/>
    <w:rsid w:val="000774C3"/>
    <w:rsid w:val="00080AC8"/>
    <w:rsid w:val="00082009"/>
    <w:rsid w:val="00083384"/>
    <w:rsid w:val="00086359"/>
    <w:rsid w:val="00087272"/>
    <w:rsid w:val="00087950"/>
    <w:rsid w:val="00087F1D"/>
    <w:rsid w:val="0009329F"/>
    <w:rsid w:val="00093488"/>
    <w:rsid w:val="00096B11"/>
    <w:rsid w:val="000971FD"/>
    <w:rsid w:val="000A02CE"/>
    <w:rsid w:val="000A1D55"/>
    <w:rsid w:val="000A278B"/>
    <w:rsid w:val="000A4D16"/>
    <w:rsid w:val="000A4E06"/>
    <w:rsid w:val="000A4E63"/>
    <w:rsid w:val="000A5836"/>
    <w:rsid w:val="000A5F60"/>
    <w:rsid w:val="000A6760"/>
    <w:rsid w:val="000A6981"/>
    <w:rsid w:val="000A7588"/>
    <w:rsid w:val="000A7650"/>
    <w:rsid w:val="000B0C69"/>
    <w:rsid w:val="000B336A"/>
    <w:rsid w:val="000B3FD2"/>
    <w:rsid w:val="000B5E37"/>
    <w:rsid w:val="000B6713"/>
    <w:rsid w:val="000B7090"/>
    <w:rsid w:val="000B7D96"/>
    <w:rsid w:val="000B7FD2"/>
    <w:rsid w:val="000C2589"/>
    <w:rsid w:val="000C2830"/>
    <w:rsid w:val="000C4BDF"/>
    <w:rsid w:val="000C5257"/>
    <w:rsid w:val="000C536D"/>
    <w:rsid w:val="000C7AEB"/>
    <w:rsid w:val="000D01CA"/>
    <w:rsid w:val="000D0AD4"/>
    <w:rsid w:val="000D1F2E"/>
    <w:rsid w:val="000D4BAD"/>
    <w:rsid w:val="000D4ED7"/>
    <w:rsid w:val="000D5092"/>
    <w:rsid w:val="000D615C"/>
    <w:rsid w:val="000D70B3"/>
    <w:rsid w:val="000E08ED"/>
    <w:rsid w:val="000E1579"/>
    <w:rsid w:val="000E1A9D"/>
    <w:rsid w:val="000E2E72"/>
    <w:rsid w:val="000E3BC3"/>
    <w:rsid w:val="000E49BA"/>
    <w:rsid w:val="000E52AE"/>
    <w:rsid w:val="000E5567"/>
    <w:rsid w:val="000E5643"/>
    <w:rsid w:val="000E5FB0"/>
    <w:rsid w:val="000E73B7"/>
    <w:rsid w:val="000E74FF"/>
    <w:rsid w:val="000F4457"/>
    <w:rsid w:val="000F4E26"/>
    <w:rsid w:val="000F71B3"/>
    <w:rsid w:val="000F7635"/>
    <w:rsid w:val="00100443"/>
    <w:rsid w:val="00100842"/>
    <w:rsid w:val="00100F90"/>
    <w:rsid w:val="001017E8"/>
    <w:rsid w:val="00102DC6"/>
    <w:rsid w:val="00103964"/>
    <w:rsid w:val="001067CA"/>
    <w:rsid w:val="00106EF8"/>
    <w:rsid w:val="001078A5"/>
    <w:rsid w:val="00110ECE"/>
    <w:rsid w:val="00111F36"/>
    <w:rsid w:val="00114ED9"/>
    <w:rsid w:val="001157F9"/>
    <w:rsid w:val="00116AC8"/>
    <w:rsid w:val="00117330"/>
    <w:rsid w:val="00117EA0"/>
    <w:rsid w:val="00117EF8"/>
    <w:rsid w:val="00120AC5"/>
    <w:rsid w:val="001214FB"/>
    <w:rsid w:val="00121DB1"/>
    <w:rsid w:val="0012411D"/>
    <w:rsid w:val="00125A59"/>
    <w:rsid w:val="00125E10"/>
    <w:rsid w:val="00126876"/>
    <w:rsid w:val="00126D36"/>
    <w:rsid w:val="001270EA"/>
    <w:rsid w:val="00132BE9"/>
    <w:rsid w:val="0013563D"/>
    <w:rsid w:val="00137AE2"/>
    <w:rsid w:val="001405D8"/>
    <w:rsid w:val="00140EC7"/>
    <w:rsid w:val="0014104A"/>
    <w:rsid w:val="00141540"/>
    <w:rsid w:val="00141A1C"/>
    <w:rsid w:val="00141BA4"/>
    <w:rsid w:val="00141BC6"/>
    <w:rsid w:val="00143D65"/>
    <w:rsid w:val="00147B94"/>
    <w:rsid w:val="00147D9D"/>
    <w:rsid w:val="00151A3C"/>
    <w:rsid w:val="00152ECF"/>
    <w:rsid w:val="00154610"/>
    <w:rsid w:val="00154CD0"/>
    <w:rsid w:val="00155032"/>
    <w:rsid w:val="001573BD"/>
    <w:rsid w:val="001603D0"/>
    <w:rsid w:val="00160DF3"/>
    <w:rsid w:val="00161013"/>
    <w:rsid w:val="0016203E"/>
    <w:rsid w:val="00162615"/>
    <w:rsid w:val="0016368A"/>
    <w:rsid w:val="0016563B"/>
    <w:rsid w:val="001678AA"/>
    <w:rsid w:val="001701C0"/>
    <w:rsid w:val="00171286"/>
    <w:rsid w:val="00171D1C"/>
    <w:rsid w:val="00173134"/>
    <w:rsid w:val="00173C84"/>
    <w:rsid w:val="001744E0"/>
    <w:rsid w:val="0017475C"/>
    <w:rsid w:val="00175C41"/>
    <w:rsid w:val="0017746A"/>
    <w:rsid w:val="00177B01"/>
    <w:rsid w:val="00177CE8"/>
    <w:rsid w:val="001802C5"/>
    <w:rsid w:val="00181451"/>
    <w:rsid w:val="00181E3F"/>
    <w:rsid w:val="00181F96"/>
    <w:rsid w:val="001832D9"/>
    <w:rsid w:val="0018559C"/>
    <w:rsid w:val="00185C4A"/>
    <w:rsid w:val="00192122"/>
    <w:rsid w:val="001921B0"/>
    <w:rsid w:val="00193AFA"/>
    <w:rsid w:val="00193C4D"/>
    <w:rsid w:val="00194E36"/>
    <w:rsid w:val="0019683B"/>
    <w:rsid w:val="001A0556"/>
    <w:rsid w:val="001A068E"/>
    <w:rsid w:val="001A0DEF"/>
    <w:rsid w:val="001A20B2"/>
    <w:rsid w:val="001A471F"/>
    <w:rsid w:val="001B0765"/>
    <w:rsid w:val="001B173B"/>
    <w:rsid w:val="001B29BA"/>
    <w:rsid w:val="001B2A43"/>
    <w:rsid w:val="001B2C83"/>
    <w:rsid w:val="001B34F7"/>
    <w:rsid w:val="001B3B54"/>
    <w:rsid w:val="001B3B80"/>
    <w:rsid w:val="001B40A5"/>
    <w:rsid w:val="001B46DB"/>
    <w:rsid w:val="001B5ADA"/>
    <w:rsid w:val="001B6246"/>
    <w:rsid w:val="001B6A9C"/>
    <w:rsid w:val="001B6FB9"/>
    <w:rsid w:val="001B71EB"/>
    <w:rsid w:val="001C35B9"/>
    <w:rsid w:val="001C46F5"/>
    <w:rsid w:val="001C5184"/>
    <w:rsid w:val="001C66E6"/>
    <w:rsid w:val="001C7609"/>
    <w:rsid w:val="001C7F66"/>
    <w:rsid w:val="001D13BE"/>
    <w:rsid w:val="001D189D"/>
    <w:rsid w:val="001D4206"/>
    <w:rsid w:val="001D5D84"/>
    <w:rsid w:val="001D6AA4"/>
    <w:rsid w:val="001D6E1E"/>
    <w:rsid w:val="001D79BD"/>
    <w:rsid w:val="001D7BA0"/>
    <w:rsid w:val="001D7F59"/>
    <w:rsid w:val="001E001F"/>
    <w:rsid w:val="001E12A0"/>
    <w:rsid w:val="001E2ECA"/>
    <w:rsid w:val="001E3082"/>
    <w:rsid w:val="001E611F"/>
    <w:rsid w:val="001F1C4A"/>
    <w:rsid w:val="001F216B"/>
    <w:rsid w:val="001F2872"/>
    <w:rsid w:val="001F2D19"/>
    <w:rsid w:val="001F6465"/>
    <w:rsid w:val="001F6511"/>
    <w:rsid w:val="001F6B61"/>
    <w:rsid w:val="00200675"/>
    <w:rsid w:val="00200D01"/>
    <w:rsid w:val="00200E8D"/>
    <w:rsid w:val="00201771"/>
    <w:rsid w:val="00204018"/>
    <w:rsid w:val="00204AB8"/>
    <w:rsid w:val="00204F05"/>
    <w:rsid w:val="0020501B"/>
    <w:rsid w:val="00206EB1"/>
    <w:rsid w:val="00207C38"/>
    <w:rsid w:val="0021002D"/>
    <w:rsid w:val="00211AEC"/>
    <w:rsid w:val="00212072"/>
    <w:rsid w:val="0021444A"/>
    <w:rsid w:val="00214E85"/>
    <w:rsid w:val="00217152"/>
    <w:rsid w:val="00217A08"/>
    <w:rsid w:val="00217EC3"/>
    <w:rsid w:val="00217F72"/>
    <w:rsid w:val="0022292C"/>
    <w:rsid w:val="002241F4"/>
    <w:rsid w:val="00224597"/>
    <w:rsid w:val="00224773"/>
    <w:rsid w:val="00224EF8"/>
    <w:rsid w:val="00226FB0"/>
    <w:rsid w:val="0023235B"/>
    <w:rsid w:val="0023241C"/>
    <w:rsid w:val="0023243D"/>
    <w:rsid w:val="00234C5B"/>
    <w:rsid w:val="00235225"/>
    <w:rsid w:val="002367AD"/>
    <w:rsid w:val="002410BA"/>
    <w:rsid w:val="0024121A"/>
    <w:rsid w:val="00246343"/>
    <w:rsid w:val="002475F2"/>
    <w:rsid w:val="00251E2F"/>
    <w:rsid w:val="00252668"/>
    <w:rsid w:val="00253D2D"/>
    <w:rsid w:val="00254175"/>
    <w:rsid w:val="00254262"/>
    <w:rsid w:val="00254F28"/>
    <w:rsid w:val="0025664B"/>
    <w:rsid w:val="00262B58"/>
    <w:rsid w:val="00263168"/>
    <w:rsid w:val="00264FED"/>
    <w:rsid w:val="00265182"/>
    <w:rsid w:val="00267200"/>
    <w:rsid w:val="00267972"/>
    <w:rsid w:val="002679BA"/>
    <w:rsid w:val="00271DE7"/>
    <w:rsid w:val="00272957"/>
    <w:rsid w:val="00274310"/>
    <w:rsid w:val="00274A17"/>
    <w:rsid w:val="00274F16"/>
    <w:rsid w:val="00275B1A"/>
    <w:rsid w:val="00275FCD"/>
    <w:rsid w:val="002772E7"/>
    <w:rsid w:val="00280973"/>
    <w:rsid w:val="00282609"/>
    <w:rsid w:val="002838B2"/>
    <w:rsid w:val="002852A0"/>
    <w:rsid w:val="002853AE"/>
    <w:rsid w:val="00286F19"/>
    <w:rsid w:val="00291330"/>
    <w:rsid w:val="002922A4"/>
    <w:rsid w:val="0029283B"/>
    <w:rsid w:val="00292990"/>
    <w:rsid w:val="00292D14"/>
    <w:rsid w:val="00295D56"/>
    <w:rsid w:val="00296A2F"/>
    <w:rsid w:val="00297BE1"/>
    <w:rsid w:val="002A0590"/>
    <w:rsid w:val="002A390E"/>
    <w:rsid w:val="002A5980"/>
    <w:rsid w:val="002B3928"/>
    <w:rsid w:val="002B4825"/>
    <w:rsid w:val="002B4CC0"/>
    <w:rsid w:val="002B5DF1"/>
    <w:rsid w:val="002B6528"/>
    <w:rsid w:val="002B6A08"/>
    <w:rsid w:val="002B71EF"/>
    <w:rsid w:val="002C1288"/>
    <w:rsid w:val="002C2367"/>
    <w:rsid w:val="002C58E6"/>
    <w:rsid w:val="002D0482"/>
    <w:rsid w:val="002D101D"/>
    <w:rsid w:val="002D1220"/>
    <w:rsid w:val="002D20CF"/>
    <w:rsid w:val="002D2D3F"/>
    <w:rsid w:val="002D52DB"/>
    <w:rsid w:val="002D6EA9"/>
    <w:rsid w:val="002E0578"/>
    <w:rsid w:val="002E0D6C"/>
    <w:rsid w:val="002E1515"/>
    <w:rsid w:val="002E471A"/>
    <w:rsid w:val="002E5A29"/>
    <w:rsid w:val="002E78DA"/>
    <w:rsid w:val="002F08A5"/>
    <w:rsid w:val="002F2ADC"/>
    <w:rsid w:val="002F314C"/>
    <w:rsid w:val="002F4899"/>
    <w:rsid w:val="002F519B"/>
    <w:rsid w:val="002F5ADF"/>
    <w:rsid w:val="00300259"/>
    <w:rsid w:val="00304FAF"/>
    <w:rsid w:val="003057D3"/>
    <w:rsid w:val="00305E32"/>
    <w:rsid w:val="00310ABC"/>
    <w:rsid w:val="00311082"/>
    <w:rsid w:val="00312B6A"/>
    <w:rsid w:val="00312FD3"/>
    <w:rsid w:val="00313839"/>
    <w:rsid w:val="00315376"/>
    <w:rsid w:val="00315830"/>
    <w:rsid w:val="00315EBF"/>
    <w:rsid w:val="0031776C"/>
    <w:rsid w:val="00317C58"/>
    <w:rsid w:val="003204BD"/>
    <w:rsid w:val="003215E4"/>
    <w:rsid w:val="00322EE9"/>
    <w:rsid w:val="0032399B"/>
    <w:rsid w:val="0032412D"/>
    <w:rsid w:val="00324CFF"/>
    <w:rsid w:val="00332A1A"/>
    <w:rsid w:val="00334887"/>
    <w:rsid w:val="00340892"/>
    <w:rsid w:val="00341EBF"/>
    <w:rsid w:val="0034401A"/>
    <w:rsid w:val="00344990"/>
    <w:rsid w:val="00344B4A"/>
    <w:rsid w:val="00344F7E"/>
    <w:rsid w:val="0034587F"/>
    <w:rsid w:val="00345DA0"/>
    <w:rsid w:val="00346386"/>
    <w:rsid w:val="00353445"/>
    <w:rsid w:val="0035599E"/>
    <w:rsid w:val="0035629B"/>
    <w:rsid w:val="0036069D"/>
    <w:rsid w:val="00360F9F"/>
    <w:rsid w:val="0036359C"/>
    <w:rsid w:val="00366231"/>
    <w:rsid w:val="003665B2"/>
    <w:rsid w:val="00366E17"/>
    <w:rsid w:val="0036754E"/>
    <w:rsid w:val="003710E5"/>
    <w:rsid w:val="0037260D"/>
    <w:rsid w:val="00372DB3"/>
    <w:rsid w:val="00373232"/>
    <w:rsid w:val="003754B0"/>
    <w:rsid w:val="00380A45"/>
    <w:rsid w:val="00380B16"/>
    <w:rsid w:val="00381B66"/>
    <w:rsid w:val="00383466"/>
    <w:rsid w:val="0038389A"/>
    <w:rsid w:val="00383C94"/>
    <w:rsid w:val="00383DA7"/>
    <w:rsid w:val="00384695"/>
    <w:rsid w:val="003862E4"/>
    <w:rsid w:val="0039118E"/>
    <w:rsid w:val="00391F9E"/>
    <w:rsid w:val="00392726"/>
    <w:rsid w:val="003927F8"/>
    <w:rsid w:val="0039677F"/>
    <w:rsid w:val="00397E13"/>
    <w:rsid w:val="003A07AA"/>
    <w:rsid w:val="003A0E0A"/>
    <w:rsid w:val="003A212A"/>
    <w:rsid w:val="003A4F2A"/>
    <w:rsid w:val="003A61D2"/>
    <w:rsid w:val="003A72FF"/>
    <w:rsid w:val="003B0DD5"/>
    <w:rsid w:val="003B35E5"/>
    <w:rsid w:val="003B5583"/>
    <w:rsid w:val="003C046E"/>
    <w:rsid w:val="003C0F54"/>
    <w:rsid w:val="003C2B3F"/>
    <w:rsid w:val="003C4304"/>
    <w:rsid w:val="003C4404"/>
    <w:rsid w:val="003C48A9"/>
    <w:rsid w:val="003C4A7A"/>
    <w:rsid w:val="003C4BBE"/>
    <w:rsid w:val="003C6655"/>
    <w:rsid w:val="003C7187"/>
    <w:rsid w:val="003D0CEF"/>
    <w:rsid w:val="003D6D80"/>
    <w:rsid w:val="003D7A44"/>
    <w:rsid w:val="003E1957"/>
    <w:rsid w:val="003E1987"/>
    <w:rsid w:val="003E1B9C"/>
    <w:rsid w:val="003E37BA"/>
    <w:rsid w:val="003E538E"/>
    <w:rsid w:val="003E7CA5"/>
    <w:rsid w:val="003F193D"/>
    <w:rsid w:val="003F1C52"/>
    <w:rsid w:val="003F212C"/>
    <w:rsid w:val="003F4233"/>
    <w:rsid w:val="003F61EF"/>
    <w:rsid w:val="003F7306"/>
    <w:rsid w:val="00400856"/>
    <w:rsid w:val="00400DAB"/>
    <w:rsid w:val="00401233"/>
    <w:rsid w:val="00404782"/>
    <w:rsid w:val="00404D00"/>
    <w:rsid w:val="004079E7"/>
    <w:rsid w:val="00407F64"/>
    <w:rsid w:val="00410118"/>
    <w:rsid w:val="00413F10"/>
    <w:rsid w:val="00414800"/>
    <w:rsid w:val="00414AA7"/>
    <w:rsid w:val="00415637"/>
    <w:rsid w:val="00415D0A"/>
    <w:rsid w:val="00416993"/>
    <w:rsid w:val="00417A20"/>
    <w:rsid w:val="00417CBC"/>
    <w:rsid w:val="00421368"/>
    <w:rsid w:val="00421C47"/>
    <w:rsid w:val="004231EC"/>
    <w:rsid w:val="0042420D"/>
    <w:rsid w:val="0042423C"/>
    <w:rsid w:val="00425ADE"/>
    <w:rsid w:val="00425D32"/>
    <w:rsid w:val="004265F3"/>
    <w:rsid w:val="00426908"/>
    <w:rsid w:val="00430557"/>
    <w:rsid w:val="00430F3F"/>
    <w:rsid w:val="00431988"/>
    <w:rsid w:val="00434C8E"/>
    <w:rsid w:val="0043650D"/>
    <w:rsid w:val="004365ED"/>
    <w:rsid w:val="00436F82"/>
    <w:rsid w:val="004370C8"/>
    <w:rsid w:val="004371DC"/>
    <w:rsid w:val="00437BF1"/>
    <w:rsid w:val="004402C1"/>
    <w:rsid w:val="004410E5"/>
    <w:rsid w:val="0044195D"/>
    <w:rsid w:val="00441E93"/>
    <w:rsid w:val="004429CE"/>
    <w:rsid w:val="004438A6"/>
    <w:rsid w:val="004463E9"/>
    <w:rsid w:val="00446C8E"/>
    <w:rsid w:val="0044717B"/>
    <w:rsid w:val="0045084C"/>
    <w:rsid w:val="004509AA"/>
    <w:rsid w:val="00450A2F"/>
    <w:rsid w:val="00451B29"/>
    <w:rsid w:val="004529EE"/>
    <w:rsid w:val="00453E66"/>
    <w:rsid w:val="00457A1C"/>
    <w:rsid w:val="00462727"/>
    <w:rsid w:val="00463957"/>
    <w:rsid w:val="00463C04"/>
    <w:rsid w:val="0046473B"/>
    <w:rsid w:val="0046547E"/>
    <w:rsid w:val="00465706"/>
    <w:rsid w:val="004677E5"/>
    <w:rsid w:val="00470A80"/>
    <w:rsid w:val="00470E16"/>
    <w:rsid w:val="004716C7"/>
    <w:rsid w:val="00471930"/>
    <w:rsid w:val="00472808"/>
    <w:rsid w:val="00472931"/>
    <w:rsid w:val="00473D80"/>
    <w:rsid w:val="00474DC0"/>
    <w:rsid w:val="00476ED4"/>
    <w:rsid w:val="0047735B"/>
    <w:rsid w:val="004773AC"/>
    <w:rsid w:val="0048071B"/>
    <w:rsid w:val="00480E86"/>
    <w:rsid w:val="00481BAD"/>
    <w:rsid w:val="00481FED"/>
    <w:rsid w:val="00484E19"/>
    <w:rsid w:val="00485593"/>
    <w:rsid w:val="004868AF"/>
    <w:rsid w:val="00487073"/>
    <w:rsid w:val="00487DF8"/>
    <w:rsid w:val="004919EA"/>
    <w:rsid w:val="0049233A"/>
    <w:rsid w:val="0049266E"/>
    <w:rsid w:val="00493799"/>
    <w:rsid w:val="004945E2"/>
    <w:rsid w:val="004957AB"/>
    <w:rsid w:val="0049583D"/>
    <w:rsid w:val="00495848"/>
    <w:rsid w:val="00496CA5"/>
    <w:rsid w:val="004A3B0E"/>
    <w:rsid w:val="004A69AF"/>
    <w:rsid w:val="004A6EC9"/>
    <w:rsid w:val="004A72D3"/>
    <w:rsid w:val="004A7485"/>
    <w:rsid w:val="004B0616"/>
    <w:rsid w:val="004B07D5"/>
    <w:rsid w:val="004B1C83"/>
    <w:rsid w:val="004B25B7"/>
    <w:rsid w:val="004B2A39"/>
    <w:rsid w:val="004B2AFA"/>
    <w:rsid w:val="004B39DF"/>
    <w:rsid w:val="004B4531"/>
    <w:rsid w:val="004C4097"/>
    <w:rsid w:val="004C67C2"/>
    <w:rsid w:val="004C6F41"/>
    <w:rsid w:val="004C799E"/>
    <w:rsid w:val="004D0491"/>
    <w:rsid w:val="004D0CF8"/>
    <w:rsid w:val="004D12D8"/>
    <w:rsid w:val="004D36E7"/>
    <w:rsid w:val="004D7D46"/>
    <w:rsid w:val="004E18B0"/>
    <w:rsid w:val="004E24A3"/>
    <w:rsid w:val="004E3B9B"/>
    <w:rsid w:val="004E3BEB"/>
    <w:rsid w:val="004E5492"/>
    <w:rsid w:val="004E5EAD"/>
    <w:rsid w:val="004E6FD2"/>
    <w:rsid w:val="004E7794"/>
    <w:rsid w:val="004F1A59"/>
    <w:rsid w:val="004F3626"/>
    <w:rsid w:val="004F3E1A"/>
    <w:rsid w:val="004F3FD6"/>
    <w:rsid w:val="004F53B8"/>
    <w:rsid w:val="004F730D"/>
    <w:rsid w:val="004F7FF4"/>
    <w:rsid w:val="00500717"/>
    <w:rsid w:val="00500F2E"/>
    <w:rsid w:val="00501679"/>
    <w:rsid w:val="005028DA"/>
    <w:rsid w:val="0050460F"/>
    <w:rsid w:val="005067BE"/>
    <w:rsid w:val="00506E0F"/>
    <w:rsid w:val="005117F1"/>
    <w:rsid w:val="0051548F"/>
    <w:rsid w:val="005169B6"/>
    <w:rsid w:val="005174C0"/>
    <w:rsid w:val="005206DD"/>
    <w:rsid w:val="00521AC5"/>
    <w:rsid w:val="00521D49"/>
    <w:rsid w:val="00521F1B"/>
    <w:rsid w:val="00523FCE"/>
    <w:rsid w:val="00523FD1"/>
    <w:rsid w:val="005245E3"/>
    <w:rsid w:val="00526246"/>
    <w:rsid w:val="00530505"/>
    <w:rsid w:val="00531105"/>
    <w:rsid w:val="005316CA"/>
    <w:rsid w:val="00534857"/>
    <w:rsid w:val="00535A0C"/>
    <w:rsid w:val="005360FF"/>
    <w:rsid w:val="00537AB8"/>
    <w:rsid w:val="00541F72"/>
    <w:rsid w:val="00542CF8"/>
    <w:rsid w:val="005437B0"/>
    <w:rsid w:val="00545663"/>
    <w:rsid w:val="00545FE3"/>
    <w:rsid w:val="00546E29"/>
    <w:rsid w:val="00550518"/>
    <w:rsid w:val="00551493"/>
    <w:rsid w:val="00554736"/>
    <w:rsid w:val="00555243"/>
    <w:rsid w:val="00555ACA"/>
    <w:rsid w:val="00557885"/>
    <w:rsid w:val="00557C37"/>
    <w:rsid w:val="00557D7C"/>
    <w:rsid w:val="00560631"/>
    <w:rsid w:val="00560826"/>
    <w:rsid w:val="00560F53"/>
    <w:rsid w:val="00563581"/>
    <w:rsid w:val="0056453D"/>
    <w:rsid w:val="0056654E"/>
    <w:rsid w:val="005670E6"/>
    <w:rsid w:val="0056758B"/>
    <w:rsid w:val="00570C25"/>
    <w:rsid w:val="00571F18"/>
    <w:rsid w:val="00572DBF"/>
    <w:rsid w:val="00573C17"/>
    <w:rsid w:val="00574980"/>
    <w:rsid w:val="0057584F"/>
    <w:rsid w:val="005764A2"/>
    <w:rsid w:val="005779AB"/>
    <w:rsid w:val="00577ECF"/>
    <w:rsid w:val="00577F13"/>
    <w:rsid w:val="00582724"/>
    <w:rsid w:val="005865A6"/>
    <w:rsid w:val="00587389"/>
    <w:rsid w:val="00587ED3"/>
    <w:rsid w:val="005902CE"/>
    <w:rsid w:val="00591CB5"/>
    <w:rsid w:val="00593180"/>
    <w:rsid w:val="0059503D"/>
    <w:rsid w:val="00595675"/>
    <w:rsid w:val="005A1647"/>
    <w:rsid w:val="005A23E6"/>
    <w:rsid w:val="005A5012"/>
    <w:rsid w:val="005A74E3"/>
    <w:rsid w:val="005B00CE"/>
    <w:rsid w:val="005B058A"/>
    <w:rsid w:val="005B05D8"/>
    <w:rsid w:val="005B07C1"/>
    <w:rsid w:val="005B4450"/>
    <w:rsid w:val="005B4A66"/>
    <w:rsid w:val="005B51DA"/>
    <w:rsid w:val="005B53AF"/>
    <w:rsid w:val="005B6FC9"/>
    <w:rsid w:val="005B7385"/>
    <w:rsid w:val="005B7BA7"/>
    <w:rsid w:val="005C020F"/>
    <w:rsid w:val="005C116E"/>
    <w:rsid w:val="005C49E5"/>
    <w:rsid w:val="005C4DC8"/>
    <w:rsid w:val="005C5A28"/>
    <w:rsid w:val="005D10A3"/>
    <w:rsid w:val="005D41A7"/>
    <w:rsid w:val="005D6BD1"/>
    <w:rsid w:val="005E1C92"/>
    <w:rsid w:val="005E2DF0"/>
    <w:rsid w:val="005E44F1"/>
    <w:rsid w:val="005E4FFF"/>
    <w:rsid w:val="005E5074"/>
    <w:rsid w:val="005E5C0E"/>
    <w:rsid w:val="005E6000"/>
    <w:rsid w:val="005E74A9"/>
    <w:rsid w:val="005F01E3"/>
    <w:rsid w:val="005F3E2C"/>
    <w:rsid w:val="005F5C98"/>
    <w:rsid w:val="005F641D"/>
    <w:rsid w:val="0060000B"/>
    <w:rsid w:val="0060658A"/>
    <w:rsid w:val="00607379"/>
    <w:rsid w:val="006101EE"/>
    <w:rsid w:val="006149B4"/>
    <w:rsid w:val="00615571"/>
    <w:rsid w:val="0061727C"/>
    <w:rsid w:val="006202C4"/>
    <w:rsid w:val="00621EEA"/>
    <w:rsid w:val="00623767"/>
    <w:rsid w:val="00624A6D"/>
    <w:rsid w:val="006300CE"/>
    <w:rsid w:val="006307A2"/>
    <w:rsid w:val="00630C89"/>
    <w:rsid w:val="00633587"/>
    <w:rsid w:val="006339D8"/>
    <w:rsid w:val="00633F6A"/>
    <w:rsid w:val="00635F21"/>
    <w:rsid w:val="00637B4C"/>
    <w:rsid w:val="00640632"/>
    <w:rsid w:val="0064176E"/>
    <w:rsid w:val="006429A5"/>
    <w:rsid w:val="00643AEA"/>
    <w:rsid w:val="0064432A"/>
    <w:rsid w:val="00650EFD"/>
    <w:rsid w:val="00651A71"/>
    <w:rsid w:val="00651F91"/>
    <w:rsid w:val="00652FA4"/>
    <w:rsid w:val="00654111"/>
    <w:rsid w:val="00655801"/>
    <w:rsid w:val="00656589"/>
    <w:rsid w:val="00660139"/>
    <w:rsid w:val="00660333"/>
    <w:rsid w:val="00663612"/>
    <w:rsid w:val="006638F8"/>
    <w:rsid w:val="00664831"/>
    <w:rsid w:val="00665872"/>
    <w:rsid w:val="00665B08"/>
    <w:rsid w:val="006660C3"/>
    <w:rsid w:val="0067046E"/>
    <w:rsid w:val="00670D68"/>
    <w:rsid w:val="006729B5"/>
    <w:rsid w:val="00672D20"/>
    <w:rsid w:val="0067589E"/>
    <w:rsid w:val="00676442"/>
    <w:rsid w:val="0067703B"/>
    <w:rsid w:val="0067787F"/>
    <w:rsid w:val="00677F8C"/>
    <w:rsid w:val="0068071E"/>
    <w:rsid w:val="0068149F"/>
    <w:rsid w:val="006822DD"/>
    <w:rsid w:val="00682C22"/>
    <w:rsid w:val="006869D5"/>
    <w:rsid w:val="00687CF6"/>
    <w:rsid w:val="006912E8"/>
    <w:rsid w:val="006917E5"/>
    <w:rsid w:val="006933C7"/>
    <w:rsid w:val="006939BD"/>
    <w:rsid w:val="00693A09"/>
    <w:rsid w:val="00693CCB"/>
    <w:rsid w:val="006945BC"/>
    <w:rsid w:val="00696083"/>
    <w:rsid w:val="0069711F"/>
    <w:rsid w:val="006A3B91"/>
    <w:rsid w:val="006A72CB"/>
    <w:rsid w:val="006A7843"/>
    <w:rsid w:val="006B006E"/>
    <w:rsid w:val="006B18CD"/>
    <w:rsid w:val="006B2A3B"/>
    <w:rsid w:val="006B3965"/>
    <w:rsid w:val="006B3C7D"/>
    <w:rsid w:val="006B43BB"/>
    <w:rsid w:val="006B5660"/>
    <w:rsid w:val="006B623E"/>
    <w:rsid w:val="006B7313"/>
    <w:rsid w:val="006C0180"/>
    <w:rsid w:val="006C047C"/>
    <w:rsid w:val="006C1FA0"/>
    <w:rsid w:val="006C223A"/>
    <w:rsid w:val="006C2718"/>
    <w:rsid w:val="006C49AB"/>
    <w:rsid w:val="006C5D9B"/>
    <w:rsid w:val="006C7777"/>
    <w:rsid w:val="006D1852"/>
    <w:rsid w:val="006D267A"/>
    <w:rsid w:val="006D39B6"/>
    <w:rsid w:val="006D4139"/>
    <w:rsid w:val="006D4223"/>
    <w:rsid w:val="006D6963"/>
    <w:rsid w:val="006E1236"/>
    <w:rsid w:val="006E1D83"/>
    <w:rsid w:val="006E2887"/>
    <w:rsid w:val="006E2940"/>
    <w:rsid w:val="006E2A58"/>
    <w:rsid w:val="006E680E"/>
    <w:rsid w:val="006E6C9E"/>
    <w:rsid w:val="006F2D30"/>
    <w:rsid w:val="006F3944"/>
    <w:rsid w:val="006F5579"/>
    <w:rsid w:val="006F617E"/>
    <w:rsid w:val="006F6F19"/>
    <w:rsid w:val="0070145A"/>
    <w:rsid w:val="00707082"/>
    <w:rsid w:val="00707628"/>
    <w:rsid w:val="00707759"/>
    <w:rsid w:val="00710A96"/>
    <w:rsid w:val="00711922"/>
    <w:rsid w:val="0071226D"/>
    <w:rsid w:val="0071492B"/>
    <w:rsid w:val="00714CA9"/>
    <w:rsid w:val="007163AE"/>
    <w:rsid w:val="007169F9"/>
    <w:rsid w:val="0071764B"/>
    <w:rsid w:val="007205B0"/>
    <w:rsid w:val="007227B6"/>
    <w:rsid w:val="007252E4"/>
    <w:rsid w:val="00725FB3"/>
    <w:rsid w:val="007263B5"/>
    <w:rsid w:val="00727266"/>
    <w:rsid w:val="00727F91"/>
    <w:rsid w:val="00731104"/>
    <w:rsid w:val="007330EC"/>
    <w:rsid w:val="00733B64"/>
    <w:rsid w:val="00733E37"/>
    <w:rsid w:val="00734469"/>
    <w:rsid w:val="00734D2E"/>
    <w:rsid w:val="007359D7"/>
    <w:rsid w:val="00736B5C"/>
    <w:rsid w:val="0073722C"/>
    <w:rsid w:val="00737259"/>
    <w:rsid w:val="007373B8"/>
    <w:rsid w:val="00737788"/>
    <w:rsid w:val="0073798B"/>
    <w:rsid w:val="00740CC8"/>
    <w:rsid w:val="00741D42"/>
    <w:rsid w:val="00742DB8"/>
    <w:rsid w:val="00743E33"/>
    <w:rsid w:val="00745791"/>
    <w:rsid w:val="00747360"/>
    <w:rsid w:val="00747B77"/>
    <w:rsid w:val="007510D2"/>
    <w:rsid w:val="00753A1A"/>
    <w:rsid w:val="007540FF"/>
    <w:rsid w:val="00754D4A"/>
    <w:rsid w:val="00757F4B"/>
    <w:rsid w:val="00757FCF"/>
    <w:rsid w:val="00761423"/>
    <w:rsid w:val="007625CB"/>
    <w:rsid w:val="00764EE8"/>
    <w:rsid w:val="007653DF"/>
    <w:rsid w:val="00766DAF"/>
    <w:rsid w:val="00770766"/>
    <w:rsid w:val="0077451E"/>
    <w:rsid w:val="007756FF"/>
    <w:rsid w:val="007770AB"/>
    <w:rsid w:val="007772E1"/>
    <w:rsid w:val="00780314"/>
    <w:rsid w:val="00780E81"/>
    <w:rsid w:val="00781303"/>
    <w:rsid w:val="00782839"/>
    <w:rsid w:val="007829C1"/>
    <w:rsid w:val="00784CB3"/>
    <w:rsid w:val="00786C41"/>
    <w:rsid w:val="0079028E"/>
    <w:rsid w:val="00790C90"/>
    <w:rsid w:val="00795218"/>
    <w:rsid w:val="0079650D"/>
    <w:rsid w:val="007A0A25"/>
    <w:rsid w:val="007A1943"/>
    <w:rsid w:val="007A34AC"/>
    <w:rsid w:val="007A3A81"/>
    <w:rsid w:val="007A41BA"/>
    <w:rsid w:val="007A5ADC"/>
    <w:rsid w:val="007A5CAF"/>
    <w:rsid w:val="007B03F5"/>
    <w:rsid w:val="007B1CB3"/>
    <w:rsid w:val="007B53C2"/>
    <w:rsid w:val="007B65C8"/>
    <w:rsid w:val="007B6F58"/>
    <w:rsid w:val="007B7367"/>
    <w:rsid w:val="007C02D3"/>
    <w:rsid w:val="007C112F"/>
    <w:rsid w:val="007C6229"/>
    <w:rsid w:val="007D0AFD"/>
    <w:rsid w:val="007D3EAA"/>
    <w:rsid w:val="007D66B1"/>
    <w:rsid w:val="007D7755"/>
    <w:rsid w:val="007E3786"/>
    <w:rsid w:val="007F3B63"/>
    <w:rsid w:val="007F5388"/>
    <w:rsid w:val="007F5696"/>
    <w:rsid w:val="007F5796"/>
    <w:rsid w:val="007F589A"/>
    <w:rsid w:val="007F5D41"/>
    <w:rsid w:val="007F6DB7"/>
    <w:rsid w:val="007F7748"/>
    <w:rsid w:val="007F7E67"/>
    <w:rsid w:val="00801D64"/>
    <w:rsid w:val="00802735"/>
    <w:rsid w:val="00803011"/>
    <w:rsid w:val="00803D31"/>
    <w:rsid w:val="008040FF"/>
    <w:rsid w:val="0080484E"/>
    <w:rsid w:val="00804D9F"/>
    <w:rsid w:val="008051C0"/>
    <w:rsid w:val="0080679A"/>
    <w:rsid w:val="00807926"/>
    <w:rsid w:val="00807A27"/>
    <w:rsid w:val="00807BC7"/>
    <w:rsid w:val="00813254"/>
    <w:rsid w:val="00816480"/>
    <w:rsid w:val="00816F3B"/>
    <w:rsid w:val="00817054"/>
    <w:rsid w:val="00817CA6"/>
    <w:rsid w:val="00817DB9"/>
    <w:rsid w:val="00820E5C"/>
    <w:rsid w:val="00822139"/>
    <w:rsid w:val="008225C9"/>
    <w:rsid w:val="0082310D"/>
    <w:rsid w:val="00823CA3"/>
    <w:rsid w:val="00824E33"/>
    <w:rsid w:val="00825A65"/>
    <w:rsid w:val="0082610B"/>
    <w:rsid w:val="008305A9"/>
    <w:rsid w:val="0083130D"/>
    <w:rsid w:val="00831587"/>
    <w:rsid w:val="00831D94"/>
    <w:rsid w:val="008331C6"/>
    <w:rsid w:val="00836CE3"/>
    <w:rsid w:val="00837552"/>
    <w:rsid w:val="00837D67"/>
    <w:rsid w:val="00842B28"/>
    <w:rsid w:val="008430FE"/>
    <w:rsid w:val="00843B1E"/>
    <w:rsid w:val="008441C7"/>
    <w:rsid w:val="0084599F"/>
    <w:rsid w:val="00846E48"/>
    <w:rsid w:val="00850456"/>
    <w:rsid w:val="00850826"/>
    <w:rsid w:val="00851BA8"/>
    <w:rsid w:val="00853B3C"/>
    <w:rsid w:val="00854FC2"/>
    <w:rsid w:val="008561C1"/>
    <w:rsid w:val="00857A1C"/>
    <w:rsid w:val="00861F37"/>
    <w:rsid w:val="00862EE1"/>
    <w:rsid w:val="008630FC"/>
    <w:rsid w:val="00863311"/>
    <w:rsid w:val="0086447E"/>
    <w:rsid w:val="008652C6"/>
    <w:rsid w:val="00867182"/>
    <w:rsid w:val="00867817"/>
    <w:rsid w:val="00867B08"/>
    <w:rsid w:val="0087193F"/>
    <w:rsid w:val="00871CE0"/>
    <w:rsid w:val="00871EB8"/>
    <w:rsid w:val="00875120"/>
    <w:rsid w:val="00875A45"/>
    <w:rsid w:val="0087652D"/>
    <w:rsid w:val="008774D0"/>
    <w:rsid w:val="00877E7F"/>
    <w:rsid w:val="00880493"/>
    <w:rsid w:val="008807DE"/>
    <w:rsid w:val="00880DDA"/>
    <w:rsid w:val="00880F56"/>
    <w:rsid w:val="00883EE6"/>
    <w:rsid w:val="00884260"/>
    <w:rsid w:val="008867BC"/>
    <w:rsid w:val="00886E06"/>
    <w:rsid w:val="00886FD1"/>
    <w:rsid w:val="00887075"/>
    <w:rsid w:val="00887271"/>
    <w:rsid w:val="008911BA"/>
    <w:rsid w:val="008912A6"/>
    <w:rsid w:val="00892179"/>
    <w:rsid w:val="00894DC7"/>
    <w:rsid w:val="00895602"/>
    <w:rsid w:val="00895A59"/>
    <w:rsid w:val="00895E9D"/>
    <w:rsid w:val="008977F5"/>
    <w:rsid w:val="00897AF4"/>
    <w:rsid w:val="008A195F"/>
    <w:rsid w:val="008A1ABD"/>
    <w:rsid w:val="008A4854"/>
    <w:rsid w:val="008A64E5"/>
    <w:rsid w:val="008A64F0"/>
    <w:rsid w:val="008A7C30"/>
    <w:rsid w:val="008B0B0A"/>
    <w:rsid w:val="008B1DD6"/>
    <w:rsid w:val="008B2073"/>
    <w:rsid w:val="008B5DC7"/>
    <w:rsid w:val="008B6CC9"/>
    <w:rsid w:val="008C01BF"/>
    <w:rsid w:val="008C1934"/>
    <w:rsid w:val="008C3F90"/>
    <w:rsid w:val="008C4B38"/>
    <w:rsid w:val="008C533C"/>
    <w:rsid w:val="008D0570"/>
    <w:rsid w:val="008D1351"/>
    <w:rsid w:val="008D4A36"/>
    <w:rsid w:val="008D6ABC"/>
    <w:rsid w:val="008D78D9"/>
    <w:rsid w:val="008D7CE0"/>
    <w:rsid w:val="008E3305"/>
    <w:rsid w:val="008E5DF2"/>
    <w:rsid w:val="008E60A6"/>
    <w:rsid w:val="008E6396"/>
    <w:rsid w:val="008E7BB4"/>
    <w:rsid w:val="008F3D9A"/>
    <w:rsid w:val="008F551D"/>
    <w:rsid w:val="008F6187"/>
    <w:rsid w:val="008F6DEE"/>
    <w:rsid w:val="008F7264"/>
    <w:rsid w:val="008F7A57"/>
    <w:rsid w:val="009006B3"/>
    <w:rsid w:val="00903D4A"/>
    <w:rsid w:val="00905017"/>
    <w:rsid w:val="00905227"/>
    <w:rsid w:val="00905563"/>
    <w:rsid w:val="0090783F"/>
    <w:rsid w:val="00907B46"/>
    <w:rsid w:val="00911271"/>
    <w:rsid w:val="00911AD1"/>
    <w:rsid w:val="00913575"/>
    <w:rsid w:val="0091436F"/>
    <w:rsid w:val="009144F1"/>
    <w:rsid w:val="00914D90"/>
    <w:rsid w:val="009150A4"/>
    <w:rsid w:val="009150EF"/>
    <w:rsid w:val="00915DD1"/>
    <w:rsid w:val="009201EF"/>
    <w:rsid w:val="00920CCE"/>
    <w:rsid w:val="00920F98"/>
    <w:rsid w:val="00923B6D"/>
    <w:rsid w:val="00923E32"/>
    <w:rsid w:val="00924034"/>
    <w:rsid w:val="00927869"/>
    <w:rsid w:val="00930706"/>
    <w:rsid w:val="009307EA"/>
    <w:rsid w:val="0093101E"/>
    <w:rsid w:val="009310AD"/>
    <w:rsid w:val="00932502"/>
    <w:rsid w:val="00933625"/>
    <w:rsid w:val="00935B6F"/>
    <w:rsid w:val="0094045A"/>
    <w:rsid w:val="00940559"/>
    <w:rsid w:val="00940D5F"/>
    <w:rsid w:val="00941667"/>
    <w:rsid w:val="00941AD5"/>
    <w:rsid w:val="0094355F"/>
    <w:rsid w:val="009445A4"/>
    <w:rsid w:val="0094484D"/>
    <w:rsid w:val="00945A61"/>
    <w:rsid w:val="00947EC5"/>
    <w:rsid w:val="00951994"/>
    <w:rsid w:val="0095298E"/>
    <w:rsid w:val="0095555D"/>
    <w:rsid w:val="009556CD"/>
    <w:rsid w:val="009573CA"/>
    <w:rsid w:val="00957B57"/>
    <w:rsid w:val="00957C9B"/>
    <w:rsid w:val="009612D5"/>
    <w:rsid w:val="009616C3"/>
    <w:rsid w:val="00962AFD"/>
    <w:rsid w:val="00963DD8"/>
    <w:rsid w:val="009649C8"/>
    <w:rsid w:val="00964D7B"/>
    <w:rsid w:val="00966CE4"/>
    <w:rsid w:val="00967AFC"/>
    <w:rsid w:val="00970CFB"/>
    <w:rsid w:val="009727BD"/>
    <w:rsid w:val="00972B27"/>
    <w:rsid w:val="0097508C"/>
    <w:rsid w:val="009753DE"/>
    <w:rsid w:val="009764B5"/>
    <w:rsid w:val="0098141D"/>
    <w:rsid w:val="0098144C"/>
    <w:rsid w:val="00984D90"/>
    <w:rsid w:val="009864CD"/>
    <w:rsid w:val="009865AE"/>
    <w:rsid w:val="00991A73"/>
    <w:rsid w:val="00991D87"/>
    <w:rsid w:val="0099263F"/>
    <w:rsid w:val="00992890"/>
    <w:rsid w:val="009935CF"/>
    <w:rsid w:val="0099571F"/>
    <w:rsid w:val="009962B0"/>
    <w:rsid w:val="00996C76"/>
    <w:rsid w:val="009A18DC"/>
    <w:rsid w:val="009A2B32"/>
    <w:rsid w:val="009A3044"/>
    <w:rsid w:val="009A3487"/>
    <w:rsid w:val="009A39A2"/>
    <w:rsid w:val="009A4CFD"/>
    <w:rsid w:val="009A53CB"/>
    <w:rsid w:val="009A5928"/>
    <w:rsid w:val="009A5C7D"/>
    <w:rsid w:val="009A6A5E"/>
    <w:rsid w:val="009A6E1B"/>
    <w:rsid w:val="009B0A8F"/>
    <w:rsid w:val="009B1629"/>
    <w:rsid w:val="009B182F"/>
    <w:rsid w:val="009B2903"/>
    <w:rsid w:val="009B2A9F"/>
    <w:rsid w:val="009B43EB"/>
    <w:rsid w:val="009B533F"/>
    <w:rsid w:val="009B6D77"/>
    <w:rsid w:val="009C0C4D"/>
    <w:rsid w:val="009C1AD9"/>
    <w:rsid w:val="009C37BC"/>
    <w:rsid w:val="009C3B3C"/>
    <w:rsid w:val="009C5EE9"/>
    <w:rsid w:val="009C6719"/>
    <w:rsid w:val="009C6CE2"/>
    <w:rsid w:val="009D34B4"/>
    <w:rsid w:val="009D4211"/>
    <w:rsid w:val="009D4D37"/>
    <w:rsid w:val="009D5235"/>
    <w:rsid w:val="009D74D8"/>
    <w:rsid w:val="009E0170"/>
    <w:rsid w:val="009E2323"/>
    <w:rsid w:val="009E37EA"/>
    <w:rsid w:val="009E4482"/>
    <w:rsid w:val="009E5537"/>
    <w:rsid w:val="009E5F64"/>
    <w:rsid w:val="009E764F"/>
    <w:rsid w:val="009F18D8"/>
    <w:rsid w:val="009F348D"/>
    <w:rsid w:val="009F3C1A"/>
    <w:rsid w:val="009F3CD0"/>
    <w:rsid w:val="009F5A2E"/>
    <w:rsid w:val="009F7116"/>
    <w:rsid w:val="009F742D"/>
    <w:rsid w:val="009F751A"/>
    <w:rsid w:val="00A00597"/>
    <w:rsid w:val="00A010FE"/>
    <w:rsid w:val="00A01942"/>
    <w:rsid w:val="00A02236"/>
    <w:rsid w:val="00A024A0"/>
    <w:rsid w:val="00A02DB7"/>
    <w:rsid w:val="00A059ED"/>
    <w:rsid w:val="00A068BE"/>
    <w:rsid w:val="00A0697B"/>
    <w:rsid w:val="00A07A38"/>
    <w:rsid w:val="00A109B7"/>
    <w:rsid w:val="00A111DE"/>
    <w:rsid w:val="00A12CE3"/>
    <w:rsid w:val="00A12E01"/>
    <w:rsid w:val="00A15CA8"/>
    <w:rsid w:val="00A1693C"/>
    <w:rsid w:val="00A17FF2"/>
    <w:rsid w:val="00A20D61"/>
    <w:rsid w:val="00A2205E"/>
    <w:rsid w:val="00A232C0"/>
    <w:rsid w:val="00A2784C"/>
    <w:rsid w:val="00A30087"/>
    <w:rsid w:val="00A31E67"/>
    <w:rsid w:val="00A33D20"/>
    <w:rsid w:val="00A41468"/>
    <w:rsid w:val="00A41FBB"/>
    <w:rsid w:val="00A454B8"/>
    <w:rsid w:val="00A47791"/>
    <w:rsid w:val="00A5120E"/>
    <w:rsid w:val="00A51344"/>
    <w:rsid w:val="00A53C70"/>
    <w:rsid w:val="00A53CD9"/>
    <w:rsid w:val="00A543AB"/>
    <w:rsid w:val="00A545D5"/>
    <w:rsid w:val="00A56398"/>
    <w:rsid w:val="00A61F8C"/>
    <w:rsid w:val="00A6297C"/>
    <w:rsid w:val="00A66DBD"/>
    <w:rsid w:val="00A679B8"/>
    <w:rsid w:val="00A708A2"/>
    <w:rsid w:val="00A70C0B"/>
    <w:rsid w:val="00A73260"/>
    <w:rsid w:val="00A765DF"/>
    <w:rsid w:val="00A76C78"/>
    <w:rsid w:val="00A77147"/>
    <w:rsid w:val="00A80A4B"/>
    <w:rsid w:val="00A851BB"/>
    <w:rsid w:val="00A8747C"/>
    <w:rsid w:val="00A87ACB"/>
    <w:rsid w:val="00A87D79"/>
    <w:rsid w:val="00A91022"/>
    <w:rsid w:val="00A91983"/>
    <w:rsid w:val="00A919DF"/>
    <w:rsid w:val="00A92BC9"/>
    <w:rsid w:val="00A97DCE"/>
    <w:rsid w:val="00AA1954"/>
    <w:rsid w:val="00AA1CA0"/>
    <w:rsid w:val="00AA1E21"/>
    <w:rsid w:val="00AA2974"/>
    <w:rsid w:val="00AA2EAE"/>
    <w:rsid w:val="00AA3020"/>
    <w:rsid w:val="00AA3F92"/>
    <w:rsid w:val="00AA7A97"/>
    <w:rsid w:val="00AB0BF3"/>
    <w:rsid w:val="00AB4CF4"/>
    <w:rsid w:val="00AB51AF"/>
    <w:rsid w:val="00AB67A7"/>
    <w:rsid w:val="00AB6DA7"/>
    <w:rsid w:val="00AB7DBF"/>
    <w:rsid w:val="00AC00E4"/>
    <w:rsid w:val="00AC02F7"/>
    <w:rsid w:val="00AC1FC6"/>
    <w:rsid w:val="00AC23DB"/>
    <w:rsid w:val="00AC7A03"/>
    <w:rsid w:val="00AD01F5"/>
    <w:rsid w:val="00AD09A6"/>
    <w:rsid w:val="00AD09AD"/>
    <w:rsid w:val="00AD1B9D"/>
    <w:rsid w:val="00AD408D"/>
    <w:rsid w:val="00AD7EA5"/>
    <w:rsid w:val="00AE111C"/>
    <w:rsid w:val="00AE1F60"/>
    <w:rsid w:val="00AE23E4"/>
    <w:rsid w:val="00AE555C"/>
    <w:rsid w:val="00AF191D"/>
    <w:rsid w:val="00AF25E1"/>
    <w:rsid w:val="00AF460C"/>
    <w:rsid w:val="00AF7590"/>
    <w:rsid w:val="00B0095A"/>
    <w:rsid w:val="00B01A78"/>
    <w:rsid w:val="00B035A5"/>
    <w:rsid w:val="00B03FC1"/>
    <w:rsid w:val="00B07CA7"/>
    <w:rsid w:val="00B11D43"/>
    <w:rsid w:val="00B16396"/>
    <w:rsid w:val="00B205F0"/>
    <w:rsid w:val="00B2065B"/>
    <w:rsid w:val="00B23C62"/>
    <w:rsid w:val="00B24275"/>
    <w:rsid w:val="00B24857"/>
    <w:rsid w:val="00B24BAA"/>
    <w:rsid w:val="00B27610"/>
    <w:rsid w:val="00B27669"/>
    <w:rsid w:val="00B279E8"/>
    <w:rsid w:val="00B304DF"/>
    <w:rsid w:val="00B3063F"/>
    <w:rsid w:val="00B316B4"/>
    <w:rsid w:val="00B31B3A"/>
    <w:rsid w:val="00B324FF"/>
    <w:rsid w:val="00B3306D"/>
    <w:rsid w:val="00B337EA"/>
    <w:rsid w:val="00B35EEA"/>
    <w:rsid w:val="00B41753"/>
    <w:rsid w:val="00B42284"/>
    <w:rsid w:val="00B427D9"/>
    <w:rsid w:val="00B46F26"/>
    <w:rsid w:val="00B476FA"/>
    <w:rsid w:val="00B5448B"/>
    <w:rsid w:val="00B55214"/>
    <w:rsid w:val="00B554C9"/>
    <w:rsid w:val="00B565BF"/>
    <w:rsid w:val="00B60C9A"/>
    <w:rsid w:val="00B624CF"/>
    <w:rsid w:val="00B63BE1"/>
    <w:rsid w:val="00B64AE1"/>
    <w:rsid w:val="00B65064"/>
    <w:rsid w:val="00B6747C"/>
    <w:rsid w:val="00B71E06"/>
    <w:rsid w:val="00B7388A"/>
    <w:rsid w:val="00B7563E"/>
    <w:rsid w:val="00B75983"/>
    <w:rsid w:val="00B75BAA"/>
    <w:rsid w:val="00B77272"/>
    <w:rsid w:val="00B77C32"/>
    <w:rsid w:val="00B77F77"/>
    <w:rsid w:val="00B814B1"/>
    <w:rsid w:val="00B83DEC"/>
    <w:rsid w:val="00B869E5"/>
    <w:rsid w:val="00B9061D"/>
    <w:rsid w:val="00B91EDA"/>
    <w:rsid w:val="00B921DF"/>
    <w:rsid w:val="00B937D8"/>
    <w:rsid w:val="00B969B6"/>
    <w:rsid w:val="00B972DC"/>
    <w:rsid w:val="00B978AE"/>
    <w:rsid w:val="00B97F11"/>
    <w:rsid w:val="00BA328A"/>
    <w:rsid w:val="00BA4062"/>
    <w:rsid w:val="00BA4E7A"/>
    <w:rsid w:val="00BA501F"/>
    <w:rsid w:val="00BA521B"/>
    <w:rsid w:val="00BA5CD5"/>
    <w:rsid w:val="00BB28DE"/>
    <w:rsid w:val="00BB2FDE"/>
    <w:rsid w:val="00BB3A61"/>
    <w:rsid w:val="00BB450D"/>
    <w:rsid w:val="00BB47F7"/>
    <w:rsid w:val="00BB553B"/>
    <w:rsid w:val="00BC0B6E"/>
    <w:rsid w:val="00BC3065"/>
    <w:rsid w:val="00BC3B6F"/>
    <w:rsid w:val="00BC3D32"/>
    <w:rsid w:val="00BC3FF5"/>
    <w:rsid w:val="00BC42A5"/>
    <w:rsid w:val="00BC76BA"/>
    <w:rsid w:val="00BD06E0"/>
    <w:rsid w:val="00BD0836"/>
    <w:rsid w:val="00BD1BBB"/>
    <w:rsid w:val="00BD1E98"/>
    <w:rsid w:val="00BD2261"/>
    <w:rsid w:val="00BE04CC"/>
    <w:rsid w:val="00BE1314"/>
    <w:rsid w:val="00BE19D8"/>
    <w:rsid w:val="00BE39A0"/>
    <w:rsid w:val="00BE3D5B"/>
    <w:rsid w:val="00BE5133"/>
    <w:rsid w:val="00BE58EB"/>
    <w:rsid w:val="00BE6737"/>
    <w:rsid w:val="00BE73B7"/>
    <w:rsid w:val="00BE7BD9"/>
    <w:rsid w:val="00BF05F0"/>
    <w:rsid w:val="00BF0CE9"/>
    <w:rsid w:val="00BF1650"/>
    <w:rsid w:val="00BF6FE6"/>
    <w:rsid w:val="00C0092D"/>
    <w:rsid w:val="00C018F6"/>
    <w:rsid w:val="00C029D0"/>
    <w:rsid w:val="00C0338A"/>
    <w:rsid w:val="00C034CF"/>
    <w:rsid w:val="00C0385E"/>
    <w:rsid w:val="00C050D1"/>
    <w:rsid w:val="00C051CD"/>
    <w:rsid w:val="00C05660"/>
    <w:rsid w:val="00C07765"/>
    <w:rsid w:val="00C07FB5"/>
    <w:rsid w:val="00C105D5"/>
    <w:rsid w:val="00C107C7"/>
    <w:rsid w:val="00C11DF2"/>
    <w:rsid w:val="00C1257C"/>
    <w:rsid w:val="00C16218"/>
    <w:rsid w:val="00C1623B"/>
    <w:rsid w:val="00C17024"/>
    <w:rsid w:val="00C177E4"/>
    <w:rsid w:val="00C20B74"/>
    <w:rsid w:val="00C2275E"/>
    <w:rsid w:val="00C22B43"/>
    <w:rsid w:val="00C22F5F"/>
    <w:rsid w:val="00C24E4D"/>
    <w:rsid w:val="00C25129"/>
    <w:rsid w:val="00C26A52"/>
    <w:rsid w:val="00C31E60"/>
    <w:rsid w:val="00C31FC9"/>
    <w:rsid w:val="00C338F7"/>
    <w:rsid w:val="00C343BA"/>
    <w:rsid w:val="00C353D0"/>
    <w:rsid w:val="00C353D4"/>
    <w:rsid w:val="00C35C6B"/>
    <w:rsid w:val="00C35EE5"/>
    <w:rsid w:val="00C372B5"/>
    <w:rsid w:val="00C37767"/>
    <w:rsid w:val="00C37B46"/>
    <w:rsid w:val="00C37BC4"/>
    <w:rsid w:val="00C40C3D"/>
    <w:rsid w:val="00C42DBD"/>
    <w:rsid w:val="00C43B58"/>
    <w:rsid w:val="00C44D76"/>
    <w:rsid w:val="00C4768E"/>
    <w:rsid w:val="00C50C7C"/>
    <w:rsid w:val="00C51B08"/>
    <w:rsid w:val="00C52C0A"/>
    <w:rsid w:val="00C53F63"/>
    <w:rsid w:val="00C548B4"/>
    <w:rsid w:val="00C55400"/>
    <w:rsid w:val="00C56B84"/>
    <w:rsid w:val="00C57571"/>
    <w:rsid w:val="00C60F04"/>
    <w:rsid w:val="00C61140"/>
    <w:rsid w:val="00C622C6"/>
    <w:rsid w:val="00C6250A"/>
    <w:rsid w:val="00C629EA"/>
    <w:rsid w:val="00C62E96"/>
    <w:rsid w:val="00C63714"/>
    <w:rsid w:val="00C65D05"/>
    <w:rsid w:val="00C67C75"/>
    <w:rsid w:val="00C7009C"/>
    <w:rsid w:val="00C7329A"/>
    <w:rsid w:val="00C75193"/>
    <w:rsid w:val="00C754C9"/>
    <w:rsid w:val="00C766A3"/>
    <w:rsid w:val="00C777AB"/>
    <w:rsid w:val="00C777B4"/>
    <w:rsid w:val="00C77852"/>
    <w:rsid w:val="00C84463"/>
    <w:rsid w:val="00C853BF"/>
    <w:rsid w:val="00C90AB8"/>
    <w:rsid w:val="00C91E6D"/>
    <w:rsid w:val="00C91F51"/>
    <w:rsid w:val="00C929EC"/>
    <w:rsid w:val="00C92D03"/>
    <w:rsid w:val="00C93374"/>
    <w:rsid w:val="00C93730"/>
    <w:rsid w:val="00C950B3"/>
    <w:rsid w:val="00C9621F"/>
    <w:rsid w:val="00CA5C7A"/>
    <w:rsid w:val="00CB0834"/>
    <w:rsid w:val="00CB0C0A"/>
    <w:rsid w:val="00CB25F7"/>
    <w:rsid w:val="00CB5E08"/>
    <w:rsid w:val="00CB5F7A"/>
    <w:rsid w:val="00CB76DF"/>
    <w:rsid w:val="00CC0889"/>
    <w:rsid w:val="00CC0E2B"/>
    <w:rsid w:val="00CC14EE"/>
    <w:rsid w:val="00CC19F8"/>
    <w:rsid w:val="00CC5046"/>
    <w:rsid w:val="00CC6E36"/>
    <w:rsid w:val="00CC6EDE"/>
    <w:rsid w:val="00CD1201"/>
    <w:rsid w:val="00CD1F0C"/>
    <w:rsid w:val="00CD2A30"/>
    <w:rsid w:val="00CD3D48"/>
    <w:rsid w:val="00CD52C4"/>
    <w:rsid w:val="00CD5FEB"/>
    <w:rsid w:val="00CE0D6D"/>
    <w:rsid w:val="00CE11B3"/>
    <w:rsid w:val="00CE2F86"/>
    <w:rsid w:val="00CE35F0"/>
    <w:rsid w:val="00CE377C"/>
    <w:rsid w:val="00CE4C63"/>
    <w:rsid w:val="00CE60DB"/>
    <w:rsid w:val="00CE6A31"/>
    <w:rsid w:val="00CE7749"/>
    <w:rsid w:val="00CF048E"/>
    <w:rsid w:val="00CF0679"/>
    <w:rsid w:val="00CF136B"/>
    <w:rsid w:val="00CF316F"/>
    <w:rsid w:val="00CF3515"/>
    <w:rsid w:val="00CF35BB"/>
    <w:rsid w:val="00CF43CF"/>
    <w:rsid w:val="00CF4661"/>
    <w:rsid w:val="00CF5392"/>
    <w:rsid w:val="00CF6453"/>
    <w:rsid w:val="00CF6EF1"/>
    <w:rsid w:val="00CF7661"/>
    <w:rsid w:val="00D00293"/>
    <w:rsid w:val="00D008C5"/>
    <w:rsid w:val="00D00925"/>
    <w:rsid w:val="00D02792"/>
    <w:rsid w:val="00D029B5"/>
    <w:rsid w:val="00D045BF"/>
    <w:rsid w:val="00D048AA"/>
    <w:rsid w:val="00D07CAC"/>
    <w:rsid w:val="00D10494"/>
    <w:rsid w:val="00D10977"/>
    <w:rsid w:val="00D1283B"/>
    <w:rsid w:val="00D13B6A"/>
    <w:rsid w:val="00D15C28"/>
    <w:rsid w:val="00D229D1"/>
    <w:rsid w:val="00D22B5B"/>
    <w:rsid w:val="00D23FE6"/>
    <w:rsid w:val="00D247AB"/>
    <w:rsid w:val="00D25839"/>
    <w:rsid w:val="00D2642B"/>
    <w:rsid w:val="00D31CDE"/>
    <w:rsid w:val="00D31FA6"/>
    <w:rsid w:val="00D337F3"/>
    <w:rsid w:val="00D34746"/>
    <w:rsid w:val="00D405AD"/>
    <w:rsid w:val="00D41BF8"/>
    <w:rsid w:val="00D46794"/>
    <w:rsid w:val="00D471A9"/>
    <w:rsid w:val="00D538DF"/>
    <w:rsid w:val="00D55EA7"/>
    <w:rsid w:val="00D57E32"/>
    <w:rsid w:val="00D606A1"/>
    <w:rsid w:val="00D65936"/>
    <w:rsid w:val="00D73DE4"/>
    <w:rsid w:val="00D76085"/>
    <w:rsid w:val="00D7649A"/>
    <w:rsid w:val="00D77249"/>
    <w:rsid w:val="00D80879"/>
    <w:rsid w:val="00D816CB"/>
    <w:rsid w:val="00D81E7F"/>
    <w:rsid w:val="00D83337"/>
    <w:rsid w:val="00D8364E"/>
    <w:rsid w:val="00D83DE6"/>
    <w:rsid w:val="00D83E9D"/>
    <w:rsid w:val="00D84475"/>
    <w:rsid w:val="00D87061"/>
    <w:rsid w:val="00D87470"/>
    <w:rsid w:val="00D91174"/>
    <w:rsid w:val="00D920DC"/>
    <w:rsid w:val="00D92A46"/>
    <w:rsid w:val="00D92A88"/>
    <w:rsid w:val="00D9362A"/>
    <w:rsid w:val="00D93D66"/>
    <w:rsid w:val="00D95208"/>
    <w:rsid w:val="00D9602D"/>
    <w:rsid w:val="00D96458"/>
    <w:rsid w:val="00D9660E"/>
    <w:rsid w:val="00D96703"/>
    <w:rsid w:val="00D96F22"/>
    <w:rsid w:val="00D972DF"/>
    <w:rsid w:val="00D9785D"/>
    <w:rsid w:val="00DA0F21"/>
    <w:rsid w:val="00DA1D02"/>
    <w:rsid w:val="00DA27BC"/>
    <w:rsid w:val="00DA2A28"/>
    <w:rsid w:val="00DA2DF3"/>
    <w:rsid w:val="00DA4E73"/>
    <w:rsid w:val="00DA5F6F"/>
    <w:rsid w:val="00DB0664"/>
    <w:rsid w:val="00DB0792"/>
    <w:rsid w:val="00DB2426"/>
    <w:rsid w:val="00DB28D9"/>
    <w:rsid w:val="00DB2929"/>
    <w:rsid w:val="00DB359E"/>
    <w:rsid w:val="00DB54D5"/>
    <w:rsid w:val="00DB5757"/>
    <w:rsid w:val="00DB67FB"/>
    <w:rsid w:val="00DB7B14"/>
    <w:rsid w:val="00DC3B79"/>
    <w:rsid w:val="00DC5231"/>
    <w:rsid w:val="00DC5A0A"/>
    <w:rsid w:val="00DC6200"/>
    <w:rsid w:val="00DD03DC"/>
    <w:rsid w:val="00DD0535"/>
    <w:rsid w:val="00DD1011"/>
    <w:rsid w:val="00DD274D"/>
    <w:rsid w:val="00DD33F6"/>
    <w:rsid w:val="00DD3FC0"/>
    <w:rsid w:val="00DD41AC"/>
    <w:rsid w:val="00DD4231"/>
    <w:rsid w:val="00DD4CF3"/>
    <w:rsid w:val="00DD7102"/>
    <w:rsid w:val="00DD714B"/>
    <w:rsid w:val="00DE26A0"/>
    <w:rsid w:val="00DE2AB6"/>
    <w:rsid w:val="00DE2B07"/>
    <w:rsid w:val="00DE3C96"/>
    <w:rsid w:val="00DE4668"/>
    <w:rsid w:val="00DE5D13"/>
    <w:rsid w:val="00DE5E1C"/>
    <w:rsid w:val="00DE61B9"/>
    <w:rsid w:val="00DE6304"/>
    <w:rsid w:val="00DE70F3"/>
    <w:rsid w:val="00DF3791"/>
    <w:rsid w:val="00DF5E93"/>
    <w:rsid w:val="00E0129C"/>
    <w:rsid w:val="00E02909"/>
    <w:rsid w:val="00E0317D"/>
    <w:rsid w:val="00E0381A"/>
    <w:rsid w:val="00E046D7"/>
    <w:rsid w:val="00E11417"/>
    <w:rsid w:val="00E115F4"/>
    <w:rsid w:val="00E11929"/>
    <w:rsid w:val="00E11AC2"/>
    <w:rsid w:val="00E1212A"/>
    <w:rsid w:val="00E12EE5"/>
    <w:rsid w:val="00E13D3E"/>
    <w:rsid w:val="00E16C7C"/>
    <w:rsid w:val="00E16DB5"/>
    <w:rsid w:val="00E17C63"/>
    <w:rsid w:val="00E20087"/>
    <w:rsid w:val="00E226D5"/>
    <w:rsid w:val="00E23201"/>
    <w:rsid w:val="00E23823"/>
    <w:rsid w:val="00E26055"/>
    <w:rsid w:val="00E2605F"/>
    <w:rsid w:val="00E268C6"/>
    <w:rsid w:val="00E278F9"/>
    <w:rsid w:val="00E32481"/>
    <w:rsid w:val="00E35B29"/>
    <w:rsid w:val="00E364F8"/>
    <w:rsid w:val="00E37087"/>
    <w:rsid w:val="00E37A80"/>
    <w:rsid w:val="00E411DA"/>
    <w:rsid w:val="00E412B9"/>
    <w:rsid w:val="00E41E03"/>
    <w:rsid w:val="00E4240F"/>
    <w:rsid w:val="00E435D5"/>
    <w:rsid w:val="00E43BE2"/>
    <w:rsid w:val="00E43E57"/>
    <w:rsid w:val="00E455EF"/>
    <w:rsid w:val="00E474FB"/>
    <w:rsid w:val="00E47812"/>
    <w:rsid w:val="00E50864"/>
    <w:rsid w:val="00E50B74"/>
    <w:rsid w:val="00E51696"/>
    <w:rsid w:val="00E53173"/>
    <w:rsid w:val="00E55470"/>
    <w:rsid w:val="00E5632C"/>
    <w:rsid w:val="00E56D51"/>
    <w:rsid w:val="00E610AA"/>
    <w:rsid w:val="00E610DF"/>
    <w:rsid w:val="00E636FE"/>
    <w:rsid w:val="00E65BE7"/>
    <w:rsid w:val="00E66529"/>
    <w:rsid w:val="00E732A5"/>
    <w:rsid w:val="00E73871"/>
    <w:rsid w:val="00E73AB9"/>
    <w:rsid w:val="00E75552"/>
    <w:rsid w:val="00E770EF"/>
    <w:rsid w:val="00E8181C"/>
    <w:rsid w:val="00E84A4E"/>
    <w:rsid w:val="00E871A0"/>
    <w:rsid w:val="00E92010"/>
    <w:rsid w:val="00E929FF"/>
    <w:rsid w:val="00E93181"/>
    <w:rsid w:val="00E93446"/>
    <w:rsid w:val="00E93B30"/>
    <w:rsid w:val="00E963C1"/>
    <w:rsid w:val="00E971B5"/>
    <w:rsid w:val="00E977ED"/>
    <w:rsid w:val="00EA0448"/>
    <w:rsid w:val="00EA17BF"/>
    <w:rsid w:val="00EA24AC"/>
    <w:rsid w:val="00EA3222"/>
    <w:rsid w:val="00EA3442"/>
    <w:rsid w:val="00EA3762"/>
    <w:rsid w:val="00EA3A21"/>
    <w:rsid w:val="00EA3B9B"/>
    <w:rsid w:val="00EA42A1"/>
    <w:rsid w:val="00EA4F9A"/>
    <w:rsid w:val="00EA58B8"/>
    <w:rsid w:val="00EB2F49"/>
    <w:rsid w:val="00EB463B"/>
    <w:rsid w:val="00EB55E1"/>
    <w:rsid w:val="00EB57EC"/>
    <w:rsid w:val="00EB5CF5"/>
    <w:rsid w:val="00EB643D"/>
    <w:rsid w:val="00EB6F62"/>
    <w:rsid w:val="00EB7639"/>
    <w:rsid w:val="00EC093B"/>
    <w:rsid w:val="00EC1822"/>
    <w:rsid w:val="00EC3652"/>
    <w:rsid w:val="00EC379D"/>
    <w:rsid w:val="00EC4AE4"/>
    <w:rsid w:val="00EC6131"/>
    <w:rsid w:val="00ED0153"/>
    <w:rsid w:val="00ED081D"/>
    <w:rsid w:val="00ED1A22"/>
    <w:rsid w:val="00ED2B5D"/>
    <w:rsid w:val="00ED34C8"/>
    <w:rsid w:val="00ED3510"/>
    <w:rsid w:val="00ED3C89"/>
    <w:rsid w:val="00ED3E07"/>
    <w:rsid w:val="00ED46A2"/>
    <w:rsid w:val="00ED49C4"/>
    <w:rsid w:val="00ED4FEF"/>
    <w:rsid w:val="00ED5C1A"/>
    <w:rsid w:val="00ED61AD"/>
    <w:rsid w:val="00ED76F0"/>
    <w:rsid w:val="00ED7866"/>
    <w:rsid w:val="00EE211B"/>
    <w:rsid w:val="00EE6663"/>
    <w:rsid w:val="00EE6988"/>
    <w:rsid w:val="00EE6B57"/>
    <w:rsid w:val="00EF151B"/>
    <w:rsid w:val="00EF1DC3"/>
    <w:rsid w:val="00EF62B4"/>
    <w:rsid w:val="00EF66E4"/>
    <w:rsid w:val="00F01F72"/>
    <w:rsid w:val="00F02C07"/>
    <w:rsid w:val="00F034E7"/>
    <w:rsid w:val="00F04CBA"/>
    <w:rsid w:val="00F101EC"/>
    <w:rsid w:val="00F10561"/>
    <w:rsid w:val="00F11FC1"/>
    <w:rsid w:val="00F12CB1"/>
    <w:rsid w:val="00F146CF"/>
    <w:rsid w:val="00F161D9"/>
    <w:rsid w:val="00F1703D"/>
    <w:rsid w:val="00F20E86"/>
    <w:rsid w:val="00F23513"/>
    <w:rsid w:val="00F24765"/>
    <w:rsid w:val="00F26606"/>
    <w:rsid w:val="00F276F4"/>
    <w:rsid w:val="00F32296"/>
    <w:rsid w:val="00F33741"/>
    <w:rsid w:val="00F35985"/>
    <w:rsid w:val="00F35FE2"/>
    <w:rsid w:val="00F36CE4"/>
    <w:rsid w:val="00F370D4"/>
    <w:rsid w:val="00F370E8"/>
    <w:rsid w:val="00F40985"/>
    <w:rsid w:val="00F409F1"/>
    <w:rsid w:val="00F4246A"/>
    <w:rsid w:val="00F42D33"/>
    <w:rsid w:val="00F4310B"/>
    <w:rsid w:val="00F43F65"/>
    <w:rsid w:val="00F44691"/>
    <w:rsid w:val="00F448A9"/>
    <w:rsid w:val="00F461F3"/>
    <w:rsid w:val="00F46A8E"/>
    <w:rsid w:val="00F47048"/>
    <w:rsid w:val="00F47708"/>
    <w:rsid w:val="00F54173"/>
    <w:rsid w:val="00F5586A"/>
    <w:rsid w:val="00F569E8"/>
    <w:rsid w:val="00F571E1"/>
    <w:rsid w:val="00F57BF9"/>
    <w:rsid w:val="00F60882"/>
    <w:rsid w:val="00F60DC6"/>
    <w:rsid w:val="00F60FC5"/>
    <w:rsid w:val="00F610AE"/>
    <w:rsid w:val="00F61F2D"/>
    <w:rsid w:val="00F62390"/>
    <w:rsid w:val="00F627A5"/>
    <w:rsid w:val="00F65A05"/>
    <w:rsid w:val="00F65A8A"/>
    <w:rsid w:val="00F72913"/>
    <w:rsid w:val="00F729A4"/>
    <w:rsid w:val="00F7302C"/>
    <w:rsid w:val="00F7442B"/>
    <w:rsid w:val="00F74953"/>
    <w:rsid w:val="00F764B2"/>
    <w:rsid w:val="00F76661"/>
    <w:rsid w:val="00F804DD"/>
    <w:rsid w:val="00F80580"/>
    <w:rsid w:val="00F82744"/>
    <w:rsid w:val="00F85BAB"/>
    <w:rsid w:val="00F87464"/>
    <w:rsid w:val="00F87FC5"/>
    <w:rsid w:val="00F922A4"/>
    <w:rsid w:val="00F954C2"/>
    <w:rsid w:val="00F95C4F"/>
    <w:rsid w:val="00F95EC8"/>
    <w:rsid w:val="00F96B4B"/>
    <w:rsid w:val="00F96D17"/>
    <w:rsid w:val="00F9783A"/>
    <w:rsid w:val="00FA07D8"/>
    <w:rsid w:val="00FA1002"/>
    <w:rsid w:val="00FA160F"/>
    <w:rsid w:val="00FA1E4A"/>
    <w:rsid w:val="00FA33CA"/>
    <w:rsid w:val="00FA4EF6"/>
    <w:rsid w:val="00FA589D"/>
    <w:rsid w:val="00FA597F"/>
    <w:rsid w:val="00FA7C38"/>
    <w:rsid w:val="00FB05EF"/>
    <w:rsid w:val="00FB4A6B"/>
    <w:rsid w:val="00FB6471"/>
    <w:rsid w:val="00FB7C45"/>
    <w:rsid w:val="00FC17D1"/>
    <w:rsid w:val="00FC1B2E"/>
    <w:rsid w:val="00FC1FD1"/>
    <w:rsid w:val="00FC564A"/>
    <w:rsid w:val="00FC763C"/>
    <w:rsid w:val="00FC7BE2"/>
    <w:rsid w:val="00FD0CD4"/>
    <w:rsid w:val="00FD14D7"/>
    <w:rsid w:val="00FD256A"/>
    <w:rsid w:val="00FD3983"/>
    <w:rsid w:val="00FD4E83"/>
    <w:rsid w:val="00FD5A25"/>
    <w:rsid w:val="00FD6F6C"/>
    <w:rsid w:val="00FD706F"/>
    <w:rsid w:val="00FE0E38"/>
    <w:rsid w:val="00FE18A2"/>
    <w:rsid w:val="00FE2C6E"/>
    <w:rsid w:val="00FE309E"/>
    <w:rsid w:val="00FE4910"/>
    <w:rsid w:val="00FE52C8"/>
    <w:rsid w:val="00FE5A3D"/>
    <w:rsid w:val="00FE5BC4"/>
    <w:rsid w:val="00FE5E1E"/>
    <w:rsid w:val="00FF0418"/>
    <w:rsid w:val="00FF070D"/>
    <w:rsid w:val="00FF0D19"/>
    <w:rsid w:val="00FF1199"/>
    <w:rsid w:val="00FF235D"/>
    <w:rsid w:val="00FF3029"/>
    <w:rsid w:val="00FF3E0D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7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8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83B"/>
    <w:rPr>
      <w:sz w:val="18"/>
      <w:szCs w:val="18"/>
    </w:rPr>
  </w:style>
  <w:style w:type="table" w:styleId="a4">
    <w:name w:val="Table Grid"/>
    <w:basedOn w:val="a1"/>
    <w:uiPriority w:val="59"/>
    <w:rsid w:val="008B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7563E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B7563E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B7563E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7563E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B7563E"/>
    <w:rPr>
      <w:b/>
      <w:bCs/>
    </w:rPr>
  </w:style>
  <w:style w:type="paragraph" w:styleId="a8">
    <w:name w:val="Normal (Web)"/>
    <w:basedOn w:val="a"/>
    <w:uiPriority w:val="99"/>
    <w:semiHidden/>
    <w:unhideWhenUsed/>
    <w:rsid w:val="0007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Char2"/>
    <w:uiPriority w:val="99"/>
    <w:unhideWhenUsed/>
    <w:rsid w:val="00BB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BB553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BB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BB553B"/>
    <w:rPr>
      <w:sz w:val="18"/>
      <w:szCs w:val="18"/>
    </w:rPr>
  </w:style>
  <w:style w:type="paragraph" w:styleId="ab">
    <w:name w:val="footnote text"/>
    <w:basedOn w:val="a"/>
    <w:link w:val="Char4"/>
    <w:uiPriority w:val="99"/>
    <w:semiHidden/>
    <w:unhideWhenUsed/>
    <w:rsid w:val="00790C90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790C9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790C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8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83B"/>
    <w:rPr>
      <w:sz w:val="18"/>
      <w:szCs w:val="18"/>
    </w:rPr>
  </w:style>
  <w:style w:type="table" w:styleId="a4">
    <w:name w:val="Table Grid"/>
    <w:basedOn w:val="a1"/>
    <w:uiPriority w:val="59"/>
    <w:rsid w:val="008B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7563E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B7563E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B7563E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7563E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B7563E"/>
    <w:rPr>
      <w:b/>
      <w:bCs/>
    </w:rPr>
  </w:style>
  <w:style w:type="paragraph" w:styleId="a8">
    <w:name w:val="Normal (Web)"/>
    <w:basedOn w:val="a"/>
    <w:uiPriority w:val="99"/>
    <w:semiHidden/>
    <w:unhideWhenUsed/>
    <w:rsid w:val="0007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Char2"/>
    <w:uiPriority w:val="99"/>
    <w:unhideWhenUsed/>
    <w:rsid w:val="00BB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BB553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BB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BB553B"/>
    <w:rPr>
      <w:sz w:val="18"/>
      <w:szCs w:val="18"/>
    </w:rPr>
  </w:style>
  <w:style w:type="paragraph" w:styleId="ab">
    <w:name w:val="footnote text"/>
    <w:basedOn w:val="a"/>
    <w:link w:val="Char4"/>
    <w:uiPriority w:val="99"/>
    <w:semiHidden/>
    <w:unhideWhenUsed/>
    <w:rsid w:val="00790C90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790C9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790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Q3&#25968;&#25454;&#24211;-&#24050;&#26356;&#2603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c\Desktop\20160905&#25112;&#26032;&#20225;&#19994;&#26223;&#27668;&#35843;&#26597;&#25968;&#25454;&#24211;\2016Q3&#25968;&#25454;&#24211;-&#24050;&#26356;&#2603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048023514055381E-2"/>
          <c:y val="5.0925925925925923E-2"/>
          <c:w val="0.73578014733846997"/>
          <c:h val="0.76436789151356077"/>
        </c:manualLayout>
      </c:layout>
      <c:lineChart>
        <c:grouping val="standard"/>
        <c:varyColors val="0"/>
        <c:ser>
          <c:idx val="0"/>
          <c:order val="0"/>
          <c:tx>
            <c:strRef>
              <c:f>指数持续更新!$A$3</c:f>
              <c:strCache>
                <c:ptCount val="1"/>
                <c:pt idx="0">
                  <c:v>企业家信心指数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指数持续更新!$B$1:$L$2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指数持续更新!$B$3:$L$3</c:f>
              <c:numCache>
                <c:formatCode>General</c:formatCode>
                <c:ptCount val="11"/>
                <c:pt idx="0">
                  <c:v>143.6</c:v>
                </c:pt>
                <c:pt idx="1">
                  <c:v>152.6</c:v>
                </c:pt>
                <c:pt idx="2">
                  <c:v>148.30000000000001</c:v>
                </c:pt>
                <c:pt idx="3">
                  <c:v>154.19999999999999</c:v>
                </c:pt>
                <c:pt idx="4">
                  <c:v>145.19999999999999</c:v>
                </c:pt>
                <c:pt idx="5">
                  <c:v>150.5</c:v>
                </c:pt>
                <c:pt idx="6">
                  <c:v>137.5</c:v>
                </c:pt>
                <c:pt idx="7">
                  <c:v>140.30000000000001</c:v>
                </c:pt>
                <c:pt idx="8">
                  <c:v>144.80000000000001</c:v>
                </c:pt>
                <c:pt idx="9">
                  <c:v>141.19999999999999</c:v>
                </c:pt>
                <c:pt idx="10">
                  <c:v>145.19999999999999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指数持续更新!$A$4</c:f>
              <c:strCache>
                <c:ptCount val="1"/>
                <c:pt idx="0">
                  <c:v>行业景气指数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plus"/>
            <c:size val="5"/>
          </c:marker>
          <c:cat>
            <c:multiLvlStrRef>
              <c:f>指数持续更新!$B$1:$L$2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指数持续更新!$B$4:$L$4</c:f>
              <c:numCache>
                <c:formatCode>General</c:formatCode>
                <c:ptCount val="11"/>
                <c:pt idx="0">
                  <c:v>146.1</c:v>
                </c:pt>
                <c:pt idx="1">
                  <c:v>156.69999999999999</c:v>
                </c:pt>
                <c:pt idx="2">
                  <c:v>152.6</c:v>
                </c:pt>
                <c:pt idx="3">
                  <c:v>154.19999999999999</c:v>
                </c:pt>
                <c:pt idx="4">
                  <c:v>147.5</c:v>
                </c:pt>
                <c:pt idx="5">
                  <c:v>150.5</c:v>
                </c:pt>
                <c:pt idx="6">
                  <c:v>144.4</c:v>
                </c:pt>
                <c:pt idx="7">
                  <c:v>141.1</c:v>
                </c:pt>
                <c:pt idx="8">
                  <c:v>138.5</c:v>
                </c:pt>
                <c:pt idx="9">
                  <c:v>136.9</c:v>
                </c:pt>
                <c:pt idx="10">
                  <c:v>139.5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5254016"/>
        <c:axId val="455255552"/>
      </c:lineChart>
      <c:catAx>
        <c:axId val="4552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455255552"/>
        <c:crosses val="autoZero"/>
        <c:auto val="1"/>
        <c:lblAlgn val="ctr"/>
        <c:lblOffset val="100"/>
        <c:noMultiLvlLbl val="0"/>
      </c:catAx>
      <c:valAx>
        <c:axId val="455255552"/>
        <c:scaling>
          <c:orientation val="minMax"/>
          <c:max val="170"/>
          <c:min val="1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45525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144202010526862"/>
          <c:y val="0.50983741615631384"/>
          <c:w val="0.23855795580662637"/>
          <c:h val="0.15625109361329836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指数持续更新!$A$81</c:f>
              <c:strCache>
                <c:ptCount val="1"/>
                <c:pt idx="0">
                  <c:v>创新景气指数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指数持续更新!$B$79:$L$80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指数持续更新!$B$81:$L$81</c:f>
              <c:numCache>
                <c:formatCode>General</c:formatCode>
                <c:ptCount val="11"/>
                <c:pt idx="0">
                  <c:v>134.1</c:v>
                </c:pt>
                <c:pt idx="1">
                  <c:v>149.9</c:v>
                </c:pt>
                <c:pt idx="2">
                  <c:v>138</c:v>
                </c:pt>
                <c:pt idx="3">
                  <c:v>132.1</c:v>
                </c:pt>
                <c:pt idx="4">
                  <c:v>123.8</c:v>
                </c:pt>
                <c:pt idx="5">
                  <c:v>147.19999999999999</c:v>
                </c:pt>
                <c:pt idx="6">
                  <c:v>135.69999999999999</c:v>
                </c:pt>
                <c:pt idx="7">
                  <c:v>136</c:v>
                </c:pt>
                <c:pt idx="8">
                  <c:v>118.8</c:v>
                </c:pt>
                <c:pt idx="9">
                  <c:v>140.30000000000001</c:v>
                </c:pt>
                <c:pt idx="10">
                  <c:v>132.5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9"/>
        <c:overlap val="-27"/>
        <c:axId val="455201920"/>
        <c:axId val="455203456"/>
      </c:barChart>
      <c:catAx>
        <c:axId val="45520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455203456"/>
        <c:crossesAt val="100"/>
        <c:auto val="1"/>
        <c:lblAlgn val="ctr"/>
        <c:lblOffset val="100"/>
        <c:noMultiLvlLbl val="0"/>
      </c:catAx>
      <c:valAx>
        <c:axId val="455203456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45520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指数持续更新!$A$104</c:f>
              <c:strCache>
                <c:ptCount val="1"/>
                <c:pt idx="0">
                  <c:v>研发投入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指数持续更新!$B$102:$L$103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指数持续更新!$B$104:$L$104</c:f>
              <c:numCache>
                <c:formatCode>General</c:formatCode>
                <c:ptCount val="11"/>
                <c:pt idx="0">
                  <c:v>136</c:v>
                </c:pt>
                <c:pt idx="1">
                  <c:v>152</c:v>
                </c:pt>
                <c:pt idx="2">
                  <c:v>139.80000000000001</c:v>
                </c:pt>
                <c:pt idx="3">
                  <c:v>133.5</c:v>
                </c:pt>
                <c:pt idx="4">
                  <c:v>126.2</c:v>
                </c:pt>
                <c:pt idx="5">
                  <c:v>149.80000000000001</c:v>
                </c:pt>
                <c:pt idx="6">
                  <c:v>137</c:v>
                </c:pt>
                <c:pt idx="7">
                  <c:v>136.4</c:v>
                </c:pt>
                <c:pt idx="8">
                  <c:v>120.9</c:v>
                </c:pt>
                <c:pt idx="9">
                  <c:v>141.6</c:v>
                </c:pt>
                <c:pt idx="10" formatCode="0.0_ ">
                  <c:v>133.2744950722321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指数持续更新!$A$105</c:f>
              <c:strCache>
                <c:ptCount val="1"/>
                <c:pt idx="0">
                  <c:v>专利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指数持续更新!$B$102:$L$103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指数持续更新!$B$105:$L$105</c:f>
              <c:numCache>
                <c:formatCode>General</c:formatCode>
                <c:ptCount val="11"/>
                <c:pt idx="0">
                  <c:v>122.5</c:v>
                </c:pt>
                <c:pt idx="1">
                  <c:v>137.9</c:v>
                </c:pt>
                <c:pt idx="2">
                  <c:v>127.4</c:v>
                </c:pt>
                <c:pt idx="3">
                  <c:v>122.9</c:v>
                </c:pt>
                <c:pt idx="4">
                  <c:v>107.7</c:v>
                </c:pt>
                <c:pt idx="5">
                  <c:v>129.69999999999999</c:v>
                </c:pt>
                <c:pt idx="6">
                  <c:v>128.6</c:v>
                </c:pt>
                <c:pt idx="7">
                  <c:v>133.30000000000001</c:v>
                </c:pt>
                <c:pt idx="8">
                  <c:v>103.1</c:v>
                </c:pt>
                <c:pt idx="9">
                  <c:v>132.4</c:v>
                </c:pt>
                <c:pt idx="10" formatCode="0.0_ ">
                  <c:v>126.05324672247934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2196864"/>
        <c:axId val="352219520"/>
      </c:lineChart>
      <c:catAx>
        <c:axId val="35219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352219520"/>
        <c:crossesAt val="100"/>
        <c:auto val="1"/>
        <c:lblAlgn val="ctr"/>
        <c:lblOffset val="100"/>
        <c:noMultiLvlLbl val="0"/>
      </c:catAx>
      <c:valAx>
        <c:axId val="352219520"/>
        <c:scaling>
          <c:orientation val="minMax"/>
          <c:min val="7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35219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58375843966753E-2"/>
          <c:y val="9.2708018716278401E-2"/>
          <c:w val="0.88981875907943953"/>
          <c:h val="0.876445322190712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指数持续更新!$A$110</c:f>
              <c:strCache>
                <c:ptCount val="1"/>
                <c:pt idx="0">
                  <c:v>政策环境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指数持续更新!$B$108:$L$109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指数持续更新!$B$110:$L$110</c:f>
              <c:numCache>
                <c:formatCode>General</c:formatCode>
                <c:ptCount val="11"/>
                <c:pt idx="0">
                  <c:v>131.19999999999999</c:v>
                </c:pt>
                <c:pt idx="1">
                  <c:v>142.30000000000001</c:v>
                </c:pt>
                <c:pt idx="2">
                  <c:v>129.4</c:v>
                </c:pt>
                <c:pt idx="3">
                  <c:v>132.1</c:v>
                </c:pt>
                <c:pt idx="4">
                  <c:v>134.6</c:v>
                </c:pt>
                <c:pt idx="5">
                  <c:v>136</c:v>
                </c:pt>
                <c:pt idx="6">
                  <c:v>132.5</c:v>
                </c:pt>
                <c:pt idx="7">
                  <c:v>134.6</c:v>
                </c:pt>
                <c:pt idx="8">
                  <c:v>131.9</c:v>
                </c:pt>
                <c:pt idx="9">
                  <c:v>130.4</c:v>
                </c:pt>
                <c:pt idx="10">
                  <c:v>130.1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9"/>
        <c:overlap val="6"/>
        <c:axId val="352248192"/>
        <c:axId val="352249728"/>
      </c:barChart>
      <c:catAx>
        <c:axId val="35224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352249728"/>
        <c:crossesAt val="100"/>
        <c:auto val="1"/>
        <c:lblAlgn val="ctr"/>
        <c:lblOffset val="100"/>
        <c:noMultiLvlLbl val="0"/>
      </c:catAx>
      <c:valAx>
        <c:axId val="352249728"/>
        <c:scaling>
          <c:orientation val="minMax"/>
          <c:max val="170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35224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619691202055499E-2"/>
          <c:y val="0.31500534206086572"/>
          <c:w val="0.89889024257277894"/>
          <c:h val="0.514333620149577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Sheet1!$A$2:$A$5</c:f>
              <c:strCache>
                <c:ptCount val="4"/>
                <c:pt idx="0">
                  <c:v>东北</c:v>
                </c:pt>
                <c:pt idx="1">
                  <c:v>东部</c:v>
                </c:pt>
                <c:pt idx="2">
                  <c:v>西部</c:v>
                </c:pt>
                <c:pt idx="3">
                  <c:v>中部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118.6</c:v>
                </c:pt>
                <c:pt idx="1">
                  <c:v>145.5</c:v>
                </c:pt>
                <c:pt idx="2">
                  <c:v>127.2</c:v>
                </c:pt>
                <c:pt idx="3">
                  <c:v>129.80000000000001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271936"/>
        <c:axId val="455273472"/>
      </c:barChart>
      <c:catAx>
        <c:axId val="45527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5273472"/>
        <c:crosses val="autoZero"/>
        <c:auto val="1"/>
        <c:lblAlgn val="ctr"/>
        <c:lblOffset val="100"/>
        <c:noMultiLvlLbl val="0"/>
      </c:catAx>
      <c:valAx>
        <c:axId val="455273472"/>
        <c:scaling>
          <c:orientation val="minMax"/>
          <c:max val="150"/>
          <c:min val="100"/>
        </c:scaling>
        <c:delete val="0"/>
        <c:axPos val="l"/>
        <c:numFmt formatCode="General" sourceLinked="1"/>
        <c:majorTickMark val="out"/>
        <c:minorTickMark val="none"/>
        <c:tickLblPos val="nextTo"/>
        <c:crossAx val="45527193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指数持续更新!$E$358</c:f>
              <c:strCache>
                <c:ptCount val="1"/>
                <c:pt idx="0">
                  <c:v>行业景气指数增速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0.155777064179826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指数持续更新!$C$359:$C$362</c:f>
              <c:strCache>
                <c:ptCount val="4"/>
                <c:pt idx="0">
                  <c:v>东北</c:v>
                </c:pt>
                <c:pt idx="1">
                  <c:v>东部</c:v>
                </c:pt>
                <c:pt idx="2">
                  <c:v>西部</c:v>
                </c:pt>
                <c:pt idx="3">
                  <c:v>中部</c:v>
                </c:pt>
              </c:strCache>
            </c:strRef>
          </c:cat>
          <c:val>
            <c:numRef>
              <c:f>指数持续更新!$E$359:$E$362</c:f>
              <c:numCache>
                <c:formatCode>0.00%</c:formatCode>
                <c:ptCount val="4"/>
                <c:pt idx="0">
                  <c:v>-5.8405822829753241E-2</c:v>
                </c:pt>
                <c:pt idx="1">
                  <c:v>3.1353456669912239E-2</c:v>
                </c:pt>
                <c:pt idx="2">
                  <c:v>-4.4176068647703935E-3</c:v>
                </c:pt>
                <c:pt idx="3">
                  <c:v>-2.133585198101318E-2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axId val="455281280"/>
        <c:axId val="455303552"/>
      </c:barChart>
      <c:catAx>
        <c:axId val="455281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+mn-ea"/>
                <a:ea typeface="+mn-ea"/>
              </a:defRPr>
            </a:pPr>
            <a:endParaRPr lang="zh-CN"/>
          </a:p>
        </c:txPr>
        <c:crossAx val="455303552"/>
        <c:crosses val="autoZero"/>
        <c:auto val="1"/>
        <c:lblAlgn val="ctr"/>
        <c:lblOffset val="100"/>
        <c:noMultiLvlLbl val="0"/>
      </c:catAx>
      <c:valAx>
        <c:axId val="455303552"/>
        <c:scaling>
          <c:orientation val="minMax"/>
          <c:max val="7.0000000000000007E-2"/>
          <c:min val="-8.0000000000000016E-2"/>
        </c:scaling>
        <c:delete val="0"/>
        <c:axPos val="l"/>
        <c:numFmt formatCode="0.00%" sourceLinked="1"/>
        <c:majorTickMark val="out"/>
        <c:minorTickMark val="none"/>
        <c:tickLblPos val="nextTo"/>
        <c:crossAx val="455281280"/>
        <c:crosses val="autoZero"/>
        <c:crossBetween val="between"/>
        <c:majorUnit val="3.0000000000000006E-2"/>
      </c:valAx>
    </c:plotArea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指数持续更新!$A$10</c:f>
              <c:strCache>
                <c:ptCount val="1"/>
                <c:pt idx="0">
                  <c:v>生产总指数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指数持续更新!$B$8:$L$9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指数持续更新!$B$10:$L$10</c:f>
              <c:numCache>
                <c:formatCode>General</c:formatCode>
                <c:ptCount val="11"/>
                <c:pt idx="0">
                  <c:v>116.8</c:v>
                </c:pt>
                <c:pt idx="1">
                  <c:v>130.4</c:v>
                </c:pt>
                <c:pt idx="2">
                  <c:v>122.3</c:v>
                </c:pt>
                <c:pt idx="3">
                  <c:v>124.5</c:v>
                </c:pt>
                <c:pt idx="4">
                  <c:v>117.2</c:v>
                </c:pt>
                <c:pt idx="5">
                  <c:v>129.1</c:v>
                </c:pt>
                <c:pt idx="6">
                  <c:v>117.3</c:v>
                </c:pt>
                <c:pt idx="7">
                  <c:v>120.4</c:v>
                </c:pt>
                <c:pt idx="8">
                  <c:v>107.7</c:v>
                </c:pt>
                <c:pt idx="9">
                  <c:v>123.5</c:v>
                </c:pt>
                <c:pt idx="10">
                  <c:v>116.7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overlap val="-27"/>
        <c:axId val="455323648"/>
        <c:axId val="455325184"/>
      </c:barChart>
      <c:catAx>
        <c:axId val="45532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455325184"/>
        <c:crossesAt val="100"/>
        <c:auto val="1"/>
        <c:lblAlgn val="ctr"/>
        <c:lblOffset val="100"/>
        <c:noMultiLvlLbl val="0"/>
      </c:catAx>
      <c:valAx>
        <c:axId val="455325184"/>
        <c:scaling>
          <c:orientation val="minMax"/>
          <c:max val="170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45532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指数持续更新!$A$15</c:f>
              <c:strCache>
                <c:ptCount val="1"/>
                <c:pt idx="0">
                  <c:v>用工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指数持续更新!$B$13:$L$14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指数持续更新!$B$15:$L$15</c:f>
              <c:numCache>
                <c:formatCode>General</c:formatCode>
                <c:ptCount val="11"/>
                <c:pt idx="0">
                  <c:v>122.5</c:v>
                </c:pt>
                <c:pt idx="1">
                  <c:v>143.69999999999999</c:v>
                </c:pt>
                <c:pt idx="2">
                  <c:v>132.9</c:v>
                </c:pt>
                <c:pt idx="3">
                  <c:v>131.4</c:v>
                </c:pt>
                <c:pt idx="4">
                  <c:v>122.3</c:v>
                </c:pt>
                <c:pt idx="5">
                  <c:v>133.1</c:v>
                </c:pt>
                <c:pt idx="6">
                  <c:v>124.8</c:v>
                </c:pt>
                <c:pt idx="7">
                  <c:v>126.4</c:v>
                </c:pt>
                <c:pt idx="8">
                  <c:v>107.2</c:v>
                </c:pt>
                <c:pt idx="9">
                  <c:v>127.5</c:v>
                </c:pt>
                <c:pt idx="10">
                  <c:v>121.9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指数持续更新!$A$16</c:f>
              <c:strCache>
                <c:ptCount val="1"/>
                <c:pt idx="0">
                  <c:v>设备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指数持续更新!$B$13:$L$14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指数持续更新!$B$16:$L$16</c:f>
              <c:numCache>
                <c:formatCode>General</c:formatCode>
                <c:ptCount val="11"/>
                <c:pt idx="0">
                  <c:v>129.30000000000001</c:v>
                </c:pt>
                <c:pt idx="1">
                  <c:v>150.80000000000001</c:v>
                </c:pt>
                <c:pt idx="2">
                  <c:v>135.19999999999999</c:v>
                </c:pt>
                <c:pt idx="3">
                  <c:v>139.4</c:v>
                </c:pt>
                <c:pt idx="4">
                  <c:v>127.5</c:v>
                </c:pt>
                <c:pt idx="5">
                  <c:v>144.30000000000001</c:v>
                </c:pt>
                <c:pt idx="6">
                  <c:v>126.3</c:v>
                </c:pt>
                <c:pt idx="7">
                  <c:v>132.69999999999999</c:v>
                </c:pt>
                <c:pt idx="8">
                  <c:v>115</c:v>
                </c:pt>
                <c:pt idx="9">
                  <c:v>137.19999999999999</c:v>
                </c:pt>
                <c:pt idx="10">
                  <c:v>124.4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指数持续更新!$A$17</c:f>
              <c:strCache>
                <c:ptCount val="1"/>
                <c:pt idx="0">
                  <c:v>库存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accent6"/>
                </a:solidFill>
              </a:ln>
            </c:spPr>
          </c:marker>
          <c:cat>
            <c:multiLvlStrRef>
              <c:f>指数持续更新!$B$13:$L$14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指数持续更新!$B$17:$L$17</c:f>
              <c:numCache>
                <c:formatCode>General</c:formatCode>
                <c:ptCount val="11"/>
                <c:pt idx="0">
                  <c:v>95.5</c:v>
                </c:pt>
                <c:pt idx="1">
                  <c:v>91.4</c:v>
                </c:pt>
                <c:pt idx="2">
                  <c:v>94.5</c:v>
                </c:pt>
                <c:pt idx="3">
                  <c:v>96</c:v>
                </c:pt>
                <c:pt idx="4">
                  <c:v>96.9</c:v>
                </c:pt>
                <c:pt idx="5">
                  <c:v>102.9</c:v>
                </c:pt>
                <c:pt idx="6">
                  <c:v>96.2</c:v>
                </c:pt>
                <c:pt idx="7">
                  <c:v>95.2</c:v>
                </c:pt>
                <c:pt idx="8">
                  <c:v>98.7</c:v>
                </c:pt>
                <c:pt idx="9">
                  <c:v>97.5</c:v>
                </c:pt>
                <c:pt idx="10">
                  <c:v>97.5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5354240"/>
        <c:axId val="455364608"/>
      </c:lineChart>
      <c:catAx>
        <c:axId val="45535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455364608"/>
        <c:crossesAt val="80"/>
        <c:auto val="1"/>
        <c:lblAlgn val="ctr"/>
        <c:lblOffset val="100"/>
        <c:noMultiLvlLbl val="0"/>
      </c:catAx>
      <c:valAx>
        <c:axId val="455364608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45535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指数持续更新!$A$38</c:f>
              <c:strCache>
                <c:ptCount val="1"/>
                <c:pt idx="0">
                  <c:v>销售总指数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指数持续更新!$B$36:$L$37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指数持续更新!$B$38:$L$38</c:f>
              <c:numCache>
                <c:formatCode>General</c:formatCode>
                <c:ptCount val="11"/>
                <c:pt idx="0">
                  <c:v>126.9</c:v>
                </c:pt>
                <c:pt idx="1">
                  <c:v>148.30000000000001</c:v>
                </c:pt>
                <c:pt idx="2">
                  <c:v>136.30000000000001</c:v>
                </c:pt>
                <c:pt idx="3">
                  <c:v>140.6</c:v>
                </c:pt>
                <c:pt idx="4">
                  <c:v>121.4</c:v>
                </c:pt>
                <c:pt idx="5">
                  <c:v>141.19999999999999</c:v>
                </c:pt>
                <c:pt idx="6">
                  <c:v>128.6</c:v>
                </c:pt>
                <c:pt idx="7">
                  <c:v>132.30000000000001</c:v>
                </c:pt>
                <c:pt idx="8">
                  <c:v>112.3</c:v>
                </c:pt>
                <c:pt idx="9">
                  <c:v>133.19999999999999</c:v>
                </c:pt>
                <c:pt idx="10">
                  <c:v>127.3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9"/>
        <c:overlap val="-27"/>
        <c:axId val="455380992"/>
        <c:axId val="455382528"/>
      </c:barChart>
      <c:catAx>
        <c:axId val="45538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455382528"/>
        <c:crossesAt val="100"/>
        <c:auto val="1"/>
        <c:lblAlgn val="ctr"/>
        <c:lblOffset val="100"/>
        <c:noMultiLvlLbl val="0"/>
      </c:catAx>
      <c:valAx>
        <c:axId val="455382528"/>
        <c:scaling>
          <c:orientation val="minMax"/>
          <c:max val="170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455380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指数持续更新!$A$43</c:f>
              <c:strCache>
                <c:ptCount val="1"/>
                <c:pt idx="0">
                  <c:v>市场需求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指数持续更新!$B$41:$L$42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指数持续更新!$B$43:$L$43</c:f>
              <c:numCache>
                <c:formatCode>General</c:formatCode>
                <c:ptCount val="11"/>
                <c:pt idx="0">
                  <c:v>147.19999999999999</c:v>
                </c:pt>
                <c:pt idx="1">
                  <c:v>157.9</c:v>
                </c:pt>
                <c:pt idx="2">
                  <c:v>136.19999999999999</c:v>
                </c:pt>
                <c:pt idx="3">
                  <c:v>141.9</c:v>
                </c:pt>
                <c:pt idx="4">
                  <c:v>132.69999999999999</c:v>
                </c:pt>
                <c:pt idx="5">
                  <c:v>141.9</c:v>
                </c:pt>
                <c:pt idx="6">
                  <c:v>131.6</c:v>
                </c:pt>
                <c:pt idx="7">
                  <c:v>136.5</c:v>
                </c:pt>
                <c:pt idx="8">
                  <c:v>121.5</c:v>
                </c:pt>
                <c:pt idx="9">
                  <c:v>133.30000000000001</c:v>
                </c:pt>
                <c:pt idx="10">
                  <c:v>127.9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指数持续更新!$A$44</c:f>
              <c:strCache>
                <c:ptCount val="1"/>
                <c:pt idx="0">
                  <c:v>销售价格</c:v>
                </c:pt>
              </c:strCache>
            </c:strRef>
          </c:tx>
          <c:spPr>
            <a:effectLst/>
          </c:spPr>
          <c:marker>
            <c:symbol val="triangle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指数持续更新!$B$41:$L$42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指数持续更新!$B$44:$L$44</c:f>
              <c:numCache>
                <c:formatCode>General</c:formatCode>
                <c:ptCount val="11"/>
                <c:pt idx="0">
                  <c:v>123.4</c:v>
                </c:pt>
                <c:pt idx="1">
                  <c:v>111.9</c:v>
                </c:pt>
                <c:pt idx="2">
                  <c:v>107.8</c:v>
                </c:pt>
                <c:pt idx="3">
                  <c:v>107.1</c:v>
                </c:pt>
                <c:pt idx="4">
                  <c:v>103.6</c:v>
                </c:pt>
                <c:pt idx="5">
                  <c:v>105.2</c:v>
                </c:pt>
                <c:pt idx="6">
                  <c:v>99</c:v>
                </c:pt>
                <c:pt idx="7">
                  <c:v>103.3</c:v>
                </c:pt>
                <c:pt idx="8">
                  <c:v>101.5</c:v>
                </c:pt>
                <c:pt idx="9">
                  <c:v>102</c:v>
                </c:pt>
                <c:pt idx="10">
                  <c:v>101.7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指数持续更新!$A$45</c:f>
              <c:strCache>
                <c:ptCount val="1"/>
                <c:pt idx="0">
                  <c:v>订单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指数持续更新!$B$41:$L$42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指数持续更新!$B$45:$L$45</c:f>
              <c:numCache>
                <c:formatCode>General</c:formatCode>
                <c:ptCount val="11"/>
                <c:pt idx="0">
                  <c:v>103.8</c:v>
                </c:pt>
                <c:pt idx="1">
                  <c:v>154.69999999999999</c:v>
                </c:pt>
                <c:pt idx="2">
                  <c:v>142.9</c:v>
                </c:pt>
                <c:pt idx="3">
                  <c:v>143.69999999999999</c:v>
                </c:pt>
                <c:pt idx="4">
                  <c:v>118.3</c:v>
                </c:pt>
                <c:pt idx="5">
                  <c:v>151.6</c:v>
                </c:pt>
                <c:pt idx="6">
                  <c:v>132.80000000000001</c:v>
                </c:pt>
                <c:pt idx="7">
                  <c:v>132.4</c:v>
                </c:pt>
                <c:pt idx="8">
                  <c:v>104.3</c:v>
                </c:pt>
                <c:pt idx="9">
                  <c:v>144.30000000000001</c:v>
                </c:pt>
                <c:pt idx="10">
                  <c:v>130.6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指数持续更新!$A$46</c:f>
              <c:strCache>
                <c:ptCount val="1"/>
                <c:pt idx="0">
                  <c:v>盈亏</c:v>
                </c:pt>
              </c:strCache>
            </c:strRef>
          </c:tx>
          <c:marker>
            <c:symbol val="square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指数持续更新!$B$41:$L$42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指数持续更新!$B$46:$L$46</c:f>
              <c:numCache>
                <c:formatCode>General</c:formatCode>
                <c:ptCount val="11"/>
                <c:pt idx="0">
                  <c:v>121.7</c:v>
                </c:pt>
                <c:pt idx="1">
                  <c:v>153.19999999999999</c:v>
                </c:pt>
                <c:pt idx="2">
                  <c:v>145.69999999999999</c:v>
                </c:pt>
                <c:pt idx="3">
                  <c:v>154.4</c:v>
                </c:pt>
                <c:pt idx="4">
                  <c:v>121.8</c:v>
                </c:pt>
                <c:pt idx="5">
                  <c:v>151.1</c:v>
                </c:pt>
                <c:pt idx="6">
                  <c:v>138.19999999999999</c:v>
                </c:pt>
                <c:pt idx="7">
                  <c:v>145.4</c:v>
                </c:pt>
                <c:pt idx="8">
                  <c:v>116.7</c:v>
                </c:pt>
                <c:pt idx="9">
                  <c:v>141.4</c:v>
                </c:pt>
                <c:pt idx="10">
                  <c:v>137.4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485952"/>
        <c:axId val="185492224"/>
      </c:lineChart>
      <c:catAx>
        <c:axId val="18548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185492224"/>
        <c:crossesAt val="100"/>
        <c:auto val="1"/>
        <c:lblAlgn val="ctr"/>
        <c:lblOffset val="100"/>
        <c:noMultiLvlLbl val="0"/>
      </c:catAx>
      <c:valAx>
        <c:axId val="185492224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18548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指数持续更新!$A$68</c:f>
              <c:strCache>
                <c:ptCount val="1"/>
                <c:pt idx="0">
                  <c:v>资金景气指数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指数持续更新!$B$66:$L$67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指数持续更新!$B$68:$L$68</c:f>
              <c:numCache>
                <c:formatCode>General</c:formatCode>
                <c:ptCount val="11"/>
                <c:pt idx="0">
                  <c:v>138.6</c:v>
                </c:pt>
                <c:pt idx="1">
                  <c:v>146.19999999999999</c:v>
                </c:pt>
                <c:pt idx="2">
                  <c:v>144.19999999999999</c:v>
                </c:pt>
                <c:pt idx="3">
                  <c:v>142.1</c:v>
                </c:pt>
                <c:pt idx="4">
                  <c:v>138.30000000000001</c:v>
                </c:pt>
                <c:pt idx="5">
                  <c:v>141.69999999999999</c:v>
                </c:pt>
                <c:pt idx="6">
                  <c:v>137.9</c:v>
                </c:pt>
                <c:pt idx="7">
                  <c:v>131.9</c:v>
                </c:pt>
                <c:pt idx="8">
                  <c:v>134.5</c:v>
                </c:pt>
                <c:pt idx="9">
                  <c:v>132.6</c:v>
                </c:pt>
                <c:pt idx="10" formatCode="0.0_ ">
                  <c:v>131.19176222750031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9"/>
        <c:overlap val="-27"/>
        <c:axId val="455213824"/>
        <c:axId val="455215360"/>
      </c:barChart>
      <c:catAx>
        <c:axId val="45521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455215360"/>
        <c:crossesAt val="100"/>
        <c:auto val="1"/>
        <c:lblAlgn val="ctr"/>
        <c:lblOffset val="100"/>
        <c:noMultiLvlLbl val="0"/>
      </c:catAx>
      <c:valAx>
        <c:axId val="455215360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45521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指数持续更新!$A$73</c:f>
              <c:strCache>
                <c:ptCount val="1"/>
                <c:pt idx="0">
                  <c:v>融资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指数持续更新!$B$71:$L$72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指数持续更新!$B$73:$L$73</c:f>
              <c:numCache>
                <c:formatCode>General</c:formatCode>
                <c:ptCount val="11"/>
                <c:pt idx="0">
                  <c:v>122.2</c:v>
                </c:pt>
                <c:pt idx="1">
                  <c:v>140.9</c:v>
                </c:pt>
                <c:pt idx="2">
                  <c:v>128.6</c:v>
                </c:pt>
                <c:pt idx="3">
                  <c:v>121.6</c:v>
                </c:pt>
                <c:pt idx="4">
                  <c:v>117</c:v>
                </c:pt>
                <c:pt idx="5">
                  <c:v>135.5</c:v>
                </c:pt>
                <c:pt idx="6">
                  <c:v>125.2</c:v>
                </c:pt>
                <c:pt idx="7">
                  <c:v>118</c:v>
                </c:pt>
                <c:pt idx="8">
                  <c:v>116.2</c:v>
                </c:pt>
                <c:pt idx="9">
                  <c:v>112.8</c:v>
                </c:pt>
                <c:pt idx="10" formatCode="0.0_ ">
                  <c:v>111.57422389523407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指数持续更新!$A$74</c:f>
              <c:strCache>
                <c:ptCount val="1"/>
                <c:pt idx="0">
                  <c:v>投资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指数持续更新!$B$71:$L$72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指数持续更新!$B$74:$L$74</c:f>
              <c:numCache>
                <c:formatCode>General</c:formatCode>
                <c:ptCount val="11"/>
                <c:pt idx="0">
                  <c:v>124</c:v>
                </c:pt>
                <c:pt idx="1">
                  <c:v>131</c:v>
                </c:pt>
                <c:pt idx="2">
                  <c:v>126.2</c:v>
                </c:pt>
                <c:pt idx="3">
                  <c:v>121.9</c:v>
                </c:pt>
                <c:pt idx="4">
                  <c:v>124</c:v>
                </c:pt>
                <c:pt idx="5">
                  <c:v>122.3</c:v>
                </c:pt>
                <c:pt idx="6">
                  <c:v>116.2</c:v>
                </c:pt>
                <c:pt idx="7">
                  <c:v>119.1</c:v>
                </c:pt>
                <c:pt idx="8">
                  <c:v>107.7</c:v>
                </c:pt>
                <c:pt idx="9">
                  <c:v>126.2</c:v>
                </c:pt>
                <c:pt idx="10" formatCode="0.0_ ">
                  <c:v>117.97517653817238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指数持续更新!$A$75</c:f>
              <c:strCache>
                <c:ptCount val="1"/>
                <c:pt idx="0">
                  <c:v>资金周转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</c:spPr>
          </c:marker>
          <c:cat>
            <c:multiLvlStrRef>
              <c:f>指数持续更新!$B$71:$L$72</c:f>
              <c:multiLvlStrCache>
                <c:ptCount val="1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指数持续更新!$B$75:$L$75</c:f>
              <c:numCache>
                <c:formatCode>General</c:formatCode>
                <c:ptCount val="11"/>
                <c:pt idx="0">
                  <c:v>146.6</c:v>
                </c:pt>
                <c:pt idx="1">
                  <c:v>151.4</c:v>
                </c:pt>
                <c:pt idx="2">
                  <c:v>152.4</c:v>
                </c:pt>
                <c:pt idx="3">
                  <c:v>152</c:v>
                </c:pt>
                <c:pt idx="4">
                  <c:v>147.19999999999999</c:v>
                </c:pt>
                <c:pt idx="5">
                  <c:v>148.9</c:v>
                </c:pt>
                <c:pt idx="6">
                  <c:v>146.5</c:v>
                </c:pt>
                <c:pt idx="7">
                  <c:v>137.80000000000001</c:v>
                </c:pt>
                <c:pt idx="8">
                  <c:v>145.6</c:v>
                </c:pt>
                <c:pt idx="9">
                  <c:v>138.9</c:v>
                </c:pt>
                <c:pt idx="10" formatCode="0.0_ ">
                  <c:v>139.10662789418552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408128"/>
        <c:axId val="185414400"/>
      </c:lineChart>
      <c:catAx>
        <c:axId val="18540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185414400"/>
        <c:crossesAt val="100"/>
        <c:auto val="1"/>
        <c:lblAlgn val="ctr"/>
        <c:lblOffset val="100"/>
        <c:noMultiLvlLbl val="0"/>
      </c:catAx>
      <c:valAx>
        <c:axId val="185414400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zh-CN"/>
          </a:p>
        </c:txPr>
        <c:crossAx val="18540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"/>
          <c:y val="0.33651538349372989"/>
          <c:w val="0.18333333333333332"/>
          <c:h val="0.2343766404199475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B668-698D-4017-B069-8BF21295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753</Words>
  <Characters>4295</Characters>
  <Application>Microsoft Office Word</Application>
  <DocSecurity>0</DocSecurity>
  <Lines>35</Lines>
  <Paragraphs>10</Paragraphs>
  <ScaleCrop>false</ScaleCrop>
  <Company>Lenovo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ll</cp:lastModifiedBy>
  <cp:revision>5</cp:revision>
  <cp:lastPrinted>2016-09-07T09:24:00Z</cp:lastPrinted>
  <dcterms:created xsi:type="dcterms:W3CDTF">2016-10-25T03:06:00Z</dcterms:created>
  <dcterms:modified xsi:type="dcterms:W3CDTF">2016-11-17T02:35:00Z</dcterms:modified>
</cp:coreProperties>
</file>