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BE794" w14:textId="77777777" w:rsidR="006259D9" w:rsidRPr="00D446B2" w:rsidRDefault="006259D9" w:rsidP="006259D9">
      <w:pPr>
        <w:spacing w:beforeLines="100" w:before="312" w:line="360" w:lineRule="auto"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AD4338">
        <w:rPr>
          <w:rFonts w:ascii="黑体" w:eastAsia="黑体" w:hAnsi="黑体" w:cs="宋体" w:hint="eastAsia"/>
          <w:bCs/>
          <w:kern w:val="0"/>
          <w:sz w:val="32"/>
          <w:szCs w:val="32"/>
        </w:rPr>
        <w:t>2016上半年战略性新兴产业</w:t>
      </w:r>
      <w:r w:rsidR="003C128E">
        <w:rPr>
          <w:rFonts w:ascii="黑体" w:eastAsia="黑体" w:hAnsi="黑体" w:cs="宋体" w:hint="eastAsia"/>
          <w:bCs/>
          <w:kern w:val="0"/>
          <w:sz w:val="32"/>
          <w:szCs w:val="32"/>
        </w:rPr>
        <w:t>上市公司发展报告</w:t>
      </w:r>
    </w:p>
    <w:p w14:paraId="573FCC51" w14:textId="4B9C5D2F" w:rsidR="006259D9" w:rsidRPr="00FA34F2" w:rsidRDefault="006259D9" w:rsidP="006259D9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截止2016年2季度末，A股上市公司中共有1</w:t>
      </w:r>
      <w:r w:rsidR="00A95EEC">
        <w:rPr>
          <w:rFonts w:ascii="仿宋" w:eastAsia="仿宋" w:hAnsi="仿宋" w:hint="eastAsia"/>
          <w:sz w:val="30"/>
          <w:szCs w:val="30"/>
        </w:rPr>
        <w:t>044</w:t>
      </w:r>
      <w:r>
        <w:rPr>
          <w:rFonts w:ascii="仿宋" w:eastAsia="仿宋" w:hAnsi="仿宋" w:hint="eastAsia"/>
          <w:sz w:val="30"/>
          <w:szCs w:val="30"/>
        </w:rPr>
        <w:t>家战略性新兴产业企业</w:t>
      </w:r>
      <w:r w:rsidRPr="000D124D">
        <w:rPr>
          <w:rFonts w:ascii="仿宋" w:eastAsia="仿宋" w:hAnsi="仿宋" w:hint="eastAsia"/>
          <w:sz w:val="30"/>
          <w:szCs w:val="30"/>
        </w:rPr>
        <w:t>，</w:t>
      </w:r>
      <w:r w:rsidRPr="008F651A">
        <w:rPr>
          <w:rFonts w:ascii="仿宋" w:eastAsia="仿宋" w:hAnsi="仿宋" w:hint="eastAsia"/>
          <w:sz w:val="30"/>
          <w:szCs w:val="30"/>
        </w:rPr>
        <w:t>占上市公司总体的</w:t>
      </w:r>
      <w:r>
        <w:rPr>
          <w:rFonts w:ascii="仿宋" w:eastAsia="仿宋" w:hAnsi="仿宋" w:hint="eastAsia"/>
          <w:sz w:val="30"/>
          <w:szCs w:val="30"/>
        </w:rPr>
        <w:t>35.4</w:t>
      </w:r>
      <w:r w:rsidRPr="008F651A">
        <w:rPr>
          <w:rFonts w:ascii="仿宋" w:eastAsia="仿宋" w:hAnsi="仿宋" w:hint="eastAsia"/>
          <w:sz w:val="30"/>
          <w:szCs w:val="30"/>
        </w:rPr>
        <w:t>%。</w:t>
      </w:r>
      <w:r w:rsidRPr="00DF1309">
        <w:rPr>
          <w:rFonts w:ascii="仿宋" w:eastAsia="仿宋" w:hAnsi="仿宋" w:hint="eastAsia"/>
          <w:sz w:val="30"/>
          <w:szCs w:val="30"/>
        </w:rPr>
        <w:t>战略性新兴</w:t>
      </w:r>
      <w:r>
        <w:rPr>
          <w:rFonts w:ascii="仿宋" w:eastAsia="仿宋" w:hAnsi="仿宋" w:hint="eastAsia"/>
          <w:sz w:val="30"/>
          <w:szCs w:val="30"/>
        </w:rPr>
        <w:t>产业</w:t>
      </w:r>
      <w:r w:rsidRPr="00DF1309">
        <w:rPr>
          <w:rFonts w:ascii="仿宋" w:eastAsia="仿宋" w:hAnsi="仿宋" w:hint="eastAsia"/>
          <w:sz w:val="30"/>
          <w:szCs w:val="30"/>
        </w:rPr>
        <w:t>上市公司</w:t>
      </w:r>
      <w:r>
        <w:rPr>
          <w:rFonts w:ascii="仿宋" w:eastAsia="仿宋" w:hAnsi="仿宋" w:hint="eastAsia"/>
          <w:sz w:val="30"/>
          <w:szCs w:val="30"/>
        </w:rPr>
        <w:t>在主板</w:t>
      </w:r>
      <w:r w:rsidRPr="00DF1309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创业板、中小板分别有468</w:t>
      </w:r>
      <w:r w:rsidRPr="006C5DCC">
        <w:rPr>
          <w:rFonts w:ascii="仿宋" w:eastAsia="仿宋" w:hAnsi="仿宋" w:hint="eastAsia"/>
          <w:sz w:val="30"/>
          <w:szCs w:val="30"/>
        </w:rPr>
        <w:t>家、</w:t>
      </w:r>
      <w:r>
        <w:rPr>
          <w:rFonts w:ascii="仿宋" w:eastAsia="仿宋" w:hAnsi="仿宋" w:hint="eastAsia"/>
          <w:sz w:val="30"/>
          <w:szCs w:val="30"/>
        </w:rPr>
        <w:t>372</w:t>
      </w:r>
      <w:r w:rsidRPr="006C5DCC">
        <w:rPr>
          <w:rFonts w:ascii="仿宋" w:eastAsia="仿宋" w:hAnsi="仿宋" w:hint="eastAsia"/>
          <w:sz w:val="30"/>
          <w:szCs w:val="30"/>
        </w:rPr>
        <w:t>家以及</w:t>
      </w:r>
      <w:r>
        <w:rPr>
          <w:rFonts w:ascii="仿宋" w:eastAsia="仿宋" w:hAnsi="仿宋" w:hint="eastAsia"/>
          <w:sz w:val="30"/>
          <w:szCs w:val="30"/>
        </w:rPr>
        <w:t>306</w:t>
      </w:r>
      <w:r w:rsidRPr="006C5DCC">
        <w:rPr>
          <w:rFonts w:ascii="仿宋" w:eastAsia="仿宋" w:hAnsi="仿宋" w:hint="eastAsia"/>
          <w:sz w:val="30"/>
          <w:szCs w:val="30"/>
        </w:rPr>
        <w:t>家</w:t>
      </w:r>
      <w:r w:rsidRPr="00DF1309">
        <w:rPr>
          <w:rFonts w:ascii="仿宋" w:eastAsia="仿宋" w:hAnsi="仿宋" w:hint="eastAsia"/>
          <w:sz w:val="30"/>
          <w:szCs w:val="30"/>
        </w:rPr>
        <w:t>，</w:t>
      </w:r>
      <w:r w:rsidRPr="00EB0893">
        <w:rPr>
          <w:rFonts w:ascii="仿宋" w:eastAsia="仿宋" w:hAnsi="仿宋" w:hint="eastAsia"/>
          <w:sz w:val="30"/>
          <w:szCs w:val="30"/>
        </w:rPr>
        <w:t>占比分别达到了</w:t>
      </w:r>
      <w:r>
        <w:rPr>
          <w:rFonts w:ascii="仿宋" w:eastAsia="仿宋" w:hAnsi="仿宋" w:hint="eastAsia"/>
          <w:sz w:val="30"/>
          <w:szCs w:val="30"/>
        </w:rPr>
        <w:t>27.6</w:t>
      </w:r>
      <w:r w:rsidRPr="00397865">
        <w:rPr>
          <w:rFonts w:ascii="仿宋" w:eastAsia="仿宋" w:hAnsi="仿宋" w:hint="eastAsia"/>
          <w:sz w:val="30"/>
          <w:szCs w:val="30"/>
        </w:rPr>
        <w:t>%、69.4%以及3</w:t>
      </w:r>
      <w:r>
        <w:rPr>
          <w:rFonts w:ascii="仿宋" w:eastAsia="仿宋" w:hAnsi="仿宋" w:hint="eastAsia"/>
          <w:sz w:val="30"/>
          <w:szCs w:val="30"/>
        </w:rPr>
        <w:t>8.3</w:t>
      </w:r>
      <w:r w:rsidRPr="00397865">
        <w:rPr>
          <w:rFonts w:ascii="仿宋" w:eastAsia="仿宋" w:hAnsi="仿宋" w:hint="eastAsia"/>
          <w:sz w:val="30"/>
          <w:szCs w:val="30"/>
        </w:rPr>
        <w:t>%。</w:t>
      </w:r>
      <w:r w:rsidRPr="00335FC9">
        <w:rPr>
          <w:rFonts w:ascii="仿宋" w:eastAsia="仿宋" w:hAnsi="仿宋" w:hint="eastAsia"/>
          <w:sz w:val="30"/>
          <w:szCs w:val="30"/>
        </w:rPr>
        <w:t>201</w:t>
      </w:r>
      <w:r>
        <w:rPr>
          <w:rFonts w:ascii="仿宋" w:eastAsia="仿宋" w:hAnsi="仿宋" w:hint="eastAsia"/>
          <w:sz w:val="30"/>
          <w:szCs w:val="30"/>
        </w:rPr>
        <w:t>6</w:t>
      </w:r>
      <w:r w:rsidRPr="00335FC9">
        <w:rPr>
          <w:rFonts w:ascii="仿宋" w:eastAsia="仿宋" w:hAnsi="仿宋" w:hint="eastAsia"/>
          <w:sz w:val="30"/>
          <w:szCs w:val="30"/>
        </w:rPr>
        <w:t>年上半年，</w:t>
      </w:r>
      <w:r w:rsidRPr="0023687D">
        <w:rPr>
          <w:rFonts w:ascii="仿宋" w:eastAsia="仿宋" w:hAnsi="仿宋" w:hint="eastAsia"/>
          <w:sz w:val="30"/>
          <w:szCs w:val="30"/>
        </w:rPr>
        <w:t>战略性新兴产业上市公司维持了快速发展态势，增</w:t>
      </w:r>
      <w:r>
        <w:rPr>
          <w:rFonts w:ascii="仿宋" w:eastAsia="仿宋" w:hAnsi="仿宋" w:hint="eastAsia"/>
          <w:sz w:val="30"/>
          <w:szCs w:val="30"/>
        </w:rPr>
        <w:t>速</w:t>
      </w:r>
      <w:r w:rsidRPr="0023687D">
        <w:rPr>
          <w:rFonts w:ascii="仿宋" w:eastAsia="仿宋" w:hAnsi="仿宋" w:hint="eastAsia"/>
          <w:sz w:val="30"/>
          <w:szCs w:val="30"/>
        </w:rPr>
        <w:t>明显快</w:t>
      </w:r>
      <w:r>
        <w:rPr>
          <w:rFonts w:ascii="仿宋" w:eastAsia="仿宋" w:hAnsi="仿宋" w:hint="eastAsia"/>
          <w:sz w:val="30"/>
          <w:szCs w:val="30"/>
        </w:rPr>
        <w:t>于上市公司总体</w:t>
      </w:r>
      <w:r w:rsidRPr="0023687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且</w:t>
      </w:r>
      <w:r w:rsidRPr="00E13A87">
        <w:rPr>
          <w:rFonts w:ascii="仿宋" w:eastAsia="仿宋" w:hAnsi="仿宋" w:hint="eastAsia"/>
          <w:sz w:val="30"/>
          <w:szCs w:val="30"/>
        </w:rPr>
        <w:t>重点领域</w:t>
      </w:r>
      <w:r w:rsidR="00D04C48">
        <w:rPr>
          <w:rFonts w:ascii="仿宋" w:eastAsia="仿宋" w:hAnsi="仿宋" w:hint="eastAsia"/>
          <w:sz w:val="30"/>
          <w:szCs w:val="30"/>
        </w:rPr>
        <w:t>继续</w:t>
      </w:r>
      <w:r w:rsidRPr="00E13A87">
        <w:rPr>
          <w:rFonts w:ascii="仿宋" w:eastAsia="仿宋" w:hAnsi="仿宋" w:hint="eastAsia"/>
          <w:sz w:val="30"/>
          <w:szCs w:val="30"/>
        </w:rPr>
        <w:t>维持</w:t>
      </w:r>
      <w:r w:rsidR="00D04C48">
        <w:rPr>
          <w:rFonts w:ascii="仿宋" w:eastAsia="仿宋" w:hAnsi="仿宋" w:hint="eastAsia"/>
          <w:sz w:val="30"/>
          <w:szCs w:val="30"/>
        </w:rPr>
        <w:t>较高</w:t>
      </w:r>
      <w:r w:rsidRPr="00E13A87">
        <w:rPr>
          <w:rFonts w:ascii="仿宋" w:eastAsia="仿宋" w:hAnsi="仿宋" w:hint="eastAsia"/>
          <w:sz w:val="30"/>
          <w:szCs w:val="30"/>
        </w:rPr>
        <w:t>增长</w:t>
      </w:r>
      <w:r>
        <w:rPr>
          <w:rFonts w:ascii="仿宋" w:eastAsia="仿宋" w:hAnsi="仿宋" w:hint="eastAsia"/>
          <w:sz w:val="30"/>
          <w:szCs w:val="30"/>
        </w:rPr>
        <w:t>，有效</w:t>
      </w:r>
      <w:r w:rsidRPr="0023687D">
        <w:rPr>
          <w:rFonts w:ascii="仿宋" w:eastAsia="仿宋" w:hAnsi="仿宋" w:hint="eastAsia"/>
          <w:sz w:val="30"/>
          <w:szCs w:val="30"/>
        </w:rPr>
        <w:t>支撑经济社会发展。</w:t>
      </w:r>
    </w:p>
    <w:p w14:paraId="458E1811" w14:textId="77777777" w:rsidR="006259D9" w:rsidRPr="0020765F" w:rsidRDefault="006259D9" w:rsidP="00E8320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0765F">
        <w:rPr>
          <w:rFonts w:ascii="仿宋" w:eastAsia="仿宋" w:hAnsi="仿宋" w:hint="eastAsia"/>
          <w:b/>
          <w:sz w:val="30"/>
          <w:szCs w:val="30"/>
        </w:rPr>
        <w:t>一、战略性新兴产业上市公司保持良好发展态势</w:t>
      </w:r>
    </w:p>
    <w:p w14:paraId="773E1971" w14:textId="77777777" w:rsidR="006259D9" w:rsidRDefault="006259D9" w:rsidP="00E8320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（一）战略性新兴产业</w:t>
      </w:r>
      <w:r w:rsidRPr="00574EDC">
        <w:rPr>
          <w:rFonts w:ascii="仿宋" w:eastAsia="仿宋" w:hAnsi="仿宋" w:hint="eastAsia"/>
          <w:b/>
          <w:sz w:val="30"/>
          <w:szCs w:val="30"/>
        </w:rPr>
        <w:t>上市公司</w:t>
      </w:r>
      <w:r>
        <w:rPr>
          <w:rFonts w:ascii="仿宋" w:eastAsia="仿宋" w:hAnsi="仿宋" w:hint="eastAsia"/>
          <w:b/>
          <w:sz w:val="30"/>
          <w:szCs w:val="30"/>
        </w:rPr>
        <w:t>业绩稳步攀升</w:t>
      </w:r>
    </w:p>
    <w:p w14:paraId="2462F904" w14:textId="0AA7778E" w:rsidR="006259D9" w:rsidRPr="00D13CDA" w:rsidRDefault="006259D9" w:rsidP="006259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2016</w:t>
      </w:r>
      <w:r w:rsidRPr="00000D33">
        <w:rPr>
          <w:rFonts w:ascii="仿宋" w:eastAsia="仿宋" w:hAnsi="仿宋" w:hint="eastAsia"/>
          <w:sz w:val="30"/>
          <w:szCs w:val="30"/>
        </w:rPr>
        <w:t>年上半年，面对复杂的国内外经济环境和不断加大的下行压力，</w:t>
      </w:r>
      <w:r w:rsidR="00B652D2">
        <w:rPr>
          <w:rFonts w:ascii="仿宋" w:eastAsia="仿宋" w:hAnsi="仿宋" w:hint="eastAsia"/>
          <w:sz w:val="30"/>
          <w:szCs w:val="30"/>
        </w:rPr>
        <w:t>战略性新兴产业持续发挥引领增长作用</w:t>
      </w:r>
      <w:r>
        <w:rPr>
          <w:rFonts w:ascii="仿宋" w:eastAsia="仿宋" w:hAnsi="仿宋" w:hint="eastAsia"/>
          <w:sz w:val="30"/>
          <w:szCs w:val="30"/>
        </w:rPr>
        <w:t>，</w:t>
      </w:r>
      <w:r w:rsidR="00642171">
        <w:rPr>
          <w:rFonts w:ascii="仿宋" w:eastAsia="仿宋" w:hAnsi="仿宋" w:hint="eastAsia"/>
          <w:sz w:val="30"/>
          <w:szCs w:val="30"/>
        </w:rPr>
        <w:t>战略性新兴产业</w:t>
      </w:r>
      <w:r w:rsidRPr="00AF16AC">
        <w:rPr>
          <w:rFonts w:ascii="仿宋" w:eastAsia="仿宋" w:hAnsi="仿宋" w:hint="eastAsia"/>
          <w:sz w:val="30"/>
          <w:szCs w:val="30"/>
        </w:rPr>
        <w:t>上市公司</w:t>
      </w:r>
      <w:bookmarkStart w:id="0" w:name="_GoBack"/>
      <w:bookmarkEnd w:id="0"/>
      <w:r w:rsidRPr="008C7AD9">
        <w:rPr>
          <w:rFonts w:ascii="仿宋" w:eastAsia="仿宋" w:hAnsi="仿宋" w:hint="eastAsia"/>
          <w:sz w:val="30"/>
          <w:szCs w:val="30"/>
        </w:rPr>
        <w:t>经营</w:t>
      </w:r>
      <w:r w:rsidRPr="00AF16AC">
        <w:rPr>
          <w:rFonts w:ascii="仿宋" w:eastAsia="仿宋" w:hAnsi="仿宋" w:hint="eastAsia"/>
          <w:sz w:val="30"/>
          <w:szCs w:val="30"/>
        </w:rPr>
        <w:t>业绩在一季度基础上继续稳步攀升</w:t>
      </w:r>
      <w:r w:rsidRPr="008C7AD9">
        <w:rPr>
          <w:rFonts w:ascii="仿宋" w:eastAsia="仿宋" w:hAnsi="仿宋" w:hint="eastAsia"/>
          <w:sz w:val="30"/>
          <w:szCs w:val="30"/>
        </w:rPr>
        <w:t>。上半年，</w:t>
      </w:r>
      <w:r w:rsidRPr="00AF16AC">
        <w:rPr>
          <w:rFonts w:ascii="仿宋" w:eastAsia="仿宋" w:hAnsi="仿宋" w:hint="eastAsia"/>
          <w:sz w:val="30"/>
          <w:szCs w:val="30"/>
        </w:rPr>
        <w:t>上市公司整体</w:t>
      </w:r>
      <w:r w:rsidRPr="008C7AD9">
        <w:rPr>
          <w:rFonts w:ascii="仿宋" w:eastAsia="仿宋" w:hAnsi="仿宋" w:hint="eastAsia"/>
          <w:sz w:val="30"/>
          <w:szCs w:val="30"/>
        </w:rPr>
        <w:t>营收增速为</w:t>
      </w:r>
      <w:r w:rsidRPr="008C7AD9">
        <w:rPr>
          <w:rFonts w:ascii="仿宋" w:eastAsia="仿宋" w:hAnsi="仿宋"/>
          <w:sz w:val="30"/>
          <w:szCs w:val="30"/>
        </w:rPr>
        <w:t>3.4%，</w:t>
      </w:r>
      <w:r w:rsidR="00871C16">
        <w:rPr>
          <w:rFonts w:ascii="仿宋" w:eastAsia="仿宋" w:hAnsi="仿宋" w:hint="eastAsia"/>
          <w:sz w:val="30"/>
          <w:szCs w:val="30"/>
        </w:rPr>
        <w:t>同比上升</w:t>
      </w:r>
      <w:r w:rsidR="007D77E1" w:rsidRPr="008C7AD9">
        <w:rPr>
          <w:rFonts w:ascii="仿宋" w:eastAsia="仿宋" w:hAnsi="仿宋"/>
          <w:sz w:val="30"/>
          <w:szCs w:val="30"/>
        </w:rPr>
        <w:t>1.9个百分点</w:t>
      </w:r>
      <w:r w:rsidR="007D77E1" w:rsidRPr="008C7AD9">
        <w:rPr>
          <w:rFonts w:ascii="仿宋" w:eastAsia="仿宋" w:hAnsi="仿宋" w:hint="eastAsia"/>
          <w:sz w:val="30"/>
          <w:szCs w:val="30"/>
        </w:rPr>
        <w:t>。</w:t>
      </w:r>
      <w:r w:rsidRPr="008C7AD9">
        <w:rPr>
          <w:rFonts w:ascii="仿宋" w:eastAsia="仿宋" w:hAnsi="仿宋" w:hint="eastAsia"/>
          <w:sz w:val="30"/>
          <w:szCs w:val="30"/>
        </w:rPr>
        <w:t>同期，</w:t>
      </w:r>
      <w:r w:rsidRPr="00642A16">
        <w:rPr>
          <w:rFonts w:ascii="仿宋" w:eastAsia="仿宋" w:hAnsi="仿宋" w:hint="eastAsia"/>
          <w:sz w:val="30"/>
          <w:szCs w:val="30"/>
        </w:rPr>
        <w:t>战略性新兴产业上市公司实现营收</w:t>
      </w:r>
      <w:r>
        <w:rPr>
          <w:rFonts w:ascii="仿宋" w:eastAsia="仿宋" w:hAnsi="仿宋" w:hint="eastAsia"/>
          <w:sz w:val="30"/>
          <w:szCs w:val="30"/>
        </w:rPr>
        <w:t>13135.9</w:t>
      </w:r>
      <w:r w:rsidRPr="00642A16">
        <w:rPr>
          <w:rFonts w:ascii="仿宋" w:eastAsia="仿宋" w:hAnsi="仿宋" w:hint="eastAsia"/>
          <w:sz w:val="30"/>
          <w:szCs w:val="30"/>
        </w:rPr>
        <w:t>亿元，</w:t>
      </w:r>
      <w:r w:rsidRPr="006F7EFB">
        <w:rPr>
          <w:rFonts w:ascii="仿宋" w:eastAsia="仿宋" w:hAnsi="仿宋" w:hint="eastAsia"/>
          <w:sz w:val="30"/>
          <w:szCs w:val="30"/>
        </w:rPr>
        <w:t>同比增长1</w:t>
      </w:r>
      <w:r>
        <w:rPr>
          <w:rFonts w:ascii="仿宋" w:eastAsia="仿宋" w:hAnsi="仿宋" w:hint="eastAsia"/>
          <w:sz w:val="30"/>
          <w:szCs w:val="30"/>
        </w:rPr>
        <w:t>7</w:t>
      </w:r>
      <w:r w:rsidRPr="006F7EFB">
        <w:rPr>
          <w:rFonts w:ascii="仿宋" w:eastAsia="仿宋" w:hAnsi="仿宋" w:hint="eastAsia"/>
          <w:sz w:val="30"/>
          <w:szCs w:val="30"/>
        </w:rPr>
        <w:t>.2%，</w:t>
      </w:r>
      <w:r>
        <w:rPr>
          <w:rFonts w:ascii="仿宋" w:eastAsia="仿宋" w:hAnsi="仿宋" w:hint="eastAsia"/>
          <w:sz w:val="30"/>
          <w:szCs w:val="30"/>
        </w:rPr>
        <w:t>高于上市公司整体13.8个百分点</w:t>
      </w:r>
      <w:r w:rsidR="00871C16">
        <w:rPr>
          <w:rFonts w:ascii="仿宋" w:eastAsia="仿宋" w:hAnsi="仿宋" w:hint="eastAsia"/>
          <w:sz w:val="30"/>
          <w:szCs w:val="30"/>
        </w:rPr>
        <w:t>，</w:t>
      </w:r>
      <w:r w:rsidR="00871C16" w:rsidRPr="00726C6D">
        <w:rPr>
          <w:rFonts w:ascii="仿宋" w:eastAsia="仿宋" w:hAnsi="仿宋" w:hint="eastAsia"/>
          <w:sz w:val="30"/>
          <w:szCs w:val="30"/>
        </w:rPr>
        <w:t>成为经济新动能的</w:t>
      </w:r>
      <w:r w:rsidR="00871C16">
        <w:rPr>
          <w:rFonts w:ascii="仿宋" w:eastAsia="仿宋" w:hAnsi="仿宋" w:hint="eastAsia"/>
          <w:sz w:val="30"/>
          <w:szCs w:val="30"/>
        </w:rPr>
        <w:t>重要组成部分</w:t>
      </w:r>
      <w:r w:rsidR="00871C16" w:rsidRPr="00D13CDA">
        <w:rPr>
          <w:rFonts w:ascii="仿宋" w:eastAsia="仿宋" w:hAnsi="仿宋" w:hint="eastAsia"/>
          <w:sz w:val="30"/>
          <w:szCs w:val="30"/>
        </w:rPr>
        <w:t>（见图1）</w:t>
      </w:r>
      <w:r w:rsidR="00871C16" w:rsidRPr="00684070">
        <w:rPr>
          <w:rFonts w:ascii="仿宋" w:eastAsia="仿宋" w:hAnsi="仿宋" w:hint="eastAsia"/>
          <w:sz w:val="30"/>
          <w:szCs w:val="30"/>
        </w:rPr>
        <w:t>。</w:t>
      </w:r>
      <w:r w:rsidR="00871C16">
        <w:rPr>
          <w:rFonts w:ascii="仿宋" w:eastAsia="仿宋" w:hAnsi="仿宋" w:hint="eastAsia"/>
          <w:sz w:val="30"/>
          <w:szCs w:val="30"/>
        </w:rPr>
        <w:t>二季度，</w:t>
      </w:r>
      <w:r w:rsidRPr="00D13CDA">
        <w:rPr>
          <w:rFonts w:ascii="仿宋" w:eastAsia="仿宋" w:hAnsi="仿宋" w:hint="eastAsia"/>
          <w:sz w:val="30"/>
          <w:szCs w:val="30"/>
        </w:rPr>
        <w:t>战略性新兴产业上市公司实现利润总额1390.7亿元，</w:t>
      </w:r>
      <w:r w:rsidR="00441A01">
        <w:rPr>
          <w:rFonts w:ascii="仿宋" w:eastAsia="仿宋" w:hAnsi="仿宋" w:hint="eastAsia"/>
          <w:sz w:val="30"/>
          <w:szCs w:val="30"/>
        </w:rPr>
        <w:t>增速达24.3%</w:t>
      </w:r>
      <w:r w:rsidRPr="00D13CDA">
        <w:rPr>
          <w:rFonts w:ascii="仿宋" w:eastAsia="仿宋" w:hAnsi="仿宋" w:hint="eastAsia"/>
          <w:sz w:val="30"/>
          <w:szCs w:val="30"/>
        </w:rPr>
        <w:t>，增速维持在过去12个季度以来的平均水平，同期上市公司整体盈利状况继续下滑，下滑速度达到3.9%（见图2）。</w:t>
      </w:r>
      <w:r w:rsidR="00E25BC1">
        <w:rPr>
          <w:rFonts w:ascii="仿宋" w:eastAsia="仿宋" w:hAnsi="仿宋" w:hint="eastAsia"/>
          <w:sz w:val="30"/>
          <w:szCs w:val="30"/>
        </w:rPr>
        <w:t>战略性新兴产业良好的利润收益为其</w:t>
      </w:r>
      <w:r w:rsidR="00E25BC1">
        <w:rPr>
          <w:rFonts w:ascii="仿宋" w:eastAsia="仿宋" w:hAnsi="仿宋" w:hint="eastAsia"/>
          <w:sz w:val="30"/>
          <w:szCs w:val="30"/>
        </w:rPr>
        <w:lastRenderedPageBreak/>
        <w:t>后续持续发展提供了保障。</w:t>
      </w:r>
    </w:p>
    <w:p w14:paraId="03F7D6C3" w14:textId="77777777" w:rsidR="006259D9" w:rsidRDefault="00E25BC1" w:rsidP="00E25BC1">
      <w:pPr>
        <w:spacing w:line="360" w:lineRule="auto"/>
        <w:ind w:firstLineChars="200" w:firstLine="562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FF1AB07" wp14:editId="3D6EC830">
            <wp:simplePos x="0" y="0"/>
            <wp:positionH relativeFrom="column">
              <wp:posOffset>-438150</wp:posOffset>
            </wp:positionH>
            <wp:positionV relativeFrom="paragraph">
              <wp:posOffset>266700</wp:posOffset>
            </wp:positionV>
            <wp:extent cx="5981700" cy="2280920"/>
            <wp:effectExtent l="0" t="0" r="0" b="0"/>
            <wp:wrapNone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6B52E" w14:textId="77777777" w:rsidR="0030101F" w:rsidRDefault="0030101F" w:rsidP="006259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74918458" w14:textId="77777777" w:rsidR="006259D9" w:rsidRDefault="006259D9" w:rsidP="006259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D8F0D9F" w14:textId="77777777" w:rsidR="006259D9" w:rsidRDefault="006259D9" w:rsidP="006259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440A44BC" w14:textId="77777777" w:rsidR="006259D9" w:rsidRDefault="006259D9" w:rsidP="006259D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58FBAE12" w14:textId="77777777" w:rsidR="006259D9" w:rsidRPr="001E41A8" w:rsidRDefault="006259D9" w:rsidP="00E25BC1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4A51D735" w14:textId="77777777" w:rsidR="001E41A8" w:rsidRDefault="00E25BC1" w:rsidP="00E25BC1">
      <w:pPr>
        <w:spacing w:beforeLines="100" w:before="312" w:line="360" w:lineRule="auto"/>
        <w:ind w:firstLineChars="200" w:firstLine="420"/>
        <w:rPr>
          <w:rFonts w:ascii="仿宋" w:eastAsia="仿宋" w:hAnsi="仿宋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0E9BD" wp14:editId="097DAC2E">
                <wp:simplePos x="0" y="0"/>
                <wp:positionH relativeFrom="column">
                  <wp:posOffset>184785</wp:posOffset>
                </wp:positionH>
                <wp:positionV relativeFrom="paragraph">
                  <wp:posOffset>193040</wp:posOffset>
                </wp:positionV>
                <wp:extent cx="4788535" cy="289560"/>
                <wp:effectExtent l="0" t="0" r="0" b="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BACA2" w14:textId="77777777" w:rsidR="006259D9" w:rsidRPr="00F11A1B" w:rsidRDefault="006259D9" w:rsidP="006259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战略性新兴产业上市公司营收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累计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增速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季度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D0E9B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.55pt;margin-top:15.2pt;width:377.05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89kwIAABEFAAAOAAAAZHJzL2Uyb0RvYy54bWysVM2O0zAQviPxDpbv3fyQtEm06YrdJQhp&#10;+ZEWHsBNnMbCsY3tNlkQV3gDTly481z7HIydtlsWkBAiB8f2jD/PzPeNT8/GnqMt1YZJUeLoJMSI&#10;ilo2TKxL/OZ1NcswMpaIhnApaIlvqMFny4cPTgdV0Fh2kjdUIwARphhUiTtrVREEpu5oT8yJVFSA&#10;sZW6JxaWeh00mgyA3vMgDsN5MEjdKC1ragzsXk5GvPT4bUtr+7JtDbWIlxhis37Ufly5MViekmKt&#10;iepYvQuD/EMUPWECLj1AXRJL0EazX6B6VmtpZGtPatkHsm1ZTX0OkE0U3svmuiOK+lygOEYdymT+&#10;H2z9YvtKI9aUOJ5jJEgPHN1++Xz79fvtt08odvUZlCnA7VqBox3P5Qg8+1yNupL1W4OEvOiIWNPH&#10;Wsuho6SB+CJ3Mjg6OuEYB7IanssG7iEbKz3Q2OreFQ/KgQAdeLo5cENHi2rYTBZZlj5KMarBFmd5&#10;OvfkBaTYn1ba2KdU9shNSqyBe49OtlfGumhIsXdxlxnJWVMxzv1Cr1cXXKMtAZ1U/vMJ3HPjwjkL&#10;6Y5NiNMOBAl3OJsL1/P+IY/iJDyP81k1zxazpErSWb4Is1kY5ef5PEzy5LL66AKMkqJjTUPFFRN0&#10;r8Eo+TuOd90wqcerEA0lztM4nSj6Y5Kh/36XZM8stCRnfYmzgxMpHLFPRANpk8ISxqd58HP4vspQ&#10;g/3fV8XLwDE/acCOqxFQnDZWsrkBQWgJfAHr8I7ApJP6PUYD9GSJzbsN0RQj/kyAqPIoSVwT+0WS&#10;LmJY6GPL6thCRA1QJbYYTdMLOzX+Rmm27uCmvYwfgxAr5jVyF9VOvtB3PpndG+Ea+3jtve5esuUP&#10;AAAA//8DAFBLAwQUAAYACAAAACEAiq1Fpd4AAAAIAQAADwAAAGRycy9kb3ducmV2LnhtbEyPzU7D&#10;MBCE70i8g7VI3KjdFEoJcaqKigsHJApSe3TjTRzhn8h20/D2LCd6m9WMZr6t1pOzbMSY+uAlzGcC&#10;GPom6N53Er4+X+9WwFJWXisbPEr4wQTr+vqqUqUOZ/+B4y53jEp8KpUEk/NQcp4ag06lWRjQk9eG&#10;6FSmM3ZcR3Wmcmd5IcSSO9V7WjBqwBeDzffu5CTsnen1Nr4fWm3H7Vu7eRimOEh5ezNtnoFlnPJ/&#10;GP7wCR1qYjqGk9eJWQnF05ySEhbiHhj5j6tFAexIYimA1xW/fKD+BQAA//8DAFBLAQItABQABgAI&#10;AAAAIQC2gziS/gAAAOEBAAATAAAAAAAAAAAAAAAAAAAAAABbQ29udGVudF9UeXBlc10ueG1sUEsB&#10;Ai0AFAAGAAgAAAAhADj9If/WAAAAlAEAAAsAAAAAAAAAAAAAAAAALwEAAF9yZWxzLy5yZWxzUEsB&#10;Ai0AFAAGAAgAAAAhAH3WPz2TAgAAEQUAAA4AAAAAAAAAAAAAAAAALgIAAGRycy9lMm9Eb2MueG1s&#10;UEsBAi0AFAAGAAgAAAAhAIqtRaXeAAAACAEAAA8AAAAAAAAAAAAAAAAA7QQAAGRycy9kb3ducmV2&#10;LnhtbFBLBQYAAAAABAAEAPMAAAD4BQAAAAA=&#10;" stroked="f">
                <v:textbox style="mso-fit-shape-to-text:t">
                  <w:txbxContent>
                    <w:p w14:paraId="269BACA2" w14:textId="77777777" w:rsidR="006259D9" w:rsidRPr="00F11A1B" w:rsidRDefault="006259D9" w:rsidP="006259D9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Pr="00F11A1B">
                        <w:rPr>
                          <w:rFonts w:hint="eastAsia"/>
                          <w:b/>
                        </w:rPr>
                        <w:t>战略性新兴产业上市公司营收</w:t>
                      </w:r>
                      <w:r>
                        <w:rPr>
                          <w:rFonts w:hint="eastAsia"/>
                          <w:b/>
                        </w:rPr>
                        <w:t>累计</w:t>
                      </w:r>
                      <w:r w:rsidRPr="00F11A1B">
                        <w:rPr>
                          <w:rFonts w:hint="eastAsia"/>
                          <w:b/>
                        </w:rPr>
                        <w:t>增速</w:t>
                      </w:r>
                      <w:r>
                        <w:rPr>
                          <w:rFonts w:hint="eastAsia"/>
                          <w:b/>
                        </w:rPr>
                        <w:t>季度</w:t>
                      </w:r>
                      <w:r w:rsidRPr="00F11A1B">
                        <w:rPr>
                          <w:rFonts w:hint="eastAsia"/>
                          <w:b/>
                        </w:rPr>
                        <w:t>变化</w:t>
                      </w:r>
                    </w:p>
                  </w:txbxContent>
                </v:textbox>
              </v:shape>
            </w:pict>
          </mc:Fallback>
        </mc:AlternateContent>
      </w:r>
    </w:p>
    <w:p w14:paraId="40B9F0F5" w14:textId="77777777" w:rsidR="006259D9" w:rsidRDefault="00E25BC1" w:rsidP="00E25BC1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sz w:val="30"/>
          <w:szCs w:val="30"/>
        </w:rPr>
      </w:pPr>
      <w:r>
        <w:rPr>
          <w:rFonts w:ascii="黑体" w:eastAsia="黑体" w:hAnsi="黑体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E329005" wp14:editId="5E8FD7C7">
            <wp:simplePos x="0" y="0"/>
            <wp:positionH relativeFrom="column">
              <wp:posOffset>-171450</wp:posOffset>
            </wp:positionH>
            <wp:positionV relativeFrom="paragraph">
              <wp:posOffset>11430</wp:posOffset>
            </wp:positionV>
            <wp:extent cx="5464810" cy="2133600"/>
            <wp:effectExtent l="0" t="0" r="0" b="0"/>
            <wp:wrapNone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DC5A4" w14:textId="77777777" w:rsidR="006259D9" w:rsidRDefault="006259D9" w:rsidP="006259D9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14:paraId="0073E7DE" w14:textId="77777777" w:rsidR="006259D9" w:rsidRDefault="006259D9" w:rsidP="006259D9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14:paraId="7992E778" w14:textId="77777777" w:rsidR="006259D9" w:rsidRDefault="006259D9" w:rsidP="006259D9">
      <w:pPr>
        <w:spacing w:beforeLines="100" w:before="312" w:line="360" w:lineRule="auto"/>
        <w:ind w:firstLineChars="200" w:firstLine="420"/>
        <w:rPr>
          <w:rFonts w:ascii="仿宋" w:eastAsia="仿宋" w:hAnsi="仿宋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18AD2" wp14:editId="7E36F92B">
                <wp:simplePos x="0" y="0"/>
                <wp:positionH relativeFrom="column">
                  <wp:posOffset>487680</wp:posOffset>
                </wp:positionH>
                <wp:positionV relativeFrom="paragraph">
                  <wp:posOffset>386715</wp:posOffset>
                </wp:positionV>
                <wp:extent cx="4001135" cy="289560"/>
                <wp:effectExtent l="0" t="0" r="0" b="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C1699" w14:textId="77777777" w:rsidR="006259D9" w:rsidRPr="00F11A1B" w:rsidRDefault="006259D9" w:rsidP="006259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战略性新兴产业上市公司利润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累计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增速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季度</w:t>
                            </w:r>
                            <w:r w:rsidRPr="00F11A1B">
                              <w:rPr>
                                <w:rFonts w:hint="eastAsia"/>
                                <w:b/>
                              </w:rPr>
                              <w:t>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318A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8.4pt;margin-top:30.45pt;width:315.0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FfhAIAABc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E+&#10;x0iRHjh64KNH13pERSjPYFwFXvcG/PwI20BzTNWZO00/O6T0TUfUhl9Zq4eOEwbhZeFkcnJ0wnEB&#10;ZD280wyuIVuvI9DY2j7UDqqBAB1oejxSE0KhsFmkaZa9ghAp2PJlOV9E7hJSHU4b6/wbrnsUJjW2&#10;QH1EJ7s750M0pDq4hMucloI1Qsq4sJv1jbRoR0AmTfxiAs/cpArOSodjE+K0A0HCHcEWwo20fyuz&#10;vEiv83LWLJbns6Ip5rPyPF3O0qy8LhdpURa3zfcQYFZUnWCMqzuh+EGCWfF3FO+bYRJPFCEaalzO&#10;gcyY1x+TTOP3uyR74aEjpehrvDw6kSoQ+1oxSJtUngg5zZOfw49Vhhoc/rEqUQaB+UkDflyPUXBR&#10;I0Eia80eQRdWA21APrwmMOm0/YrRAJ1ZY/dlSyzHSL5VoK0yK4rQynFRzM9zWNhTy/rUQhQFqBp7&#10;jKbpjZ/af2us2HRw00HNV6DHRkSpPEW1VzF0X8xp/1KE9j5dR6+n92z1AwAA//8DAFBLAwQUAAYA&#10;CAAAACEAqovxc90AAAAJAQAADwAAAGRycy9kb3ducmV2LnhtbEyPwU7DMBBE70j8g7VI3KhdpLoQ&#10;4lQIiQvqgbYcOLrxEofE6xA7bfh7lhPcdjWjmTflZg69OOGY2kgGlgsFAqmOrqXGwNvh+eYORMqW&#10;nO0joYFvTLCpLi9KW7h4ph2e9rkRHEKpsAZ8zkMhZao9BpsWcUBi7SOOwWZ+x0a60Z45PPTyVikt&#10;g22JG7wd8Mlj3e2nwCXbVE+7+PW53Hby3Xfarl79izHXV/PjA4iMc/4zwy8+o0PFTMc4kUuiN7DW&#10;TJ4NaHUPgvW10nwc2aj0CmRVyv8Lqh8AAAD//wMAUEsBAi0AFAAGAAgAAAAhALaDOJL+AAAA4QEA&#10;ABMAAAAAAAAAAAAAAAAAAAAAAFtDb250ZW50X1R5cGVzXS54bWxQSwECLQAUAAYACAAAACEAOP0h&#10;/9YAAACUAQAACwAAAAAAAAAAAAAAAAAvAQAAX3JlbHMvLnJlbHNQSwECLQAUAAYACAAAACEAQyMh&#10;X4QCAAAXBQAADgAAAAAAAAAAAAAAAAAuAgAAZHJzL2Uyb0RvYy54bWxQSwECLQAUAAYACAAAACEA&#10;qovxc90AAAAJAQAADwAAAAAAAAAAAAAAAADeBAAAZHJzL2Rvd25yZXYueG1sUEsFBgAAAAAEAAQA&#10;8wAAAOgFAAAAAA==&#10;" stroked="f">
                <v:textbox style="mso-fit-shape-to-text:t">
                  <w:txbxContent>
                    <w:p w14:paraId="0AFC1699" w14:textId="77777777" w:rsidR="006259D9" w:rsidRPr="00F11A1B" w:rsidRDefault="006259D9" w:rsidP="006259D9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 w:rsidRPr="00F11A1B">
                        <w:rPr>
                          <w:rFonts w:hint="eastAsia"/>
                          <w:b/>
                        </w:rPr>
                        <w:t>战略性新兴产业上市公司利润</w:t>
                      </w:r>
                      <w:r>
                        <w:rPr>
                          <w:rFonts w:hint="eastAsia"/>
                          <w:b/>
                        </w:rPr>
                        <w:t>累计</w:t>
                      </w:r>
                      <w:r w:rsidRPr="00F11A1B">
                        <w:rPr>
                          <w:rFonts w:hint="eastAsia"/>
                          <w:b/>
                        </w:rPr>
                        <w:t>增速</w:t>
                      </w:r>
                      <w:r>
                        <w:rPr>
                          <w:rFonts w:hint="eastAsia"/>
                          <w:b/>
                        </w:rPr>
                        <w:t>季度</w:t>
                      </w:r>
                      <w:r w:rsidRPr="00F11A1B">
                        <w:rPr>
                          <w:rFonts w:hint="eastAsia"/>
                          <w:b/>
                        </w:rPr>
                        <w:t>变化</w:t>
                      </w:r>
                    </w:p>
                  </w:txbxContent>
                </v:textbox>
              </v:shape>
            </w:pict>
          </mc:Fallback>
        </mc:AlternateContent>
      </w:r>
    </w:p>
    <w:p w14:paraId="13C6CCCD" w14:textId="77777777" w:rsidR="005F7514" w:rsidRDefault="005F7514" w:rsidP="00E8320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（二）</w:t>
      </w:r>
      <w:r w:rsidR="00376FB1">
        <w:rPr>
          <w:rFonts w:ascii="仿宋" w:eastAsia="仿宋" w:hAnsi="仿宋" w:hint="eastAsia"/>
          <w:b/>
          <w:sz w:val="30"/>
          <w:szCs w:val="30"/>
        </w:rPr>
        <w:t>部分重点</w:t>
      </w:r>
      <w:r w:rsidR="00376FB1">
        <w:rPr>
          <w:rFonts w:ascii="仿宋" w:eastAsia="仿宋" w:hAnsi="仿宋"/>
          <w:b/>
          <w:sz w:val="30"/>
          <w:szCs w:val="30"/>
        </w:rPr>
        <w:t>产业</w:t>
      </w:r>
      <w:r w:rsidR="00376FB1">
        <w:rPr>
          <w:rFonts w:ascii="仿宋" w:eastAsia="仿宋" w:hAnsi="仿宋" w:hint="eastAsia"/>
          <w:b/>
          <w:sz w:val="30"/>
          <w:szCs w:val="30"/>
        </w:rPr>
        <w:t>迎来爆发式</w:t>
      </w:r>
      <w:r w:rsidR="00376FB1">
        <w:rPr>
          <w:rFonts w:ascii="仿宋" w:eastAsia="仿宋" w:hAnsi="仿宋"/>
          <w:b/>
          <w:sz w:val="30"/>
          <w:szCs w:val="30"/>
        </w:rPr>
        <w:t>增长</w:t>
      </w:r>
    </w:p>
    <w:p w14:paraId="4CAB8A32" w14:textId="52C9DB17" w:rsidR="003C277C" w:rsidRDefault="001322C5" w:rsidP="005F751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5F7514" w:rsidRPr="007731B8">
        <w:rPr>
          <w:rFonts w:ascii="仿宋" w:eastAsia="仿宋" w:hAnsi="仿宋" w:hint="eastAsia"/>
          <w:sz w:val="30"/>
          <w:szCs w:val="30"/>
        </w:rPr>
        <w:t>季度，</w:t>
      </w:r>
      <w:r w:rsidR="00B12C02">
        <w:rPr>
          <w:rFonts w:ascii="仿宋" w:eastAsia="仿宋" w:hAnsi="仿宋" w:hint="eastAsia"/>
          <w:sz w:val="30"/>
          <w:szCs w:val="30"/>
        </w:rPr>
        <w:t>部分重点产业</w:t>
      </w:r>
      <w:r w:rsidR="00396F0E">
        <w:rPr>
          <w:rFonts w:ascii="仿宋" w:eastAsia="仿宋" w:hAnsi="仿宋" w:hint="eastAsia"/>
          <w:sz w:val="30"/>
          <w:szCs w:val="30"/>
        </w:rPr>
        <w:t>业绩表现良好</w:t>
      </w:r>
      <w:r w:rsidR="00913707">
        <w:rPr>
          <w:rFonts w:ascii="仿宋" w:eastAsia="仿宋" w:hAnsi="仿宋" w:hint="eastAsia"/>
          <w:sz w:val="30"/>
          <w:szCs w:val="30"/>
        </w:rPr>
        <w:t>，</w:t>
      </w:r>
      <w:r w:rsidR="00E31E44">
        <w:rPr>
          <w:rFonts w:ascii="仿宋" w:eastAsia="仿宋" w:hAnsi="仿宋" w:hint="eastAsia"/>
          <w:sz w:val="30"/>
          <w:szCs w:val="30"/>
        </w:rPr>
        <w:t>带动战略性新兴产业上市公司整体业绩增长</w:t>
      </w:r>
      <w:r w:rsidR="00913707">
        <w:rPr>
          <w:rFonts w:ascii="仿宋" w:eastAsia="仿宋" w:hAnsi="仿宋" w:hint="eastAsia"/>
          <w:sz w:val="30"/>
          <w:szCs w:val="30"/>
        </w:rPr>
        <w:t>。</w:t>
      </w:r>
      <w:r w:rsidR="009C002D" w:rsidRPr="00D8788B">
        <w:rPr>
          <w:rFonts w:ascii="仿宋" w:eastAsia="仿宋" w:hAnsi="仿宋" w:hint="eastAsia"/>
          <w:b/>
          <w:sz w:val="30"/>
          <w:szCs w:val="30"/>
        </w:rPr>
        <w:t>一是</w:t>
      </w:r>
      <w:r w:rsidR="00722139">
        <w:rPr>
          <w:rFonts w:ascii="仿宋" w:eastAsia="仿宋" w:hAnsi="仿宋" w:hint="eastAsia"/>
          <w:sz w:val="30"/>
          <w:szCs w:val="30"/>
        </w:rPr>
        <w:t>新能源、节能环保以及新一代信息技术业绩增长依然稳居前三位。其中，</w:t>
      </w:r>
      <w:r w:rsidR="0036312A">
        <w:rPr>
          <w:rFonts w:ascii="仿宋" w:eastAsia="仿宋" w:hAnsi="仿宋" w:hint="eastAsia"/>
          <w:sz w:val="30"/>
          <w:szCs w:val="30"/>
        </w:rPr>
        <w:t>太阳能</w:t>
      </w:r>
      <w:r w:rsidR="00E83207">
        <w:rPr>
          <w:rFonts w:ascii="仿宋" w:eastAsia="仿宋" w:hAnsi="仿宋" w:hint="eastAsia"/>
          <w:sz w:val="30"/>
          <w:szCs w:val="30"/>
        </w:rPr>
        <w:t>产业</w:t>
      </w:r>
      <w:r w:rsidR="00691C95">
        <w:rPr>
          <w:rFonts w:ascii="仿宋" w:eastAsia="仿宋" w:hAnsi="仿宋" w:hint="eastAsia"/>
          <w:sz w:val="30"/>
          <w:szCs w:val="30"/>
        </w:rPr>
        <w:t>由于短期政策的影响</w:t>
      </w:r>
      <w:r w:rsidR="0036312A">
        <w:rPr>
          <w:rFonts w:ascii="仿宋" w:eastAsia="仿宋" w:hAnsi="仿宋" w:hint="eastAsia"/>
          <w:sz w:val="30"/>
          <w:szCs w:val="30"/>
        </w:rPr>
        <w:t>营收大幅增长</w:t>
      </w:r>
      <w:r w:rsidR="00691C95">
        <w:rPr>
          <w:rFonts w:ascii="仿宋" w:eastAsia="仿宋" w:hAnsi="仿宋" w:hint="eastAsia"/>
          <w:sz w:val="30"/>
          <w:szCs w:val="30"/>
        </w:rPr>
        <w:t>，带动</w:t>
      </w:r>
      <w:r w:rsidR="0036312A">
        <w:rPr>
          <w:rFonts w:ascii="仿宋" w:eastAsia="仿宋" w:hAnsi="仿宋" w:hint="eastAsia"/>
          <w:sz w:val="30"/>
          <w:szCs w:val="30"/>
        </w:rPr>
        <w:t>新能源产业继续位居七大产业之首，二季度营收增长30.1%</w:t>
      </w:r>
      <w:r w:rsidR="00E25431">
        <w:rPr>
          <w:rFonts w:ascii="仿宋" w:eastAsia="仿宋" w:hAnsi="仿宋" w:hint="eastAsia"/>
          <w:sz w:val="30"/>
          <w:szCs w:val="30"/>
        </w:rPr>
        <w:t>，</w:t>
      </w:r>
      <w:r w:rsidR="00D8788B">
        <w:rPr>
          <w:rFonts w:ascii="仿宋" w:eastAsia="仿宋" w:hAnsi="仿宋" w:hint="eastAsia"/>
          <w:sz w:val="30"/>
          <w:szCs w:val="30"/>
        </w:rPr>
        <w:t>高于去年同期8.3个百分点</w:t>
      </w:r>
      <w:r w:rsidR="00E25431">
        <w:rPr>
          <w:rFonts w:ascii="仿宋" w:eastAsia="仿宋" w:hAnsi="仿宋" w:hint="eastAsia"/>
          <w:sz w:val="30"/>
          <w:szCs w:val="30"/>
        </w:rPr>
        <w:t>；</w:t>
      </w:r>
      <w:r w:rsidR="003161E4">
        <w:rPr>
          <w:rFonts w:ascii="仿宋" w:eastAsia="仿宋" w:hAnsi="仿宋" w:hint="eastAsia"/>
          <w:sz w:val="30"/>
          <w:szCs w:val="30"/>
        </w:rPr>
        <w:t>节能环保位列第二，</w:t>
      </w:r>
      <w:r w:rsidR="003145A9">
        <w:rPr>
          <w:rFonts w:ascii="仿宋" w:eastAsia="仿宋" w:hAnsi="仿宋" w:hint="eastAsia"/>
          <w:sz w:val="30"/>
          <w:szCs w:val="30"/>
        </w:rPr>
        <w:t>产业整体</w:t>
      </w:r>
      <w:r w:rsidR="00333702">
        <w:rPr>
          <w:rFonts w:ascii="仿宋" w:eastAsia="仿宋" w:hAnsi="仿宋" w:hint="eastAsia"/>
          <w:sz w:val="30"/>
          <w:szCs w:val="30"/>
        </w:rPr>
        <w:t>增幅</w:t>
      </w:r>
      <w:r w:rsidR="00177A9A">
        <w:rPr>
          <w:rFonts w:ascii="仿宋" w:eastAsia="仿宋" w:hAnsi="仿宋" w:hint="eastAsia"/>
          <w:sz w:val="30"/>
          <w:szCs w:val="30"/>
        </w:rPr>
        <w:t>达</w:t>
      </w:r>
      <w:r w:rsidR="00333702">
        <w:rPr>
          <w:rFonts w:ascii="仿宋" w:eastAsia="仿宋" w:hAnsi="仿宋" w:hint="eastAsia"/>
          <w:sz w:val="30"/>
          <w:szCs w:val="30"/>
        </w:rPr>
        <w:t>26.8%，</w:t>
      </w:r>
      <w:r w:rsidR="004976CA">
        <w:rPr>
          <w:rFonts w:ascii="仿宋" w:eastAsia="仿宋" w:hAnsi="仿宋" w:hint="eastAsia"/>
          <w:sz w:val="30"/>
          <w:szCs w:val="30"/>
        </w:rPr>
        <w:t>较去年同期提升4.6个百分</w:t>
      </w:r>
      <w:r w:rsidR="004976CA">
        <w:rPr>
          <w:rFonts w:ascii="仿宋" w:eastAsia="仿宋" w:hAnsi="仿宋" w:hint="eastAsia"/>
          <w:sz w:val="30"/>
          <w:szCs w:val="30"/>
        </w:rPr>
        <w:lastRenderedPageBreak/>
        <w:t>点；</w:t>
      </w:r>
      <w:r w:rsidR="003C277C" w:rsidRPr="007731B8">
        <w:rPr>
          <w:rFonts w:ascii="仿宋" w:eastAsia="仿宋" w:hAnsi="仿宋" w:hint="eastAsia"/>
          <w:sz w:val="30"/>
          <w:szCs w:val="30"/>
        </w:rPr>
        <w:t>新一代信息技术上市公司业绩小幅上涨，</w:t>
      </w:r>
      <w:r w:rsidR="00691C95">
        <w:rPr>
          <w:rFonts w:ascii="仿宋" w:eastAsia="仿宋" w:hAnsi="仿宋" w:hint="eastAsia"/>
          <w:sz w:val="30"/>
          <w:szCs w:val="30"/>
        </w:rPr>
        <w:t>继续成为张璐恶性新兴产业发展的主动力，</w:t>
      </w:r>
      <w:r w:rsidR="003C277C">
        <w:rPr>
          <w:rFonts w:ascii="仿宋" w:eastAsia="仿宋" w:hAnsi="仿宋" w:hint="eastAsia"/>
          <w:sz w:val="30"/>
          <w:szCs w:val="30"/>
        </w:rPr>
        <w:t>二</w:t>
      </w:r>
      <w:r w:rsidR="003C277C" w:rsidRPr="007731B8">
        <w:rPr>
          <w:rFonts w:ascii="仿宋" w:eastAsia="仿宋" w:hAnsi="仿宋" w:hint="eastAsia"/>
          <w:sz w:val="30"/>
          <w:szCs w:val="30"/>
        </w:rPr>
        <w:t>季度营收增长22.</w:t>
      </w:r>
      <w:r w:rsidR="003C277C">
        <w:rPr>
          <w:rFonts w:ascii="仿宋" w:eastAsia="仿宋" w:hAnsi="仿宋" w:hint="eastAsia"/>
          <w:sz w:val="30"/>
          <w:szCs w:val="30"/>
        </w:rPr>
        <w:t>5</w:t>
      </w:r>
      <w:r w:rsidR="003C277C" w:rsidRPr="007731B8">
        <w:rPr>
          <w:rFonts w:ascii="仿宋" w:eastAsia="仿宋" w:hAnsi="仿宋" w:hint="eastAsia"/>
          <w:sz w:val="30"/>
          <w:szCs w:val="30"/>
        </w:rPr>
        <w:t>%，</w:t>
      </w:r>
      <w:r w:rsidR="003C277C">
        <w:rPr>
          <w:rFonts w:ascii="仿宋" w:eastAsia="仿宋" w:hAnsi="仿宋" w:hint="eastAsia"/>
          <w:sz w:val="30"/>
          <w:szCs w:val="30"/>
        </w:rPr>
        <w:t>与去年同期基本持平。</w:t>
      </w:r>
      <w:r w:rsidR="00884338" w:rsidRPr="00884338">
        <w:rPr>
          <w:rFonts w:ascii="仿宋" w:eastAsia="仿宋" w:hAnsi="仿宋" w:hint="eastAsia"/>
          <w:b/>
          <w:sz w:val="30"/>
          <w:szCs w:val="30"/>
        </w:rPr>
        <w:t>二是</w:t>
      </w:r>
      <w:r w:rsidR="00884338">
        <w:rPr>
          <w:rFonts w:ascii="仿宋" w:eastAsia="仿宋" w:hAnsi="仿宋" w:hint="eastAsia"/>
          <w:sz w:val="30"/>
          <w:szCs w:val="30"/>
        </w:rPr>
        <w:t>生物产业业绩维持平稳增长</w:t>
      </w:r>
      <w:r w:rsidR="00E83207">
        <w:rPr>
          <w:rFonts w:ascii="仿宋" w:eastAsia="仿宋" w:hAnsi="仿宋" w:hint="eastAsia"/>
          <w:sz w:val="30"/>
          <w:szCs w:val="30"/>
        </w:rPr>
        <w:t>，</w:t>
      </w:r>
      <w:r w:rsidR="00D0549A">
        <w:rPr>
          <w:rFonts w:ascii="仿宋" w:eastAsia="仿宋" w:hAnsi="仿宋" w:hint="eastAsia"/>
          <w:sz w:val="30"/>
          <w:szCs w:val="30"/>
        </w:rPr>
        <w:t>二</w:t>
      </w:r>
      <w:r w:rsidR="007C294F">
        <w:rPr>
          <w:rFonts w:ascii="仿宋" w:eastAsia="仿宋" w:hAnsi="仿宋" w:hint="eastAsia"/>
          <w:sz w:val="30"/>
          <w:szCs w:val="30"/>
        </w:rPr>
        <w:t>季度生物产业上市公司营</w:t>
      </w:r>
      <w:proofErr w:type="gramStart"/>
      <w:r w:rsidR="007C294F">
        <w:rPr>
          <w:rFonts w:ascii="仿宋" w:eastAsia="仿宋" w:hAnsi="仿宋" w:hint="eastAsia"/>
          <w:sz w:val="30"/>
          <w:szCs w:val="30"/>
        </w:rPr>
        <w:t>收增长</w:t>
      </w:r>
      <w:proofErr w:type="gramEnd"/>
      <w:r w:rsidR="007C294F">
        <w:rPr>
          <w:rFonts w:ascii="仿宋" w:eastAsia="仿宋" w:hAnsi="仿宋" w:hint="eastAsia"/>
          <w:sz w:val="30"/>
          <w:szCs w:val="30"/>
        </w:rPr>
        <w:t>13.4%，较去年同期提升0.6个百分点。</w:t>
      </w:r>
      <w:r w:rsidR="007C294F" w:rsidRPr="0097662D">
        <w:rPr>
          <w:rFonts w:ascii="仿宋" w:eastAsia="仿宋" w:hAnsi="仿宋" w:hint="eastAsia"/>
          <w:b/>
          <w:sz w:val="30"/>
          <w:szCs w:val="30"/>
        </w:rPr>
        <w:t>三是</w:t>
      </w:r>
      <w:r w:rsidR="007C294F">
        <w:rPr>
          <w:rFonts w:ascii="仿宋" w:eastAsia="仿宋" w:hAnsi="仿宋" w:hint="eastAsia"/>
          <w:sz w:val="30"/>
          <w:szCs w:val="30"/>
        </w:rPr>
        <w:t>新材料产业业绩</w:t>
      </w:r>
      <w:r w:rsidR="00E83207">
        <w:rPr>
          <w:rFonts w:ascii="仿宋" w:eastAsia="仿宋" w:hAnsi="仿宋" w:hint="eastAsia"/>
          <w:sz w:val="30"/>
          <w:szCs w:val="30"/>
        </w:rPr>
        <w:t>增速有所回升</w:t>
      </w:r>
      <w:r w:rsidR="00A01CA3">
        <w:rPr>
          <w:rFonts w:ascii="仿宋" w:eastAsia="仿宋" w:hAnsi="仿宋" w:hint="eastAsia"/>
          <w:sz w:val="30"/>
          <w:szCs w:val="30"/>
        </w:rPr>
        <w:t>，达到</w:t>
      </w:r>
      <w:r w:rsidR="00186587">
        <w:rPr>
          <w:rFonts w:ascii="仿宋" w:eastAsia="仿宋" w:hAnsi="仿宋" w:hint="eastAsia"/>
          <w:sz w:val="30"/>
          <w:szCs w:val="30"/>
        </w:rPr>
        <w:t>一年</w:t>
      </w:r>
      <w:r w:rsidR="00177A9A">
        <w:rPr>
          <w:rFonts w:ascii="仿宋" w:eastAsia="仿宋" w:hAnsi="仿宋" w:hint="eastAsia"/>
          <w:sz w:val="30"/>
          <w:szCs w:val="30"/>
        </w:rPr>
        <w:t>来的</w:t>
      </w:r>
      <w:r w:rsidR="00A01CA3">
        <w:rPr>
          <w:rFonts w:ascii="仿宋" w:eastAsia="仿宋" w:hAnsi="仿宋" w:hint="eastAsia"/>
          <w:sz w:val="30"/>
          <w:szCs w:val="30"/>
        </w:rPr>
        <w:t>最高值</w:t>
      </w:r>
      <w:r w:rsidR="007C294F">
        <w:rPr>
          <w:rFonts w:ascii="仿宋" w:eastAsia="仿宋" w:hAnsi="仿宋" w:hint="eastAsia"/>
          <w:sz w:val="30"/>
          <w:szCs w:val="30"/>
        </w:rPr>
        <w:t>。</w:t>
      </w:r>
      <w:r w:rsidR="00F27466">
        <w:rPr>
          <w:rFonts w:ascii="仿宋" w:eastAsia="仿宋" w:hAnsi="仿宋" w:hint="eastAsia"/>
          <w:sz w:val="30"/>
          <w:szCs w:val="30"/>
        </w:rPr>
        <w:t>本季</w:t>
      </w:r>
      <w:r w:rsidR="00FA354C">
        <w:rPr>
          <w:rFonts w:ascii="仿宋" w:eastAsia="仿宋" w:hAnsi="仿宋" w:hint="eastAsia"/>
          <w:sz w:val="30"/>
          <w:szCs w:val="30"/>
        </w:rPr>
        <w:t>度</w:t>
      </w:r>
      <w:r w:rsidR="00F27466">
        <w:rPr>
          <w:rFonts w:ascii="仿宋" w:eastAsia="仿宋" w:hAnsi="仿宋" w:hint="eastAsia"/>
          <w:sz w:val="30"/>
          <w:szCs w:val="30"/>
        </w:rPr>
        <w:t>新材料营</w:t>
      </w:r>
      <w:proofErr w:type="gramStart"/>
      <w:r w:rsidR="00F27466">
        <w:rPr>
          <w:rFonts w:ascii="仿宋" w:eastAsia="仿宋" w:hAnsi="仿宋" w:hint="eastAsia"/>
          <w:sz w:val="30"/>
          <w:szCs w:val="30"/>
        </w:rPr>
        <w:t>收增长</w:t>
      </w:r>
      <w:proofErr w:type="gramEnd"/>
      <w:r w:rsidR="00F27466">
        <w:rPr>
          <w:rFonts w:ascii="仿宋" w:eastAsia="仿宋" w:hAnsi="仿宋" w:hint="eastAsia"/>
          <w:sz w:val="30"/>
          <w:szCs w:val="30"/>
        </w:rPr>
        <w:t>6.7%，</w:t>
      </w:r>
      <w:r w:rsidR="0086230A">
        <w:rPr>
          <w:rFonts w:ascii="仿宋" w:eastAsia="仿宋" w:hAnsi="仿宋" w:hint="eastAsia"/>
          <w:sz w:val="30"/>
          <w:szCs w:val="30"/>
        </w:rPr>
        <w:t>较去年同期增长1.8个百分点。</w:t>
      </w:r>
      <w:r w:rsidR="0086230A" w:rsidRPr="00653DFC">
        <w:rPr>
          <w:rFonts w:ascii="仿宋" w:eastAsia="仿宋" w:hAnsi="仿宋" w:hint="eastAsia"/>
          <w:b/>
          <w:sz w:val="30"/>
          <w:szCs w:val="30"/>
        </w:rPr>
        <w:t>四是</w:t>
      </w:r>
      <w:r w:rsidR="0086230A">
        <w:rPr>
          <w:rFonts w:ascii="仿宋" w:eastAsia="仿宋" w:hAnsi="仿宋" w:hint="eastAsia"/>
          <w:sz w:val="30"/>
          <w:szCs w:val="30"/>
        </w:rPr>
        <w:t>高端装备制造业</w:t>
      </w:r>
      <w:r w:rsidR="00653DFC">
        <w:rPr>
          <w:rFonts w:ascii="仿宋" w:eastAsia="仿宋" w:hAnsi="仿宋" w:hint="eastAsia"/>
          <w:sz w:val="30"/>
          <w:szCs w:val="30"/>
        </w:rPr>
        <w:t>再次垫底。</w:t>
      </w:r>
      <w:r w:rsidR="00E00D28">
        <w:rPr>
          <w:rFonts w:ascii="仿宋" w:eastAsia="仿宋" w:hAnsi="仿宋" w:hint="eastAsia"/>
          <w:sz w:val="30"/>
          <w:szCs w:val="30"/>
        </w:rPr>
        <w:t>二</w:t>
      </w:r>
      <w:r w:rsidR="00F13E07">
        <w:rPr>
          <w:rFonts w:ascii="仿宋" w:eastAsia="仿宋" w:hAnsi="仿宋" w:hint="eastAsia"/>
          <w:sz w:val="30"/>
          <w:szCs w:val="30"/>
        </w:rPr>
        <w:t>季度，高端装备制造业上市公司业绩同比增长1.2%，</w:t>
      </w:r>
      <w:r w:rsidR="008003E4">
        <w:rPr>
          <w:rFonts w:ascii="仿宋" w:eastAsia="仿宋" w:hAnsi="仿宋" w:hint="eastAsia"/>
          <w:sz w:val="30"/>
          <w:szCs w:val="30"/>
        </w:rPr>
        <w:t>低于去年同期0.4个百分点</w:t>
      </w:r>
      <w:r w:rsidR="00E07CE2">
        <w:rPr>
          <w:rFonts w:ascii="仿宋" w:eastAsia="仿宋" w:hAnsi="仿宋" w:hint="eastAsia"/>
          <w:sz w:val="30"/>
          <w:szCs w:val="30"/>
        </w:rPr>
        <w:t>（见图</w:t>
      </w:r>
      <w:r w:rsidR="00F54AF9">
        <w:rPr>
          <w:rFonts w:ascii="仿宋" w:eastAsia="仿宋" w:hAnsi="仿宋" w:hint="eastAsia"/>
          <w:sz w:val="30"/>
          <w:szCs w:val="30"/>
        </w:rPr>
        <w:t>3</w:t>
      </w:r>
      <w:r w:rsidR="00E07CE2">
        <w:rPr>
          <w:rFonts w:ascii="仿宋" w:eastAsia="仿宋" w:hAnsi="仿宋" w:hint="eastAsia"/>
          <w:sz w:val="30"/>
          <w:szCs w:val="30"/>
        </w:rPr>
        <w:t>）</w:t>
      </w:r>
      <w:r w:rsidR="008003E4">
        <w:rPr>
          <w:rFonts w:ascii="仿宋" w:eastAsia="仿宋" w:hAnsi="仿宋" w:hint="eastAsia"/>
          <w:sz w:val="30"/>
          <w:szCs w:val="30"/>
        </w:rPr>
        <w:t>。</w:t>
      </w:r>
    </w:p>
    <w:p w14:paraId="6BE18311" w14:textId="77777777" w:rsidR="005F7514" w:rsidRDefault="00E83207" w:rsidP="005F7514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FA70DE">
        <w:rPr>
          <w:rFonts w:ascii="黑体" w:eastAsia="黑体" w:hAnsi="黑体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CC6D0BA" wp14:editId="22426390">
            <wp:simplePos x="0" y="0"/>
            <wp:positionH relativeFrom="margin">
              <wp:posOffset>123825</wp:posOffset>
            </wp:positionH>
            <wp:positionV relativeFrom="paragraph">
              <wp:posOffset>-9525</wp:posOffset>
            </wp:positionV>
            <wp:extent cx="5219700" cy="1771650"/>
            <wp:effectExtent l="0" t="0" r="0" b="0"/>
            <wp:wrapNone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E1A63" w14:textId="77777777" w:rsidR="00E83207" w:rsidRDefault="00E83207" w:rsidP="005F7514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14:paraId="2BF72181" w14:textId="77777777" w:rsidR="00E83207" w:rsidRDefault="00E83207" w:rsidP="005F7514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14:paraId="42CD2E06" w14:textId="77777777" w:rsidR="00E83207" w:rsidRDefault="00E83207" w:rsidP="005F7514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p w14:paraId="546B860D" w14:textId="77777777" w:rsidR="00E83207" w:rsidRDefault="00E83207" w:rsidP="005F7514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245AE" wp14:editId="54681128">
                <wp:simplePos x="0" y="0"/>
                <wp:positionH relativeFrom="column">
                  <wp:posOffset>1270</wp:posOffset>
                </wp:positionH>
                <wp:positionV relativeFrom="paragraph">
                  <wp:posOffset>236220</wp:posOffset>
                </wp:positionV>
                <wp:extent cx="5247640" cy="358775"/>
                <wp:effectExtent l="0" t="0" r="0" b="31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275DB" w14:textId="77777777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F54AF9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主要产业营收增速对比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F245AE" id="Text Box 6" o:spid="_x0000_s1028" type="#_x0000_t202" style="position:absolute;left:0;text-align:left;margin-left:.1pt;margin-top:18.6pt;width:413.2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IDhAIAABYFAAAOAAAAZHJzL2Uyb0RvYy54bWysVNmO2yAUfa/Uf0C8Z7zUjmMrzmiWpqo0&#10;XaSZfgAxOEbFQIHEnlb9915wksl0kaqqfsDAvZy7nAPLy7EXaM+M5UrWOLmIMWKyUZTLbY0/Paxn&#10;C4ysI5ISoSSr8SOz+HL18sVy0BVLVacEZQYBiLTVoGvcOaerKLJNx3piL5RmEoytMj1xsDTbiBoy&#10;AHovojSO59GgDNVGNcxa2L2djHgV8NuWNe5D21rmkKgx5ObCaMK48WO0WpJqa4jueHNIg/xDFj3h&#10;EoKeoG6JI2hn+C9QPW+Msqp1F43qI9W2vGGhBqgmiX+q5r4jmoVaoDlWn9pk/x9s837/0SBOa1xg&#10;JEkPFD2w0aFrNaK5786gbQVO9xrc3AjbwHKo1Oo71Xy2SKqbjsgtuzJGDR0jFLJL/Mno7OiEYz3I&#10;ZninKIQhO6cC0Nia3rcOmoEAHVh6PDHjU2lgM0+zYp6BqQHbq3xRFHkIQarjaW2se8NUj/ykxgaY&#10;D+hkf2edz4ZURxcfzCrB6ZoLERZmu7kRBu0JqGQdvgP6MzchvbNU/tiEOO1AkhDD23y6gfVvZZJm&#10;8XVaztbzRTHL1lk+K4t4MYuT8rqcx1mZ3a6/+wSTrOo4pUzeccmOCkyyv2P4cBcm7QQNoqHGZZ7m&#10;E0V/LDIO3++K7LmDCyl4X+PFyYlUntjXkkLZpHKEi2kePU8/dBl6cPyHrgQZeOYnDbhxMwa9pT66&#10;l8hG0UfQhVFAGzAMjwlMOmW+YjTAxayx/bIjhmEk3krQVplkXgguLLK8SGFhzi2bcwuRDUDV2GE0&#10;TW/cdPt32vBtB5EmNUt1BXpseZDKU1YHFcPlCzUdHgp/u8/XwevpOVv9AAAA//8DAFBLAwQUAAYA&#10;CAAAACEAmqqlr9sAAAAGAQAADwAAAGRycy9kb3ducmV2LnhtbEyOQU+DQBSE7yb+h80z8WLsIlVo&#10;KUujJhqvrf0BD3gFUvYtYbeF/nufJz1NJjOZ+fLtbHt1odF3jg08LSJQxJWrO24MHL4/HlegfECu&#10;sXdMBq7kYVvc3uSY1W7iHV32oVEywj5DA20IQ6a1r1qy6BduIJbs6EaLQezY6HrEScZtr+MoSrTF&#10;juWhxYHeW6pO+7M1cPyaHl7WU/kZDunuOXnDLi3d1Zj7u/l1AyrQHP7K8Isv6FAIU+nOXHvVG4il&#10;Z2CZikq6ipMEVGlgvUxBF7n+j1/8AAAA//8DAFBLAQItABQABgAIAAAAIQC2gziS/gAAAOEBAAAT&#10;AAAAAAAAAAAAAAAAAAAAAABbQ29udGVudF9UeXBlc10ueG1sUEsBAi0AFAAGAAgAAAAhADj9If/W&#10;AAAAlAEAAAsAAAAAAAAAAAAAAAAALwEAAF9yZWxzLy5yZWxzUEsBAi0AFAAGAAgAAAAhANiZ8gOE&#10;AgAAFgUAAA4AAAAAAAAAAAAAAAAALgIAAGRycy9lMm9Eb2MueG1sUEsBAi0AFAAGAAgAAAAhAJqq&#10;pa/bAAAABgEAAA8AAAAAAAAAAAAAAAAA3gQAAGRycy9kb3ducmV2LnhtbFBLBQYAAAAABAAEAPMA&#10;AADmBQAAAAA=&#10;" stroked="f">
                <v:textbox>
                  <w:txbxContent>
                    <w:p w14:paraId="69B275DB" w14:textId="77777777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F54AF9">
                        <w:rPr>
                          <w:b/>
                        </w:rPr>
                        <w:t>3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主要产业营收增速对比</w:t>
                      </w:r>
                    </w:p>
                  </w:txbxContent>
                </v:textbox>
              </v:shape>
            </w:pict>
          </mc:Fallback>
        </mc:AlternateContent>
      </w:r>
    </w:p>
    <w:p w14:paraId="3C0293D0" w14:textId="66B153F4" w:rsidR="001B750B" w:rsidRDefault="001B750B" w:rsidP="001B750B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在全部战略性</w:t>
      </w:r>
      <w:r>
        <w:rPr>
          <w:rFonts w:ascii="仿宋" w:eastAsia="仿宋" w:hAnsi="仿宋"/>
          <w:sz w:val="30"/>
          <w:szCs w:val="30"/>
        </w:rPr>
        <w:t>新兴产业上市公司</w:t>
      </w:r>
      <w:r>
        <w:rPr>
          <w:rFonts w:ascii="仿宋" w:eastAsia="仿宋" w:hAnsi="仿宋" w:hint="eastAsia"/>
          <w:sz w:val="30"/>
          <w:szCs w:val="30"/>
        </w:rPr>
        <w:t>中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有</w:t>
      </w:r>
      <w:r>
        <w:rPr>
          <w:rFonts w:ascii="仿宋" w:eastAsia="仿宋" w:hAnsi="仿宋"/>
          <w:sz w:val="30"/>
          <w:szCs w:val="30"/>
        </w:rPr>
        <w:t>302</w:t>
      </w:r>
      <w:r>
        <w:rPr>
          <w:rFonts w:ascii="仿宋" w:eastAsia="仿宋" w:hAnsi="仿宋" w:hint="eastAsia"/>
          <w:sz w:val="30"/>
          <w:szCs w:val="30"/>
        </w:rPr>
        <w:t>家公司表现</w:t>
      </w:r>
      <w:r>
        <w:rPr>
          <w:rFonts w:ascii="仿宋" w:eastAsia="仿宋" w:hAnsi="仿宋"/>
          <w:sz w:val="30"/>
          <w:szCs w:val="30"/>
        </w:rPr>
        <w:t>突出，</w:t>
      </w:r>
      <w:r>
        <w:rPr>
          <w:rFonts w:ascii="仿宋" w:eastAsia="仿宋" w:hAnsi="仿宋" w:hint="eastAsia"/>
          <w:sz w:val="30"/>
          <w:szCs w:val="30"/>
        </w:rPr>
        <w:t>实现营收</w:t>
      </w:r>
      <w:r>
        <w:rPr>
          <w:rFonts w:ascii="仿宋" w:eastAsia="仿宋" w:hAnsi="仿宋"/>
          <w:sz w:val="30"/>
          <w:szCs w:val="30"/>
        </w:rPr>
        <w:t>增速</w:t>
      </w:r>
      <w:r>
        <w:rPr>
          <w:rFonts w:ascii="仿宋" w:eastAsia="仿宋" w:hAnsi="仿宋" w:hint="eastAsia"/>
          <w:sz w:val="30"/>
          <w:szCs w:val="30"/>
        </w:rPr>
        <w:t>超过20</w:t>
      </w:r>
      <w:r>
        <w:rPr>
          <w:rFonts w:ascii="仿宋" w:eastAsia="仿宋" w:hAnsi="仿宋"/>
          <w:sz w:val="30"/>
          <w:szCs w:val="30"/>
        </w:rPr>
        <w:t>%，</w:t>
      </w:r>
      <w:r>
        <w:rPr>
          <w:rFonts w:ascii="仿宋" w:eastAsia="仿宋" w:hAnsi="仿宋" w:hint="eastAsia"/>
          <w:sz w:val="30"/>
          <w:szCs w:val="30"/>
        </w:rPr>
        <w:t>利润</w:t>
      </w:r>
      <w:r>
        <w:rPr>
          <w:rFonts w:ascii="仿宋" w:eastAsia="仿宋" w:hAnsi="仿宋"/>
          <w:sz w:val="30"/>
          <w:szCs w:val="30"/>
        </w:rPr>
        <w:t>增速超过</w:t>
      </w:r>
      <w:r>
        <w:rPr>
          <w:rFonts w:ascii="仿宋" w:eastAsia="仿宋" w:hAnsi="仿宋" w:hint="eastAsia"/>
          <w:sz w:val="30"/>
          <w:szCs w:val="30"/>
        </w:rPr>
        <w:t>15</w:t>
      </w:r>
      <w:r>
        <w:rPr>
          <w:rFonts w:ascii="仿宋" w:eastAsia="仿宋" w:hAnsi="仿宋"/>
          <w:sz w:val="30"/>
          <w:szCs w:val="30"/>
        </w:rPr>
        <w:t>%，</w:t>
      </w:r>
      <w:r>
        <w:rPr>
          <w:rFonts w:ascii="仿宋" w:eastAsia="仿宋" w:hAnsi="仿宋" w:hint="eastAsia"/>
          <w:sz w:val="30"/>
          <w:szCs w:val="30"/>
        </w:rPr>
        <w:t>成为</w:t>
      </w:r>
      <w:r>
        <w:rPr>
          <w:rFonts w:ascii="仿宋" w:eastAsia="仿宋" w:hAnsi="仿宋"/>
          <w:sz w:val="30"/>
          <w:szCs w:val="30"/>
        </w:rPr>
        <w:t>引领</w:t>
      </w:r>
      <w:r>
        <w:rPr>
          <w:rFonts w:ascii="仿宋" w:eastAsia="仿宋" w:hAnsi="仿宋" w:hint="eastAsia"/>
          <w:sz w:val="30"/>
          <w:szCs w:val="30"/>
        </w:rPr>
        <w:t>战略性新兴产业上市</w:t>
      </w:r>
      <w:r>
        <w:rPr>
          <w:rFonts w:ascii="仿宋" w:eastAsia="仿宋" w:hAnsi="仿宋"/>
          <w:sz w:val="30"/>
          <w:szCs w:val="30"/>
        </w:rPr>
        <w:t>公司</w:t>
      </w:r>
      <w:r>
        <w:rPr>
          <w:rFonts w:ascii="仿宋" w:eastAsia="仿宋" w:hAnsi="仿宋" w:hint="eastAsia"/>
          <w:sz w:val="30"/>
          <w:szCs w:val="30"/>
        </w:rPr>
        <w:t>整体增长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“排头兵”。</w:t>
      </w:r>
      <w:r>
        <w:rPr>
          <w:rFonts w:ascii="仿宋" w:eastAsia="仿宋" w:hAnsi="仿宋"/>
          <w:sz w:val="30"/>
          <w:szCs w:val="30"/>
        </w:rPr>
        <w:t>这些</w:t>
      </w:r>
      <w:r>
        <w:rPr>
          <w:rFonts w:ascii="仿宋" w:eastAsia="仿宋" w:hAnsi="仿宋" w:hint="eastAsia"/>
          <w:sz w:val="30"/>
          <w:szCs w:val="30"/>
        </w:rPr>
        <w:t>高增长企业集中</w:t>
      </w:r>
      <w:r>
        <w:rPr>
          <w:rFonts w:ascii="仿宋" w:eastAsia="仿宋" w:hAnsi="仿宋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生物</w:t>
      </w:r>
      <w:r>
        <w:rPr>
          <w:rFonts w:ascii="仿宋" w:eastAsia="仿宋" w:hAnsi="仿宋"/>
          <w:sz w:val="30"/>
          <w:szCs w:val="30"/>
        </w:rPr>
        <w:t>医药、智慧</w:t>
      </w:r>
      <w:r>
        <w:rPr>
          <w:rFonts w:ascii="仿宋" w:eastAsia="仿宋" w:hAnsi="仿宋" w:hint="eastAsia"/>
          <w:sz w:val="30"/>
          <w:szCs w:val="30"/>
        </w:rPr>
        <w:t>、信息</w:t>
      </w:r>
      <w:r>
        <w:rPr>
          <w:rFonts w:ascii="仿宋" w:eastAsia="仿宋" w:hAnsi="仿宋"/>
          <w:sz w:val="30"/>
          <w:szCs w:val="30"/>
        </w:rPr>
        <w:t>安全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领域。</w:t>
      </w:r>
      <w:r>
        <w:rPr>
          <w:rFonts w:ascii="仿宋" w:eastAsia="仿宋" w:hAnsi="仿宋" w:hint="eastAsia"/>
          <w:sz w:val="30"/>
          <w:szCs w:val="30"/>
        </w:rPr>
        <w:t>其中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生物医药领域</w:t>
      </w:r>
      <w:r>
        <w:rPr>
          <w:rFonts w:ascii="仿宋" w:eastAsia="仿宋" w:hAnsi="仿宋"/>
          <w:sz w:val="30"/>
          <w:szCs w:val="30"/>
        </w:rPr>
        <w:t>有</w:t>
      </w:r>
      <w:r>
        <w:rPr>
          <w:rFonts w:ascii="仿宋" w:eastAsia="仿宋" w:hAnsi="仿宋" w:hint="eastAsia"/>
          <w:sz w:val="30"/>
          <w:szCs w:val="30"/>
        </w:rPr>
        <w:t>47家高增长</w:t>
      </w:r>
      <w:r>
        <w:rPr>
          <w:rFonts w:ascii="仿宋" w:eastAsia="仿宋" w:hAnsi="仿宋"/>
          <w:sz w:val="30"/>
          <w:szCs w:val="30"/>
        </w:rPr>
        <w:t>企业，</w:t>
      </w:r>
      <w:r>
        <w:rPr>
          <w:rFonts w:ascii="仿宋" w:eastAsia="仿宋" w:hAnsi="仿宋" w:hint="eastAsia"/>
          <w:sz w:val="30"/>
          <w:szCs w:val="30"/>
        </w:rPr>
        <w:t>占生物</w:t>
      </w:r>
      <w:r>
        <w:rPr>
          <w:rFonts w:ascii="仿宋" w:eastAsia="仿宋" w:hAnsi="仿宋"/>
          <w:sz w:val="30"/>
          <w:szCs w:val="30"/>
        </w:rPr>
        <w:t>医药企业比重达</w:t>
      </w:r>
      <w:r>
        <w:rPr>
          <w:rFonts w:ascii="仿宋" w:eastAsia="仿宋" w:hAnsi="仿宋" w:hint="eastAsia"/>
          <w:sz w:val="30"/>
          <w:szCs w:val="30"/>
        </w:rPr>
        <w:t>23</w:t>
      </w:r>
      <w:r>
        <w:rPr>
          <w:rFonts w:ascii="仿宋" w:eastAsia="仿宋" w:hAnsi="仿宋"/>
          <w:sz w:val="30"/>
          <w:szCs w:val="30"/>
        </w:rPr>
        <w:t>%，如紫</w:t>
      </w:r>
      <w:proofErr w:type="gramStart"/>
      <w:r>
        <w:rPr>
          <w:rFonts w:ascii="仿宋" w:eastAsia="仿宋" w:hAnsi="仿宋"/>
          <w:sz w:val="30"/>
          <w:szCs w:val="30"/>
        </w:rPr>
        <w:t>鑫</w:t>
      </w:r>
      <w:proofErr w:type="gramEnd"/>
      <w:r>
        <w:rPr>
          <w:rFonts w:ascii="仿宋" w:eastAsia="仿宋" w:hAnsi="仿宋"/>
          <w:sz w:val="30"/>
          <w:szCs w:val="30"/>
        </w:rPr>
        <w:t>药业营收增速超过</w:t>
      </w:r>
      <w:r>
        <w:rPr>
          <w:rFonts w:ascii="仿宋" w:eastAsia="仿宋" w:hAnsi="仿宋" w:hint="eastAsia"/>
          <w:sz w:val="30"/>
          <w:szCs w:val="30"/>
        </w:rPr>
        <w:t>50</w:t>
      </w:r>
      <w:r>
        <w:rPr>
          <w:rFonts w:ascii="仿宋" w:eastAsia="仿宋" w:hAnsi="仿宋"/>
          <w:sz w:val="30"/>
          <w:szCs w:val="30"/>
        </w:rPr>
        <w:t>%，利润</w:t>
      </w:r>
      <w:r>
        <w:rPr>
          <w:rFonts w:ascii="仿宋" w:eastAsia="仿宋" w:hAnsi="仿宋" w:hint="eastAsia"/>
          <w:sz w:val="30"/>
          <w:szCs w:val="30"/>
        </w:rPr>
        <w:t>增长超过100</w:t>
      </w:r>
      <w:r>
        <w:rPr>
          <w:rFonts w:ascii="仿宋" w:eastAsia="仿宋" w:hAnsi="仿宋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，表明提供</w:t>
      </w:r>
      <w:r>
        <w:rPr>
          <w:rFonts w:ascii="仿宋" w:eastAsia="仿宋" w:hAnsi="仿宋"/>
          <w:sz w:val="30"/>
          <w:szCs w:val="30"/>
        </w:rPr>
        <w:t>高附加值</w:t>
      </w:r>
      <w:r>
        <w:rPr>
          <w:rFonts w:ascii="仿宋" w:eastAsia="仿宋" w:hAnsi="仿宋" w:hint="eastAsia"/>
          <w:sz w:val="30"/>
          <w:szCs w:val="30"/>
        </w:rPr>
        <w:t>的医疗服务、生产</w:t>
      </w:r>
      <w:r>
        <w:rPr>
          <w:rFonts w:ascii="仿宋" w:eastAsia="仿宋" w:hAnsi="仿宋"/>
          <w:sz w:val="30"/>
          <w:szCs w:val="30"/>
        </w:rPr>
        <w:t>创新药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企业</w:t>
      </w:r>
      <w:r w:rsidR="00AF16AC">
        <w:rPr>
          <w:rFonts w:ascii="仿宋" w:eastAsia="仿宋" w:hAnsi="仿宋" w:hint="eastAsia"/>
          <w:sz w:val="30"/>
          <w:szCs w:val="30"/>
        </w:rPr>
        <w:t>在</w:t>
      </w:r>
      <w:r w:rsidRPr="006F0092">
        <w:rPr>
          <w:rFonts w:ascii="仿宋" w:eastAsia="仿宋" w:hAnsi="仿宋" w:hint="eastAsia"/>
          <w:sz w:val="30"/>
          <w:szCs w:val="30"/>
        </w:rPr>
        <w:t>经济不景气下</w:t>
      </w:r>
      <w:r w:rsidR="00AF16AC">
        <w:rPr>
          <w:rFonts w:ascii="仿宋" w:eastAsia="仿宋" w:hAnsi="仿宋" w:hint="eastAsia"/>
          <w:sz w:val="30"/>
          <w:szCs w:val="30"/>
        </w:rPr>
        <w:t>情况下仍旧可以保持高速</w:t>
      </w:r>
      <w:r w:rsidRPr="006F0092">
        <w:rPr>
          <w:rFonts w:ascii="仿宋" w:eastAsia="仿宋" w:hAnsi="仿宋" w:hint="eastAsia"/>
          <w:sz w:val="30"/>
          <w:szCs w:val="30"/>
        </w:rPr>
        <w:t>稳定成长</w:t>
      </w:r>
      <w:r>
        <w:rPr>
          <w:rFonts w:ascii="仿宋" w:eastAsia="仿宋" w:hAnsi="仿宋" w:hint="eastAsia"/>
          <w:sz w:val="30"/>
          <w:szCs w:val="30"/>
        </w:rPr>
        <w:t>。信息技术领域高增长企业约有148家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占信息</w:t>
      </w:r>
      <w:r>
        <w:rPr>
          <w:rFonts w:ascii="仿宋" w:eastAsia="仿宋" w:hAnsi="仿宋"/>
          <w:sz w:val="30"/>
          <w:szCs w:val="30"/>
        </w:rPr>
        <w:t>技术企业比重达</w:t>
      </w:r>
      <w:r>
        <w:rPr>
          <w:rFonts w:ascii="仿宋" w:eastAsia="仿宋" w:hAnsi="仿宋" w:hint="eastAsia"/>
          <w:sz w:val="30"/>
          <w:szCs w:val="30"/>
        </w:rPr>
        <w:t>33</w:t>
      </w:r>
      <w:r>
        <w:rPr>
          <w:rFonts w:ascii="仿宋" w:eastAsia="仿宋" w:hAnsi="仿宋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主要集中在</w:t>
      </w:r>
      <w:r>
        <w:rPr>
          <w:rFonts w:ascii="仿宋" w:eastAsia="仿宋" w:hAnsi="仿宋" w:hint="eastAsia"/>
          <w:sz w:val="30"/>
          <w:szCs w:val="30"/>
        </w:rPr>
        <w:t>智慧、信息</w:t>
      </w:r>
      <w:r>
        <w:rPr>
          <w:rFonts w:ascii="仿宋" w:eastAsia="仿宋" w:hAnsi="仿宋"/>
          <w:sz w:val="30"/>
          <w:szCs w:val="30"/>
        </w:rPr>
        <w:t>安全相关</w:t>
      </w:r>
      <w:r>
        <w:rPr>
          <w:rFonts w:ascii="仿宋" w:eastAsia="仿宋" w:hAnsi="仿宋" w:hint="eastAsia"/>
          <w:sz w:val="30"/>
          <w:szCs w:val="30"/>
        </w:rPr>
        <w:t>领域。随着</w:t>
      </w:r>
      <w:r w:rsidRPr="00857F50">
        <w:rPr>
          <w:rFonts w:ascii="仿宋" w:eastAsia="仿宋" w:hAnsi="仿宋" w:hint="eastAsia"/>
          <w:sz w:val="30"/>
          <w:szCs w:val="30"/>
        </w:rPr>
        <w:t>移动互</w:t>
      </w:r>
      <w:r w:rsidRPr="00857F50">
        <w:rPr>
          <w:rFonts w:ascii="仿宋" w:eastAsia="仿宋" w:hAnsi="仿宋" w:hint="eastAsia"/>
          <w:sz w:val="30"/>
          <w:szCs w:val="30"/>
        </w:rPr>
        <w:lastRenderedPageBreak/>
        <w:t>联网</w:t>
      </w:r>
      <w:r>
        <w:rPr>
          <w:rFonts w:ascii="仿宋" w:eastAsia="仿宋" w:hAnsi="仿宋" w:hint="eastAsia"/>
          <w:sz w:val="30"/>
          <w:szCs w:val="30"/>
        </w:rPr>
        <w:t>、物</w:t>
      </w:r>
      <w:r>
        <w:rPr>
          <w:rFonts w:ascii="仿宋" w:eastAsia="仿宋" w:hAnsi="仿宋"/>
          <w:sz w:val="30"/>
          <w:szCs w:val="30"/>
        </w:rPr>
        <w:t>联网、</w:t>
      </w:r>
      <w:r>
        <w:rPr>
          <w:rFonts w:ascii="仿宋" w:eastAsia="仿宋" w:hAnsi="仿宋" w:hint="eastAsia"/>
          <w:sz w:val="30"/>
          <w:szCs w:val="30"/>
        </w:rPr>
        <w:t>智能</w:t>
      </w:r>
      <w:r>
        <w:rPr>
          <w:rFonts w:ascii="仿宋" w:eastAsia="仿宋" w:hAnsi="仿宋"/>
          <w:sz w:val="30"/>
          <w:szCs w:val="30"/>
        </w:rPr>
        <w:t>系统</w:t>
      </w:r>
      <w:r>
        <w:rPr>
          <w:rFonts w:ascii="仿宋" w:eastAsia="仿宋" w:hAnsi="仿宋" w:hint="eastAsia"/>
          <w:sz w:val="30"/>
          <w:szCs w:val="30"/>
        </w:rPr>
        <w:t>集成技术</w:t>
      </w:r>
      <w:r>
        <w:rPr>
          <w:rFonts w:ascii="仿宋" w:eastAsia="仿宋" w:hAnsi="仿宋"/>
          <w:sz w:val="30"/>
          <w:szCs w:val="30"/>
        </w:rPr>
        <w:t>不断成熟</w:t>
      </w:r>
      <w:r>
        <w:rPr>
          <w:rFonts w:ascii="仿宋" w:eastAsia="仿宋" w:hAnsi="仿宋" w:hint="eastAsia"/>
          <w:sz w:val="30"/>
          <w:szCs w:val="30"/>
        </w:rPr>
        <w:t>并</w:t>
      </w:r>
      <w:r>
        <w:rPr>
          <w:rFonts w:ascii="仿宋" w:eastAsia="仿宋" w:hAnsi="仿宋"/>
          <w:sz w:val="30"/>
          <w:szCs w:val="30"/>
        </w:rPr>
        <w:t>逐渐</w:t>
      </w:r>
      <w:r>
        <w:rPr>
          <w:rFonts w:ascii="仿宋" w:eastAsia="仿宋" w:hAnsi="仿宋" w:hint="eastAsia"/>
          <w:sz w:val="30"/>
          <w:szCs w:val="30"/>
        </w:rPr>
        <w:t>向交通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市政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家居</w:t>
      </w:r>
      <w:r>
        <w:rPr>
          <w:rFonts w:ascii="仿宋" w:eastAsia="仿宋" w:hAnsi="仿宋"/>
          <w:sz w:val="30"/>
          <w:szCs w:val="30"/>
        </w:rPr>
        <w:t>、农业</w:t>
      </w:r>
      <w:r>
        <w:rPr>
          <w:rFonts w:ascii="仿宋" w:eastAsia="仿宋" w:hAnsi="仿宋" w:hint="eastAsia"/>
          <w:sz w:val="30"/>
          <w:szCs w:val="30"/>
        </w:rPr>
        <w:t>等</w:t>
      </w:r>
      <w:r>
        <w:rPr>
          <w:rFonts w:ascii="仿宋" w:eastAsia="仿宋" w:hAnsi="仿宋"/>
          <w:sz w:val="30"/>
          <w:szCs w:val="30"/>
        </w:rPr>
        <w:t>多</w:t>
      </w:r>
      <w:r>
        <w:rPr>
          <w:rFonts w:ascii="仿宋" w:eastAsia="仿宋" w:hAnsi="仿宋" w:hint="eastAsia"/>
          <w:sz w:val="30"/>
          <w:szCs w:val="30"/>
        </w:rPr>
        <w:t>领域</w:t>
      </w:r>
      <w:r>
        <w:rPr>
          <w:rFonts w:ascii="仿宋" w:eastAsia="仿宋" w:hAnsi="仿宋"/>
          <w:sz w:val="30"/>
          <w:szCs w:val="30"/>
        </w:rPr>
        <w:t>融合</w:t>
      </w:r>
      <w:r w:rsidRPr="00857F50">
        <w:rPr>
          <w:rFonts w:ascii="仿宋" w:eastAsia="仿宋" w:hAnsi="仿宋" w:hint="eastAsia"/>
          <w:sz w:val="30"/>
          <w:szCs w:val="30"/>
        </w:rPr>
        <w:t>渗透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智慧产业</w:t>
      </w:r>
      <w:r>
        <w:rPr>
          <w:rFonts w:ascii="仿宋" w:eastAsia="仿宋" w:hAnsi="仿宋" w:hint="eastAsia"/>
          <w:sz w:val="30"/>
          <w:szCs w:val="30"/>
        </w:rPr>
        <w:t>迎来</w:t>
      </w:r>
      <w:r>
        <w:rPr>
          <w:rFonts w:ascii="仿宋" w:eastAsia="仿宋" w:hAnsi="仿宋"/>
          <w:sz w:val="30"/>
          <w:szCs w:val="30"/>
        </w:rPr>
        <w:t>了</w:t>
      </w:r>
      <w:r>
        <w:rPr>
          <w:rFonts w:ascii="仿宋" w:eastAsia="仿宋" w:hAnsi="仿宋" w:hint="eastAsia"/>
          <w:sz w:val="30"/>
          <w:szCs w:val="30"/>
        </w:rPr>
        <w:t>高速</w:t>
      </w:r>
      <w:r>
        <w:rPr>
          <w:rFonts w:ascii="仿宋" w:eastAsia="仿宋" w:hAnsi="仿宋"/>
          <w:sz w:val="30"/>
          <w:szCs w:val="30"/>
        </w:rPr>
        <w:t>增长，</w:t>
      </w:r>
      <w:r>
        <w:rPr>
          <w:rFonts w:ascii="仿宋" w:eastAsia="仿宋" w:hAnsi="仿宋" w:hint="eastAsia"/>
          <w:sz w:val="30"/>
          <w:szCs w:val="30"/>
        </w:rPr>
        <w:t>相关企业业绩</w:t>
      </w:r>
      <w:r>
        <w:rPr>
          <w:rFonts w:ascii="仿宋" w:eastAsia="仿宋" w:hAnsi="仿宋"/>
          <w:sz w:val="30"/>
          <w:szCs w:val="30"/>
        </w:rPr>
        <w:t>表现亮眼</w:t>
      </w:r>
      <w:r>
        <w:rPr>
          <w:rFonts w:ascii="仿宋" w:eastAsia="仿宋" w:hAnsi="仿宋" w:hint="eastAsia"/>
          <w:sz w:val="30"/>
          <w:szCs w:val="30"/>
        </w:rPr>
        <w:t>，如赛为智能营收、</w:t>
      </w:r>
      <w:r>
        <w:rPr>
          <w:rFonts w:ascii="仿宋" w:eastAsia="仿宋" w:hAnsi="仿宋"/>
          <w:sz w:val="30"/>
          <w:szCs w:val="30"/>
        </w:rPr>
        <w:t>利润</w:t>
      </w:r>
      <w:r>
        <w:rPr>
          <w:rFonts w:ascii="仿宋" w:eastAsia="仿宋" w:hAnsi="仿宋" w:hint="eastAsia"/>
          <w:sz w:val="30"/>
          <w:szCs w:val="30"/>
        </w:rPr>
        <w:t>增速分别</w:t>
      </w:r>
      <w:r>
        <w:rPr>
          <w:rFonts w:ascii="仿宋" w:eastAsia="仿宋" w:hAnsi="仿宋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38</w:t>
      </w:r>
      <w:r>
        <w:rPr>
          <w:rFonts w:ascii="仿宋" w:eastAsia="仿宋" w:hAnsi="仿宋"/>
          <w:sz w:val="30"/>
          <w:szCs w:val="30"/>
        </w:rPr>
        <w:t>%和</w:t>
      </w:r>
      <w:r>
        <w:rPr>
          <w:rFonts w:ascii="仿宋" w:eastAsia="仿宋" w:hAnsi="仿宋" w:hint="eastAsia"/>
          <w:sz w:val="30"/>
          <w:szCs w:val="30"/>
        </w:rPr>
        <w:t>162</w:t>
      </w:r>
      <w:r>
        <w:rPr>
          <w:rFonts w:ascii="仿宋" w:eastAsia="仿宋" w:hAnsi="仿宋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。另一方面，</w:t>
      </w:r>
      <w:r w:rsidRPr="006F0092">
        <w:rPr>
          <w:rFonts w:ascii="仿宋" w:eastAsia="仿宋" w:hAnsi="仿宋" w:hint="eastAsia"/>
          <w:sz w:val="30"/>
          <w:szCs w:val="30"/>
        </w:rPr>
        <w:t>"互联网+"</w:t>
      </w:r>
      <w:r>
        <w:rPr>
          <w:rFonts w:ascii="仿宋" w:eastAsia="仿宋" w:hAnsi="仿宋" w:hint="eastAsia"/>
          <w:sz w:val="30"/>
          <w:szCs w:val="30"/>
        </w:rPr>
        <w:t>、</w:t>
      </w:r>
      <w:r w:rsidRPr="006F0092">
        <w:rPr>
          <w:rFonts w:ascii="仿宋" w:eastAsia="仿宋" w:hAnsi="仿宋" w:hint="eastAsia"/>
          <w:sz w:val="30"/>
          <w:szCs w:val="30"/>
        </w:rPr>
        <w:t>"中国制造2025"</w:t>
      </w:r>
      <w:r>
        <w:rPr>
          <w:rFonts w:ascii="仿宋" w:eastAsia="仿宋" w:hAnsi="仿宋" w:hint="eastAsia"/>
          <w:sz w:val="30"/>
          <w:szCs w:val="30"/>
        </w:rPr>
        <w:t>等重大战略实施</w:t>
      </w:r>
      <w:r>
        <w:rPr>
          <w:rFonts w:ascii="仿宋" w:eastAsia="仿宋" w:hAnsi="仿宋"/>
          <w:sz w:val="30"/>
          <w:szCs w:val="30"/>
        </w:rPr>
        <w:t>促进</w:t>
      </w:r>
      <w:r>
        <w:rPr>
          <w:rFonts w:ascii="仿宋" w:eastAsia="仿宋" w:hAnsi="仿宋" w:hint="eastAsia"/>
          <w:sz w:val="30"/>
          <w:szCs w:val="30"/>
        </w:rPr>
        <w:t>智能制造、智能控制终端大规模发展，</w:t>
      </w:r>
      <w:r>
        <w:rPr>
          <w:rFonts w:ascii="仿宋" w:eastAsia="仿宋" w:hAnsi="仿宋"/>
          <w:sz w:val="30"/>
          <w:szCs w:val="30"/>
        </w:rPr>
        <w:t>从而</w:t>
      </w:r>
      <w:r>
        <w:rPr>
          <w:rFonts w:ascii="仿宋" w:eastAsia="仿宋" w:hAnsi="仿宋" w:hint="eastAsia"/>
          <w:sz w:val="30"/>
          <w:szCs w:val="30"/>
        </w:rPr>
        <w:t>带动工业控制网络安全</w:t>
      </w:r>
      <w:r>
        <w:rPr>
          <w:rFonts w:ascii="仿宋" w:eastAsia="仿宋" w:hAnsi="仿宋"/>
          <w:sz w:val="30"/>
          <w:szCs w:val="30"/>
        </w:rPr>
        <w:t>、数字</w:t>
      </w:r>
      <w:r>
        <w:rPr>
          <w:rFonts w:ascii="仿宋" w:eastAsia="仿宋" w:hAnsi="仿宋" w:hint="eastAsia"/>
          <w:sz w:val="30"/>
          <w:szCs w:val="30"/>
        </w:rPr>
        <w:t>信息</w:t>
      </w:r>
      <w:r w:rsidRPr="006F0092">
        <w:rPr>
          <w:rFonts w:ascii="仿宋" w:eastAsia="仿宋" w:hAnsi="仿宋" w:hint="eastAsia"/>
          <w:sz w:val="30"/>
          <w:szCs w:val="30"/>
        </w:rPr>
        <w:t>安全</w:t>
      </w:r>
      <w:r>
        <w:rPr>
          <w:rFonts w:ascii="仿宋" w:eastAsia="仿宋" w:hAnsi="仿宋" w:hint="eastAsia"/>
          <w:sz w:val="30"/>
          <w:szCs w:val="30"/>
        </w:rPr>
        <w:t>领域</w:t>
      </w:r>
      <w:r>
        <w:rPr>
          <w:rFonts w:ascii="仿宋" w:eastAsia="仿宋" w:hAnsi="仿宋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配套需求急剧</w:t>
      </w:r>
      <w:r>
        <w:rPr>
          <w:rFonts w:ascii="仿宋" w:eastAsia="仿宋" w:hAnsi="仿宋"/>
          <w:sz w:val="30"/>
          <w:szCs w:val="30"/>
        </w:rPr>
        <w:t>扩大</w:t>
      </w:r>
      <w:r>
        <w:rPr>
          <w:rFonts w:ascii="仿宋" w:eastAsia="仿宋" w:hAnsi="仿宋" w:hint="eastAsia"/>
          <w:sz w:val="30"/>
          <w:szCs w:val="30"/>
        </w:rPr>
        <w:t>，如同有科技利润</w:t>
      </w:r>
      <w:r>
        <w:rPr>
          <w:rFonts w:ascii="仿宋" w:eastAsia="仿宋" w:hAnsi="仿宋"/>
          <w:sz w:val="30"/>
          <w:szCs w:val="30"/>
        </w:rPr>
        <w:t>增速超过</w:t>
      </w:r>
      <w:r>
        <w:rPr>
          <w:rFonts w:ascii="仿宋" w:eastAsia="仿宋" w:hAnsi="仿宋" w:hint="eastAsia"/>
          <w:sz w:val="30"/>
          <w:szCs w:val="30"/>
        </w:rPr>
        <w:t>100</w:t>
      </w:r>
      <w:r>
        <w:rPr>
          <w:rFonts w:ascii="仿宋" w:eastAsia="仿宋" w:hAnsi="仿宋"/>
          <w:sz w:val="30"/>
          <w:szCs w:val="30"/>
        </w:rPr>
        <w:t>%，</w:t>
      </w:r>
      <w:r>
        <w:rPr>
          <w:rFonts w:ascii="仿宋" w:eastAsia="仿宋" w:hAnsi="仿宋" w:hint="eastAsia"/>
          <w:sz w:val="30"/>
          <w:szCs w:val="30"/>
        </w:rPr>
        <w:t>营收</w:t>
      </w:r>
      <w:r>
        <w:rPr>
          <w:rFonts w:ascii="仿宋" w:eastAsia="仿宋" w:hAnsi="仿宋"/>
          <w:sz w:val="30"/>
          <w:szCs w:val="30"/>
        </w:rPr>
        <w:t>增速</w:t>
      </w:r>
      <w:r>
        <w:rPr>
          <w:rFonts w:ascii="仿宋" w:eastAsia="仿宋" w:hAnsi="仿宋" w:hint="eastAsia"/>
          <w:sz w:val="30"/>
          <w:szCs w:val="30"/>
        </w:rPr>
        <w:t>超过50</w:t>
      </w:r>
      <w:r>
        <w:rPr>
          <w:rFonts w:ascii="仿宋" w:eastAsia="仿宋" w:hAnsi="仿宋"/>
          <w:sz w:val="30"/>
          <w:szCs w:val="30"/>
        </w:rPr>
        <w:t>%。</w:t>
      </w:r>
    </w:p>
    <w:p w14:paraId="49ED6C67" w14:textId="77777777" w:rsidR="005F7514" w:rsidRDefault="005F7514" w:rsidP="00E83207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（三）东部地区</w:t>
      </w:r>
      <w:r w:rsidR="00E00D28">
        <w:rPr>
          <w:rFonts w:ascii="仿宋" w:eastAsia="仿宋" w:hAnsi="仿宋" w:hint="eastAsia"/>
          <w:b/>
          <w:sz w:val="30"/>
          <w:szCs w:val="30"/>
        </w:rPr>
        <w:t>战略性新兴产业发展</w:t>
      </w:r>
      <w:r w:rsidR="00757380">
        <w:rPr>
          <w:rFonts w:ascii="仿宋" w:eastAsia="仿宋" w:hAnsi="仿宋" w:hint="eastAsia"/>
          <w:b/>
          <w:sz w:val="30"/>
          <w:szCs w:val="30"/>
        </w:rPr>
        <w:t>一枝独秀</w:t>
      </w:r>
    </w:p>
    <w:p w14:paraId="34647D17" w14:textId="29100171" w:rsidR="00746E8E" w:rsidRDefault="00E27B72" w:rsidP="00CF4C37">
      <w:pPr>
        <w:spacing w:beforeLines="100" w:before="312" w:line="360" w:lineRule="auto"/>
        <w:ind w:firstLineChars="200" w:firstLine="562"/>
        <w:rPr>
          <w:rFonts w:ascii="仿宋" w:eastAsia="仿宋" w:hAnsi="仿宋"/>
          <w:sz w:val="30"/>
          <w:szCs w:val="30"/>
        </w:rPr>
      </w:pPr>
      <w:r w:rsidRPr="00FA70DE">
        <w:rPr>
          <w:rFonts w:ascii="黑体" w:eastAsia="黑体" w:hAnsi="黑体"/>
          <w:b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767096B" wp14:editId="06E11834">
            <wp:simplePos x="0" y="0"/>
            <wp:positionH relativeFrom="column">
              <wp:posOffset>85725</wp:posOffset>
            </wp:positionH>
            <wp:positionV relativeFrom="paragraph">
              <wp:posOffset>6851650</wp:posOffset>
            </wp:positionV>
            <wp:extent cx="5114925" cy="1813560"/>
            <wp:effectExtent l="0" t="0" r="0" b="0"/>
            <wp:wrapNone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E8E">
        <w:rPr>
          <w:rFonts w:ascii="仿宋" w:eastAsia="仿宋" w:hAnsi="仿宋" w:hint="eastAsia"/>
          <w:sz w:val="30"/>
          <w:szCs w:val="30"/>
        </w:rPr>
        <w:t>二季度，</w:t>
      </w:r>
      <w:r w:rsidR="00D8693A">
        <w:rPr>
          <w:rFonts w:ascii="仿宋" w:eastAsia="仿宋" w:hAnsi="仿宋" w:hint="eastAsia"/>
          <w:sz w:val="30"/>
          <w:szCs w:val="30"/>
        </w:rPr>
        <w:t>仅东部地区业绩</w:t>
      </w:r>
      <w:r w:rsidR="00242710">
        <w:rPr>
          <w:rFonts w:ascii="仿宋" w:eastAsia="仿宋" w:hAnsi="仿宋" w:hint="eastAsia"/>
          <w:sz w:val="30"/>
          <w:szCs w:val="30"/>
        </w:rPr>
        <w:t>增速仍旧</w:t>
      </w:r>
      <w:r w:rsidR="00691C95">
        <w:rPr>
          <w:rFonts w:ascii="仿宋" w:eastAsia="仿宋" w:hAnsi="仿宋" w:hint="eastAsia"/>
          <w:sz w:val="30"/>
          <w:szCs w:val="30"/>
        </w:rPr>
        <w:t>继续上升</w:t>
      </w:r>
      <w:r w:rsidR="00D8693A">
        <w:rPr>
          <w:rFonts w:ascii="仿宋" w:eastAsia="仿宋" w:hAnsi="仿宋" w:hint="eastAsia"/>
          <w:sz w:val="30"/>
          <w:szCs w:val="30"/>
        </w:rPr>
        <w:t>，其余三大区</w:t>
      </w:r>
      <w:r w:rsidR="00106EC2">
        <w:rPr>
          <w:rFonts w:ascii="仿宋" w:eastAsia="仿宋" w:hAnsi="仿宋" w:hint="eastAsia"/>
          <w:sz w:val="30"/>
          <w:szCs w:val="30"/>
        </w:rPr>
        <w:t>营收增速</w:t>
      </w:r>
      <w:r w:rsidR="00D8693A">
        <w:rPr>
          <w:rFonts w:ascii="仿宋" w:eastAsia="仿宋" w:hAnsi="仿宋" w:hint="eastAsia"/>
          <w:sz w:val="30"/>
          <w:szCs w:val="30"/>
        </w:rPr>
        <w:t>均出现不同程度下滑。</w:t>
      </w:r>
      <w:r w:rsidR="00746E8E" w:rsidRPr="00EE5F46">
        <w:rPr>
          <w:rFonts w:ascii="仿宋" w:eastAsia="仿宋" w:hAnsi="仿宋" w:hint="eastAsia"/>
          <w:b/>
          <w:sz w:val="30"/>
          <w:szCs w:val="30"/>
        </w:rPr>
        <w:t>东部地区</w:t>
      </w:r>
      <w:r w:rsidR="00242710" w:rsidRPr="00242710">
        <w:rPr>
          <w:rFonts w:ascii="仿宋" w:eastAsia="仿宋" w:hAnsi="仿宋" w:hint="eastAsia"/>
          <w:sz w:val="30"/>
          <w:szCs w:val="30"/>
        </w:rPr>
        <w:t>增速</w:t>
      </w:r>
      <w:r w:rsidR="00746E8E">
        <w:rPr>
          <w:rFonts w:ascii="仿宋" w:eastAsia="仿宋" w:hAnsi="仿宋" w:hint="eastAsia"/>
          <w:sz w:val="30"/>
          <w:szCs w:val="30"/>
        </w:rPr>
        <w:t>连续五个季度保持</w:t>
      </w:r>
      <w:r w:rsidR="00691C95">
        <w:rPr>
          <w:rFonts w:ascii="仿宋" w:eastAsia="仿宋" w:hAnsi="仿宋" w:hint="eastAsia"/>
          <w:sz w:val="30"/>
          <w:szCs w:val="30"/>
        </w:rPr>
        <w:t>上扬</w:t>
      </w:r>
      <w:r w:rsidR="00746E8E">
        <w:rPr>
          <w:rFonts w:ascii="仿宋" w:eastAsia="仿宋" w:hAnsi="仿宋" w:hint="eastAsia"/>
          <w:sz w:val="30"/>
          <w:szCs w:val="30"/>
        </w:rPr>
        <w:t>，本期业绩增幅达18.3%，高于去年同期2.6个百分点。</w:t>
      </w:r>
      <w:r w:rsidR="00B261DC">
        <w:rPr>
          <w:rFonts w:ascii="仿宋" w:eastAsia="仿宋" w:hAnsi="仿宋" w:hint="eastAsia"/>
          <w:sz w:val="30"/>
          <w:szCs w:val="30"/>
        </w:rPr>
        <w:t>江苏省凭借31.5%的营收增幅位列第一，山东、浙江和上海营收增速均超过20%</w:t>
      </w:r>
      <w:r w:rsidR="00B261DC" w:rsidRPr="007A3BA7">
        <w:rPr>
          <w:rFonts w:ascii="仿宋" w:eastAsia="仿宋" w:hAnsi="仿宋" w:hint="eastAsia"/>
          <w:sz w:val="30"/>
          <w:szCs w:val="30"/>
        </w:rPr>
        <w:t>。</w:t>
      </w:r>
      <w:r w:rsidR="00746E8E" w:rsidRPr="00EE5F46">
        <w:rPr>
          <w:rFonts w:ascii="仿宋" w:eastAsia="仿宋" w:hAnsi="仿宋" w:hint="eastAsia"/>
          <w:b/>
          <w:sz w:val="30"/>
          <w:szCs w:val="30"/>
        </w:rPr>
        <w:t>中部地区</w:t>
      </w:r>
      <w:r w:rsidR="00746E8E">
        <w:rPr>
          <w:rFonts w:ascii="仿宋" w:eastAsia="仿宋" w:hAnsi="仿宋" w:hint="eastAsia"/>
          <w:sz w:val="30"/>
          <w:szCs w:val="30"/>
        </w:rPr>
        <w:t>下滑至第二位，</w:t>
      </w:r>
      <w:r w:rsidR="00601549">
        <w:rPr>
          <w:rFonts w:ascii="仿宋" w:eastAsia="仿宋" w:hAnsi="仿宋" w:hint="eastAsia"/>
          <w:sz w:val="30"/>
          <w:szCs w:val="30"/>
        </w:rPr>
        <w:t>二</w:t>
      </w:r>
      <w:r w:rsidR="00A53056">
        <w:rPr>
          <w:rFonts w:ascii="仿宋" w:eastAsia="仿宋" w:hAnsi="仿宋" w:hint="eastAsia"/>
          <w:sz w:val="30"/>
          <w:szCs w:val="30"/>
        </w:rPr>
        <w:t>季度营收增速为17.6%</w:t>
      </w:r>
      <w:r w:rsidR="003D0C19">
        <w:rPr>
          <w:rFonts w:ascii="仿宋" w:eastAsia="仿宋" w:hAnsi="仿宋" w:hint="eastAsia"/>
          <w:sz w:val="30"/>
          <w:szCs w:val="30"/>
        </w:rPr>
        <w:t>。</w:t>
      </w:r>
      <w:r w:rsidR="00F43EB5">
        <w:rPr>
          <w:rFonts w:ascii="仿宋" w:eastAsia="仿宋" w:hAnsi="仿宋" w:hint="eastAsia"/>
          <w:sz w:val="30"/>
          <w:szCs w:val="30"/>
        </w:rPr>
        <w:t>安徽和湖北依旧是中部地区增长最快的两个省份，本期山西省</w:t>
      </w:r>
      <w:r w:rsidR="00473B5F">
        <w:rPr>
          <w:rFonts w:ascii="仿宋" w:eastAsia="仿宋" w:hAnsi="仿宋" w:hint="eastAsia"/>
          <w:sz w:val="30"/>
          <w:szCs w:val="30"/>
        </w:rPr>
        <w:t>受新能源和高端装备制造业绩</w:t>
      </w:r>
      <w:r w:rsidR="00A50B23">
        <w:rPr>
          <w:rFonts w:ascii="仿宋" w:eastAsia="仿宋" w:hAnsi="仿宋" w:hint="eastAsia"/>
          <w:sz w:val="30"/>
          <w:szCs w:val="30"/>
        </w:rPr>
        <w:t>大幅下跌影响，</w:t>
      </w:r>
      <w:r w:rsidR="00F43EB5">
        <w:rPr>
          <w:rFonts w:ascii="仿宋" w:eastAsia="仿宋" w:hAnsi="仿宋" w:hint="eastAsia"/>
          <w:sz w:val="30"/>
          <w:szCs w:val="30"/>
        </w:rPr>
        <w:t>营收</w:t>
      </w:r>
      <w:r w:rsidR="005B236B">
        <w:rPr>
          <w:rFonts w:ascii="仿宋" w:eastAsia="仿宋" w:hAnsi="仿宋" w:hint="eastAsia"/>
          <w:sz w:val="30"/>
          <w:szCs w:val="30"/>
        </w:rPr>
        <w:t>增速</w:t>
      </w:r>
      <w:r w:rsidR="00F43EB5">
        <w:rPr>
          <w:rFonts w:ascii="仿宋" w:eastAsia="仿宋" w:hAnsi="仿宋" w:hint="eastAsia"/>
          <w:sz w:val="30"/>
          <w:szCs w:val="30"/>
        </w:rPr>
        <w:t>出现负增长。</w:t>
      </w:r>
      <w:r w:rsidR="00850724" w:rsidRPr="00303281">
        <w:rPr>
          <w:rFonts w:ascii="仿宋" w:eastAsia="仿宋" w:hAnsi="仿宋" w:hint="eastAsia"/>
          <w:b/>
          <w:sz w:val="30"/>
          <w:szCs w:val="30"/>
        </w:rPr>
        <w:t>西部地区</w:t>
      </w:r>
      <w:r w:rsidR="00303281">
        <w:rPr>
          <w:rFonts w:ascii="仿宋" w:eastAsia="仿宋" w:hAnsi="仿宋" w:hint="eastAsia"/>
          <w:sz w:val="30"/>
          <w:szCs w:val="30"/>
        </w:rPr>
        <w:t>位列第三位，</w:t>
      </w:r>
      <w:r w:rsidR="00CD4B14">
        <w:rPr>
          <w:rFonts w:ascii="仿宋" w:eastAsia="仿宋" w:hAnsi="仿宋" w:hint="eastAsia"/>
          <w:sz w:val="30"/>
          <w:szCs w:val="30"/>
        </w:rPr>
        <w:t>二季度营收增速为14.5%，低于去年同期1.3个百分点。</w:t>
      </w:r>
      <w:r w:rsidR="00AF16AC">
        <w:rPr>
          <w:rFonts w:ascii="仿宋" w:eastAsia="仿宋" w:hAnsi="仿宋" w:hint="eastAsia"/>
          <w:sz w:val="30"/>
          <w:szCs w:val="30"/>
        </w:rPr>
        <w:t>主要原因在于</w:t>
      </w:r>
      <w:r w:rsidR="001E5ED7">
        <w:rPr>
          <w:rFonts w:ascii="仿宋" w:eastAsia="仿宋" w:hAnsi="仿宋" w:hint="eastAsia"/>
          <w:sz w:val="30"/>
          <w:szCs w:val="30"/>
        </w:rPr>
        <w:t>新能源和新一代信息技术下滑明显，高端装备制造业</w:t>
      </w:r>
      <w:r w:rsidR="000F7799">
        <w:rPr>
          <w:rFonts w:ascii="仿宋" w:eastAsia="仿宋" w:hAnsi="仿宋" w:hint="eastAsia"/>
          <w:sz w:val="30"/>
          <w:szCs w:val="30"/>
        </w:rPr>
        <w:t>营收较去年同期</w:t>
      </w:r>
      <w:r w:rsidR="00AB7087">
        <w:rPr>
          <w:rFonts w:ascii="仿宋" w:eastAsia="仿宋" w:hAnsi="仿宋" w:hint="eastAsia"/>
          <w:sz w:val="30"/>
          <w:szCs w:val="30"/>
        </w:rPr>
        <w:t>有所降低</w:t>
      </w:r>
      <w:r w:rsidR="001E5ED7">
        <w:rPr>
          <w:rFonts w:ascii="仿宋" w:eastAsia="仿宋" w:hAnsi="仿宋" w:hint="eastAsia"/>
          <w:sz w:val="30"/>
          <w:szCs w:val="30"/>
        </w:rPr>
        <w:t>。</w:t>
      </w:r>
      <w:r w:rsidR="00CF2A84" w:rsidRPr="002D1600">
        <w:rPr>
          <w:rFonts w:ascii="仿宋" w:eastAsia="仿宋" w:hAnsi="仿宋" w:hint="eastAsia"/>
          <w:b/>
          <w:sz w:val="30"/>
          <w:szCs w:val="30"/>
        </w:rPr>
        <w:t>东北地区</w:t>
      </w:r>
      <w:r w:rsidR="002D1600">
        <w:rPr>
          <w:rFonts w:ascii="仿宋" w:eastAsia="仿宋" w:hAnsi="仿宋" w:hint="eastAsia"/>
          <w:sz w:val="30"/>
          <w:szCs w:val="30"/>
        </w:rPr>
        <w:t>继续垫底，二季度营收增速为-1.3%，负增长态势已持续两期</w:t>
      </w:r>
      <w:r w:rsidR="0061760F">
        <w:rPr>
          <w:rFonts w:ascii="仿宋" w:eastAsia="仿宋" w:hAnsi="仿宋" w:hint="eastAsia"/>
          <w:sz w:val="30"/>
          <w:szCs w:val="30"/>
        </w:rPr>
        <w:t>（见图</w:t>
      </w:r>
      <w:r w:rsidR="008C7AD9">
        <w:rPr>
          <w:rFonts w:ascii="仿宋" w:eastAsia="仿宋" w:hAnsi="仿宋" w:hint="eastAsia"/>
          <w:sz w:val="30"/>
          <w:szCs w:val="30"/>
        </w:rPr>
        <w:t>4</w:t>
      </w:r>
      <w:r w:rsidR="0061760F">
        <w:rPr>
          <w:rFonts w:ascii="仿宋" w:eastAsia="仿宋" w:hAnsi="仿宋" w:hint="eastAsia"/>
          <w:sz w:val="30"/>
          <w:szCs w:val="30"/>
        </w:rPr>
        <w:t>）。</w:t>
      </w:r>
      <w:r w:rsidR="00AF16AC">
        <w:rPr>
          <w:rFonts w:ascii="仿宋" w:eastAsia="仿宋" w:hAnsi="仿宋" w:hint="eastAsia"/>
          <w:sz w:val="30"/>
          <w:szCs w:val="30"/>
        </w:rPr>
        <w:t>从其</w:t>
      </w:r>
      <w:r w:rsidR="001D5216">
        <w:rPr>
          <w:rFonts w:ascii="仿宋" w:eastAsia="仿宋" w:hAnsi="仿宋" w:hint="eastAsia"/>
          <w:sz w:val="30"/>
          <w:szCs w:val="30"/>
        </w:rPr>
        <w:t>具体</w:t>
      </w:r>
      <w:r w:rsidR="00AF16AC">
        <w:rPr>
          <w:rFonts w:ascii="仿宋" w:eastAsia="仿宋" w:hAnsi="仿宋" w:hint="eastAsia"/>
          <w:sz w:val="30"/>
          <w:szCs w:val="30"/>
        </w:rPr>
        <w:t>省份</w:t>
      </w:r>
      <w:r w:rsidR="001D5216">
        <w:rPr>
          <w:rFonts w:ascii="仿宋" w:eastAsia="仿宋" w:hAnsi="仿宋" w:hint="eastAsia"/>
          <w:sz w:val="30"/>
          <w:szCs w:val="30"/>
        </w:rPr>
        <w:t>来看，</w:t>
      </w:r>
      <w:r w:rsidR="00484B92">
        <w:rPr>
          <w:rFonts w:ascii="仿宋" w:eastAsia="仿宋" w:hAnsi="仿宋" w:hint="eastAsia"/>
          <w:sz w:val="30"/>
          <w:szCs w:val="30"/>
        </w:rPr>
        <w:t>辽宁省以12.1%的增速成为东三省中唯一的稳定增长省份</w:t>
      </w:r>
      <w:r w:rsidR="00A60795">
        <w:rPr>
          <w:rFonts w:ascii="仿宋" w:eastAsia="仿宋" w:hAnsi="仿宋" w:hint="eastAsia"/>
          <w:sz w:val="30"/>
          <w:szCs w:val="30"/>
        </w:rPr>
        <w:t>（见图</w:t>
      </w:r>
      <w:r w:rsidR="00AF16AC">
        <w:rPr>
          <w:rFonts w:ascii="仿宋" w:eastAsia="仿宋" w:hAnsi="仿宋" w:hint="eastAsia"/>
          <w:sz w:val="30"/>
          <w:szCs w:val="30"/>
        </w:rPr>
        <w:t>5</w:t>
      </w:r>
      <w:r w:rsidR="00A60795">
        <w:rPr>
          <w:rFonts w:ascii="仿宋" w:eastAsia="仿宋" w:hAnsi="仿宋" w:hint="eastAsia"/>
          <w:sz w:val="30"/>
          <w:szCs w:val="30"/>
        </w:rPr>
        <w:t>）</w:t>
      </w:r>
      <w:r w:rsidR="0061760F">
        <w:rPr>
          <w:rFonts w:ascii="仿宋" w:eastAsia="仿宋" w:hAnsi="仿宋" w:hint="eastAsia"/>
          <w:sz w:val="30"/>
          <w:szCs w:val="30"/>
        </w:rPr>
        <w:t>。</w:t>
      </w:r>
    </w:p>
    <w:p w14:paraId="0E1FB4C0" w14:textId="77777777" w:rsidR="00D0529A" w:rsidRDefault="00C47556" w:rsidP="00C47556">
      <w:pPr>
        <w:spacing w:beforeLines="100" w:before="312" w:line="360" w:lineRule="auto"/>
        <w:ind w:firstLineChars="200" w:firstLine="562"/>
        <w:rPr>
          <w:rFonts w:ascii="仿宋" w:eastAsia="仿宋" w:hAnsi="仿宋"/>
          <w:sz w:val="30"/>
          <w:szCs w:val="30"/>
        </w:rPr>
      </w:pPr>
      <w:r w:rsidRPr="00FA70DE">
        <w:rPr>
          <w:rFonts w:ascii="黑体" w:eastAsia="黑体" w:hAnsi="黑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02272" behindDoc="0" locked="0" layoutInCell="1" allowOverlap="1" wp14:anchorId="046A3D90" wp14:editId="7AC87967">
            <wp:simplePos x="0" y="0"/>
            <wp:positionH relativeFrom="column">
              <wp:posOffset>228600</wp:posOffset>
            </wp:positionH>
            <wp:positionV relativeFrom="paragraph">
              <wp:posOffset>279400</wp:posOffset>
            </wp:positionV>
            <wp:extent cx="5114925" cy="1813560"/>
            <wp:effectExtent l="0" t="0" r="0" b="0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5D19C" w14:textId="77777777" w:rsidR="00D0529A" w:rsidRDefault="00D0529A" w:rsidP="00C47556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A273FC9" w14:textId="77777777" w:rsidR="00D0529A" w:rsidRDefault="00D0529A" w:rsidP="00D0529A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7EC6F46E" w14:textId="6C40430C" w:rsidR="00D0529A" w:rsidRDefault="00C47556" w:rsidP="00D0529A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6582E" wp14:editId="580C8395">
                <wp:simplePos x="0" y="0"/>
                <wp:positionH relativeFrom="column">
                  <wp:posOffset>-42545</wp:posOffset>
                </wp:positionH>
                <wp:positionV relativeFrom="paragraph">
                  <wp:posOffset>385445</wp:posOffset>
                </wp:positionV>
                <wp:extent cx="5247640" cy="281940"/>
                <wp:effectExtent l="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95E57" w14:textId="53EB798C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8C7AD9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各地区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营收增速对比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.35pt;margin-top:30.35pt;width:413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sHggIAABY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KUaK&#10;dEDRAx88utYDmoXu9MZV4HRvwM0PsA0sx0qdudP0s0NK37REbfmVtbpvOWGQXRZOJmdHRxwXQDb9&#10;O80gDNl5HYGGxnahddAMBOjA0uOJmZAKhc1pXsxnBZgo2PJFVsI8hCDV8bSxzr/hukNhUmMLzEd0&#10;sr9zfnQ9uoRgTkvB1kLKuLDbzY20aE9AJev4HdCfuUkVnJUOx0bEcQeShBjBFtKNrH8rs7xIr/Ny&#10;sp4t5pNiXUwn5TxdTNKsvC5naVEWt+vvIcGsqFrBGFd3QvGjArPi7xg+3IVRO1GDqK9xOc2nI0V/&#10;LDKN3++K7ISHCylFV+PFyYlUgdjXikHZpPJEyHGePE8/EgI9OP5jV6IMAvOjBvywGaLeXoXoQSIb&#10;zR5BF1YDbcAwPCYwabX9ilEPF7PG7suOWI6RfKtAW2VWBCH4uCim8xwW9tyyObcQRQGqxh6jcXrj&#10;x9u/M1ZsW4g0qlnpK9BjI6JUnrI6qBguX6zp8FCE232+jl5Pz9nqBwAAAP//AwBQSwMEFAAGAAgA&#10;AAAhAGXA1undAAAACQEAAA8AAABkcnMvZG93bnJldi54bWxMj8FOwzAQRO9I/IO1lbig1g6iSRvi&#10;VIAE4trSD9jE2yRqbEex26R/z3KC0+5qRrNvit1se3GlMXTeaUhWCgS52pvONRqO3x/LDYgQ0Rns&#10;vSMNNwqwK+/vCsyNn9yerofYCA5xIUcNbYxDLmWoW7IYVn4gx9rJjxYjn2MjzYgTh9tePimVSoud&#10;4w8tDvTeUn0+XKyG09f0uN5O1Wc8Zvvn9A27rPI3rR8W8+sLiEhz/DPDLz6jQ8lMlb84E0SvYZlm&#10;7NSQKp6sb5ItLxUb1ToBWRbyf4PyBwAA//8DAFBLAQItABQABgAIAAAAIQC2gziS/gAAAOEBAAAT&#10;AAAAAAAAAAAAAAAAAAAAAABbQ29udGVudF9UeXBlc10ueG1sUEsBAi0AFAAGAAgAAAAhADj9If/W&#10;AAAAlAEAAAsAAAAAAAAAAAAAAAAALwEAAF9yZWxzLy5yZWxzUEsBAi0AFAAGAAgAAAAhAI2fCweC&#10;AgAAFgUAAA4AAAAAAAAAAAAAAAAALgIAAGRycy9lMm9Eb2MueG1sUEsBAi0AFAAGAAgAAAAhAGXA&#10;1undAAAACQEAAA8AAAAAAAAAAAAAAAAA3AQAAGRycy9kb3ducmV2LnhtbFBLBQYAAAAABAAEAPMA&#10;AADmBQAAAAA=&#10;" stroked="f">
                <v:textbox>
                  <w:txbxContent>
                    <w:p w14:paraId="4F795E57" w14:textId="53EB798C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8C7AD9">
                        <w:rPr>
                          <w:b/>
                        </w:rPr>
                        <w:t>4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各地区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营收增速对比</w:t>
                      </w:r>
                    </w:p>
                  </w:txbxContent>
                </v:textbox>
              </v:shape>
            </w:pict>
          </mc:Fallback>
        </mc:AlternateContent>
      </w:r>
    </w:p>
    <w:p w14:paraId="75332860" w14:textId="3EF53200" w:rsidR="00352E07" w:rsidRDefault="00A60795" w:rsidP="00AF16AC">
      <w:pPr>
        <w:spacing w:beforeLines="100" w:before="312"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7F8111" wp14:editId="5F8BEFFB">
                <wp:simplePos x="0" y="0"/>
                <wp:positionH relativeFrom="column">
                  <wp:posOffset>171450</wp:posOffset>
                </wp:positionH>
                <wp:positionV relativeFrom="paragraph">
                  <wp:posOffset>1562100</wp:posOffset>
                </wp:positionV>
                <wp:extent cx="5247640" cy="281940"/>
                <wp:effectExtent l="0" t="0" r="0" b="3810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E73D9" w14:textId="231EAEA9" w:rsidR="00A60795" w:rsidRPr="00F11A1B" w:rsidRDefault="00A60795" w:rsidP="00A607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AF16AC"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二季度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东北地区各省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营收增速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.5pt;margin-top:123pt;width:413.2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0yggIAABc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xlG&#10;inTA0QMfPLrWA5qF9vTGVeB1b8DPD7ANNMdSnbnT9LNDSt+0RG35lbW6bzlhkF4WTiZnR0ccF0A2&#10;/TvNIAzZeR2BhsZ2oXfQDQToQNPjiZqQCoXNaV7MZwWYKNjyRVbCPIQg1fG0sc6/4bpDYVJjC9RH&#10;dLK/c350PbqEYE5LwdZCyriw282NtGhPQCbr+B3Qn7lJFZyVDsdGxHEHkoQYwRbSjbR/K7O8SK/z&#10;crKeLeaTYl1MJ+U8XUzSrLwuZ2lRFrfr7yHBrKhawRhXd0LxowSz4u8oPlyGUTxRhKivcTnNpyNF&#10;fywyjd/viuyEhxspRVfjxcmJVIHY14pB2aTyRMhxnjxPPxICPTj+Y1eiDALzowb8sBmi4IoQPUhk&#10;o9kj6MJqoA0YhtcEJq22XzHq4WbW2H3ZEcsxkm8VaKvMiiAEHxfFdJ7Dwp5bNucWoihA1dhjNE5v&#10;/Hj9d8aKbQuRRjUrfQV6bESUylNWBxXD7Ys1HV6KcL3P19Hr6T1b/QAAAP//AwBQSwMEFAAGAAgA&#10;AAAhAMFm+PbeAAAACgEAAA8AAABkcnMvZG93bnJldi54bWxMj91Og0AQhe9NfIfNmHhj7GKl0CJL&#10;oyYab1v7AANMgcjOEnZb6Ns7Xtmr+Ts58518O9tenWn0nWMDT4sIFHHl6o4bA4fvj8c1KB+Qa+wd&#10;k4ELedgWtzc5ZrWbeEfnfWiUmLDP0EAbwpBp7auWLPqFG4jldnSjxSDj2Oh6xEnMba+XUZRoix3L&#10;hxYHem+p+tmfrIHj1/Sw2kzlZzikuzh5wy4t3cWY+7v59QVUoDn8i+EPX9ChEKbSnbj2qjewTCVK&#10;kBon0ohgvXqOQZWy2UQx6CLX1xGKXwAAAP//AwBQSwECLQAUAAYACAAAACEAtoM4kv4AAADhAQAA&#10;EwAAAAAAAAAAAAAAAAAAAAAAW0NvbnRlbnRfVHlwZXNdLnhtbFBLAQItABQABgAIAAAAIQA4/SH/&#10;1gAAAJQBAAALAAAAAAAAAAAAAAAAAC8BAABfcmVscy8ucmVsc1BLAQItABQABgAIAAAAIQDtZa0y&#10;ggIAABcFAAAOAAAAAAAAAAAAAAAAAC4CAABkcnMvZTJvRG9jLnhtbFBLAQItABQABgAIAAAAIQDB&#10;Zvj23gAAAAoBAAAPAAAAAAAAAAAAAAAAANwEAABkcnMvZG93bnJldi54bWxQSwUGAAAAAAQABADz&#10;AAAA5wUAAAAA&#10;" stroked="f">
                <v:textbox>
                  <w:txbxContent>
                    <w:p w14:paraId="095E73D9" w14:textId="231EAEA9" w:rsidR="00A60795" w:rsidRPr="00F11A1B" w:rsidRDefault="00A60795" w:rsidP="00A60795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AF16AC">
                        <w:rPr>
                          <w:rFonts w:hint="eastAsia"/>
                          <w:b/>
                        </w:rPr>
                        <w:t>5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二季度</w:t>
                      </w:r>
                      <w:r>
                        <w:rPr>
                          <w:rFonts w:hint="eastAsia"/>
                          <w:b/>
                        </w:rPr>
                        <w:t>东北地区各省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营收增速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5F1704" wp14:editId="7112A224">
            <wp:extent cx="4572000" cy="1343025"/>
            <wp:effectExtent l="0" t="0" r="0" b="0"/>
            <wp:docPr id="30" name="图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872980" w14:textId="1BDBDAD7" w:rsidR="00BA5AC2" w:rsidRPr="00AF16AC" w:rsidRDefault="00BA5AC2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</w:t>
      </w:r>
      <w:r w:rsidRPr="00AF16AC">
        <w:rPr>
          <w:rFonts w:ascii="仿宋" w:eastAsia="仿宋" w:hAnsi="仿宋" w:hint="eastAsia"/>
          <w:sz w:val="30"/>
          <w:szCs w:val="30"/>
        </w:rPr>
        <w:t>重点</w:t>
      </w:r>
      <w:r>
        <w:rPr>
          <w:rFonts w:ascii="仿宋" w:eastAsia="仿宋" w:hAnsi="仿宋" w:hint="eastAsia"/>
          <w:sz w:val="30"/>
          <w:szCs w:val="30"/>
        </w:rPr>
        <w:t>领域发展情况受其所处地域宏观经济环境影响较大。</w:t>
      </w:r>
      <w:r w:rsidR="006F3B1D">
        <w:rPr>
          <w:rFonts w:ascii="仿宋" w:eastAsia="仿宋" w:hAnsi="仿宋" w:hint="eastAsia"/>
          <w:sz w:val="30"/>
          <w:szCs w:val="30"/>
        </w:rPr>
        <w:t>以生物行业为例，</w:t>
      </w:r>
      <w:r w:rsidR="002900D1">
        <w:rPr>
          <w:rFonts w:ascii="仿宋" w:eastAsia="仿宋" w:hAnsi="仿宋" w:hint="eastAsia"/>
          <w:sz w:val="30"/>
          <w:szCs w:val="30"/>
        </w:rPr>
        <w:t>由于东北地区经济整体低迷，上半年东北生物产业出现负营收增速，</w:t>
      </w:r>
      <w:r w:rsidR="00C96B37">
        <w:rPr>
          <w:rFonts w:ascii="仿宋" w:eastAsia="仿宋" w:hAnsi="仿宋" w:hint="eastAsia"/>
          <w:sz w:val="30"/>
          <w:szCs w:val="30"/>
        </w:rPr>
        <w:t>增速远低于行业整体水平，且</w:t>
      </w:r>
      <w:r w:rsidR="002900D1">
        <w:rPr>
          <w:rFonts w:ascii="仿宋" w:eastAsia="仿宋" w:hAnsi="仿宋" w:hint="eastAsia"/>
          <w:sz w:val="30"/>
          <w:szCs w:val="30"/>
        </w:rPr>
        <w:t>一二季度营收均低于去年同期</w:t>
      </w:r>
      <w:r w:rsidR="008C7AD9">
        <w:rPr>
          <w:rFonts w:ascii="仿宋" w:eastAsia="仿宋" w:hAnsi="仿宋" w:hint="eastAsia"/>
          <w:sz w:val="30"/>
          <w:szCs w:val="30"/>
        </w:rPr>
        <w:t>（见图</w:t>
      </w:r>
      <w:r w:rsidR="00AF2A95">
        <w:rPr>
          <w:rFonts w:ascii="仿宋" w:eastAsia="仿宋" w:hAnsi="仿宋" w:hint="eastAsia"/>
          <w:sz w:val="30"/>
          <w:szCs w:val="30"/>
        </w:rPr>
        <w:t>6</w:t>
      </w:r>
      <w:r w:rsidR="008C7AD9">
        <w:rPr>
          <w:rFonts w:ascii="仿宋" w:eastAsia="仿宋" w:hAnsi="仿宋" w:hint="eastAsia"/>
          <w:sz w:val="30"/>
          <w:szCs w:val="30"/>
        </w:rPr>
        <w:t>）</w:t>
      </w:r>
      <w:r w:rsidR="006D2BDF">
        <w:rPr>
          <w:rFonts w:ascii="仿宋" w:eastAsia="仿宋" w:hAnsi="仿宋" w:hint="eastAsia"/>
          <w:sz w:val="30"/>
          <w:szCs w:val="30"/>
        </w:rPr>
        <w:t>。</w:t>
      </w:r>
    </w:p>
    <w:p w14:paraId="319C2E2D" w14:textId="758BBCDD" w:rsidR="00B261DC" w:rsidRDefault="003432DF" w:rsidP="00AF16AC">
      <w:pPr>
        <w:spacing w:beforeLines="100" w:before="312"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953E5A" wp14:editId="2084EA15">
                <wp:simplePos x="0" y="0"/>
                <wp:positionH relativeFrom="column">
                  <wp:posOffset>76200</wp:posOffset>
                </wp:positionH>
                <wp:positionV relativeFrom="paragraph">
                  <wp:posOffset>2685415</wp:posOffset>
                </wp:positionV>
                <wp:extent cx="5247640" cy="281940"/>
                <wp:effectExtent l="0" t="0" r="0" b="381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99238" w14:textId="2178534E" w:rsidR="00BA5AC2" w:rsidRPr="00F11A1B" w:rsidRDefault="00BA5AC2" w:rsidP="00BA5AC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AF2A95">
                              <w:rPr>
                                <w:rFonts w:hint="eastAsia"/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二季度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东北地区各省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营收及增速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pt;margin-top:211.45pt;width:413.2pt;height:2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QRggIAABc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VwVG&#10;inTA0QMfPLrWA5qF9vTGVeB1b8DPD7ANNMdSnbnT9LNDSt+0RG35lbW6bzlhkF4WTiZnR0ccF0A2&#10;/TvNIAzZeR2BhsZ2oXfQDQToQNPjiZqQCoXNaV7MZwWYKNjyRVbCPIQg1fG0sc6/4bpDYVJjC9RH&#10;dLK/c350PbqEYE5LwdZCyriw282NtGhPQCbr+B3Qn7lJFZyVDsdGxHEHkoQYwRbSjbR/K7O8SK/z&#10;crKeLeaTYl1MJ+U8XUzSrLwuZ2lRFrfr7yHBrKhawRhXd0LxowSz4u8oPlyGUTxRhKivcTnNpyNF&#10;fywyjd/viuyEhxspRVfjxcmJVIHY14pB2aTyRMhxnjxPPxICPTj+Y1eiDALzowb8sBmi4KYhepDI&#10;RrNH0IXVQBswDK8JTFptv2LUw82ssfuyI5ZjJN8q0FaZFUEIPi6K6TyHhT23bM4tRFGAqrHHaJze&#10;+PH674wV2xYijWpW+gr02IgolaesDiqG2xdrOrwU4Xqfr6PX03u2+gEAAP//AwBQSwMEFAAGAAgA&#10;AAAhABB2Fp7eAAAACgEAAA8AAABkcnMvZG93bnJldi54bWxMj0FPg0AQhe8m/ofNmHgxdpEiUGRp&#10;1ETTa2t/wMBugcjOEnZb6L93POnxvXl5871yu9hBXMzke0cKnlYRCEON0z21Co5fH485CB+QNA6O&#10;jIKr8bCtbm9KLLSbaW8uh9AKLiFfoIIuhLGQ0jedsehXbjTEt5ObLAaWUyv1hDOX20HGUZRKiz3x&#10;hw5H896Z5vtwtgpOu/nheTPXn+GY7ZP0Dfusdlel7u+W1xcQwSzhLwy/+IwOFTPV7kzai4F1zFOC&#10;giSONyA4kK/zBETNTpqtQVal/D+h+gEAAP//AwBQSwECLQAUAAYACAAAACEAtoM4kv4AAADhAQAA&#10;EwAAAAAAAAAAAAAAAAAAAAAAW0NvbnRlbnRfVHlwZXNdLnhtbFBLAQItABQABgAIAAAAIQA4/SH/&#10;1gAAAJQBAAALAAAAAAAAAAAAAAAAAC8BAABfcmVscy8ucmVsc1BLAQItABQABgAIAAAAIQB8LIQR&#10;ggIAABcFAAAOAAAAAAAAAAAAAAAAAC4CAABkcnMvZTJvRG9jLnhtbFBLAQItABQABgAIAAAAIQAQ&#10;dhae3gAAAAoBAAAPAAAAAAAAAAAAAAAAANwEAABkcnMvZG93bnJldi54bWxQSwUGAAAAAAQABADz&#10;AAAA5wUAAAAA&#10;" stroked="f">
                <v:textbox>
                  <w:txbxContent>
                    <w:p w14:paraId="15299238" w14:textId="2178534E" w:rsidR="00BA5AC2" w:rsidRPr="00F11A1B" w:rsidRDefault="00BA5AC2" w:rsidP="00BA5AC2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AF2A95">
                        <w:rPr>
                          <w:rFonts w:hint="eastAsia"/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二季度</w:t>
                      </w:r>
                      <w:r>
                        <w:rPr>
                          <w:rFonts w:hint="eastAsia"/>
                          <w:b/>
                        </w:rPr>
                        <w:t>东北地区各省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营收及增速</w:t>
                      </w:r>
                    </w:p>
                  </w:txbxContent>
                </v:textbox>
              </v:shape>
            </w:pict>
          </mc:Fallback>
        </mc:AlternateContent>
      </w:r>
      <w:r w:rsidR="00BA5AC2"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D4A448" wp14:editId="72B181D1">
                <wp:simplePos x="0" y="0"/>
                <wp:positionH relativeFrom="column">
                  <wp:posOffset>-95250</wp:posOffset>
                </wp:positionH>
                <wp:positionV relativeFrom="paragraph">
                  <wp:posOffset>342900</wp:posOffset>
                </wp:positionV>
                <wp:extent cx="895350" cy="281940"/>
                <wp:effectExtent l="0" t="0" r="0" b="381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D89E" w14:textId="7D5ACB12" w:rsidR="00BA5AC2" w:rsidRPr="00AF16AC" w:rsidRDefault="00BA5AC2" w:rsidP="00BA5A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F16AC">
                              <w:rPr>
                                <w:rFonts w:hint="eastAsia"/>
                                <w:sz w:val="20"/>
                              </w:rPr>
                              <w:t>单位：亿元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7.5pt;margin-top:27pt;width:70.5pt;height:2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RChQIAABY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Dz&#10;EiNFeuDokY8e3egRzUN5BuNq8How4OdH2AaaY6rO3Gv6ySGlbzuiNvzaWj10nDAILwsnk5OjE44L&#10;IOvhrWZwDdl6HYHG1vahdlANBOhA09ORmhAKhc1FVZ6XYKFgyhdZVUTqElIfDhvr/GuuexQmDbbA&#10;fAQnu3vnQzCkPriEu5yWgq2ElHFhN+tbadGOgEpW8YvxP3OTKjgrHY5NiNMOxAh3BFuINrL+tcry&#10;Ir3Jq9lqvriYFauinFUX6WKWZtVNNU+LqrhbfQsBZkXdCca4uheKHxSYFX/H8L4XJu1EDaKhwVWZ&#10;lxNDf0wyjd/vkuyFh4aUooeaH51IHXh9pRikTWpPhJzmyc/hxypDDQ7/WJWogkD8JAE/rseot6O4&#10;1po9gSysBtqAYXhMYNJp+wWjARqzwe7zlliOkXyjQFpVVgD5yMdFUV7ksLCnlvWphSgKUA32GE3T&#10;Wz91/9ZYsengpknMSl+DHFsRpRJ0O0W1FzE0X8xp/1CE7j5dR68fz9nyOwAAAP//AwBQSwMEFAAG&#10;AAgAAAAhANGiRKTeAAAACQEAAA8AAABkcnMvZG93bnJldi54bWxMj81ugzAQhO+V8g7WRuqlSkwi&#10;IAllidpKrXrNzwMs2AFUbCPsBPL23Zza0+5qRrPf5PvJdOKmB986i7BaRiC0rZxqbY1wPn0utiB8&#10;IKuoc1Yj3LWHfTF7yilTbrQHfTuGWnCI9RkhNCH0mZS+arQhv3S9tqxd3GAo8DnUUg00crjp5DqK&#10;UmmotfyhoV5/NLr6OV4NwuV7fEl2Y/kVzptDnL5TuyndHfF5Pr29ggh6Cn9meOAzOhTMVLqrVV50&#10;CItVwl0CQhLzfBjWKS8lwm4bgyxy+b9B8QsAAP//AwBQSwECLQAUAAYACAAAACEAtoM4kv4AAADh&#10;AQAAEwAAAAAAAAAAAAAAAAAAAAAAW0NvbnRlbnRfVHlwZXNdLnhtbFBLAQItABQABgAIAAAAIQA4&#10;/SH/1gAAAJQBAAALAAAAAAAAAAAAAAAAAC8BAABfcmVscy8ucmVsc1BLAQItABQABgAIAAAAIQBN&#10;R6RChQIAABYFAAAOAAAAAAAAAAAAAAAAAC4CAABkcnMvZTJvRG9jLnhtbFBLAQItABQABgAIAAAA&#10;IQDRokSk3gAAAAkBAAAPAAAAAAAAAAAAAAAAAN8EAABkcnMvZG93bnJldi54bWxQSwUGAAAAAAQA&#10;BADzAAAA6gUAAAAA&#10;" stroked="f">
                <v:textbox>
                  <w:txbxContent>
                    <w:p w14:paraId="581ED89E" w14:textId="7D5ACB12" w:rsidR="00BA5AC2" w:rsidRPr="00AF16AC" w:rsidRDefault="00BA5AC2" w:rsidP="00BA5AC2">
                      <w:pPr>
                        <w:jc w:val="center"/>
                        <w:rPr>
                          <w:sz w:val="20"/>
                        </w:rPr>
                      </w:pPr>
                      <w:r w:rsidRPr="00AF16AC">
                        <w:rPr>
                          <w:rFonts w:hint="eastAsia"/>
                          <w:sz w:val="20"/>
                        </w:rPr>
                        <w:t>单位：亿元</w:t>
                      </w:r>
                    </w:p>
                  </w:txbxContent>
                </v:textbox>
              </v:shape>
            </w:pict>
          </mc:Fallback>
        </mc:AlternateContent>
      </w:r>
      <w:r w:rsidR="00BA5AC2">
        <w:rPr>
          <w:noProof/>
        </w:rPr>
        <w:drawing>
          <wp:inline distT="0" distB="0" distL="0" distR="0" wp14:anchorId="003EA33B" wp14:editId="240F6AC1">
            <wp:extent cx="5638800" cy="2400300"/>
            <wp:effectExtent l="0" t="0" r="0" b="0"/>
            <wp:docPr id="33" name="图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F27A04" w14:textId="2ECB27ED" w:rsidR="003432DF" w:rsidRDefault="003432DF" w:rsidP="00C47556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14:paraId="4FA444E5" w14:textId="77777777" w:rsidR="005F7514" w:rsidRDefault="005F7514" w:rsidP="00C47556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二</w:t>
      </w:r>
      <w:r w:rsidRPr="0020765F">
        <w:rPr>
          <w:rFonts w:ascii="仿宋" w:eastAsia="仿宋" w:hAnsi="仿宋" w:hint="eastAsia"/>
          <w:b/>
          <w:sz w:val="30"/>
          <w:szCs w:val="30"/>
        </w:rPr>
        <w:t>、战略性新兴产业上市公司</w:t>
      </w:r>
      <w:r>
        <w:rPr>
          <w:rFonts w:ascii="仿宋" w:eastAsia="仿宋" w:hAnsi="仿宋" w:hint="eastAsia"/>
          <w:b/>
          <w:sz w:val="30"/>
          <w:szCs w:val="30"/>
        </w:rPr>
        <w:t>发展特征</w:t>
      </w:r>
    </w:p>
    <w:p w14:paraId="20752455" w14:textId="60E2970E" w:rsidR="005F7514" w:rsidRDefault="005F7514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7576BA">
        <w:rPr>
          <w:rFonts w:ascii="仿宋" w:eastAsia="仿宋" w:hAnsi="仿宋" w:hint="eastAsia"/>
          <w:b/>
          <w:sz w:val="30"/>
          <w:szCs w:val="30"/>
        </w:rPr>
        <w:t>一</w:t>
      </w:r>
      <w:r>
        <w:rPr>
          <w:rFonts w:ascii="仿宋" w:eastAsia="仿宋" w:hAnsi="仿宋" w:hint="eastAsia"/>
          <w:b/>
          <w:sz w:val="30"/>
          <w:szCs w:val="30"/>
        </w:rPr>
        <w:t>）</w:t>
      </w:r>
      <w:r w:rsidR="005D2128">
        <w:rPr>
          <w:rFonts w:ascii="仿宋" w:eastAsia="仿宋" w:hAnsi="仿宋" w:hint="eastAsia"/>
          <w:b/>
          <w:sz w:val="30"/>
          <w:szCs w:val="30"/>
        </w:rPr>
        <w:t>上市公司</w:t>
      </w:r>
      <w:r>
        <w:rPr>
          <w:rFonts w:ascii="仿宋" w:eastAsia="仿宋" w:hAnsi="仿宋" w:hint="eastAsia"/>
          <w:b/>
          <w:sz w:val="30"/>
          <w:szCs w:val="30"/>
        </w:rPr>
        <w:t>股市直接融资</w:t>
      </w:r>
      <w:r>
        <w:rPr>
          <w:rFonts w:ascii="仿宋" w:eastAsia="仿宋" w:hAnsi="仿宋"/>
          <w:b/>
          <w:sz w:val="30"/>
          <w:szCs w:val="30"/>
        </w:rPr>
        <w:t>运行</w:t>
      </w:r>
      <w:r w:rsidR="008C0BF5">
        <w:rPr>
          <w:rFonts w:ascii="仿宋" w:eastAsia="仿宋" w:hAnsi="仿宋" w:hint="eastAsia"/>
          <w:b/>
          <w:sz w:val="30"/>
          <w:szCs w:val="30"/>
        </w:rPr>
        <w:t>平稳</w:t>
      </w:r>
    </w:p>
    <w:p w14:paraId="584C69C9" w14:textId="5D327BA4" w:rsidR="00AF2A95" w:rsidRDefault="009F60E8" w:rsidP="00AF2A95">
      <w:pPr>
        <w:spacing w:beforeLines="100" w:before="312" w:line="360" w:lineRule="auto"/>
        <w:ind w:firstLineChars="200" w:firstLine="600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5F7514" w:rsidRPr="00445319">
        <w:rPr>
          <w:rFonts w:ascii="仿宋" w:eastAsia="仿宋" w:hAnsi="仿宋" w:hint="eastAsia"/>
          <w:sz w:val="30"/>
          <w:szCs w:val="30"/>
        </w:rPr>
        <w:t>季度，共有</w:t>
      </w:r>
      <w:r>
        <w:rPr>
          <w:rFonts w:ascii="仿宋" w:eastAsia="仿宋" w:hAnsi="仿宋" w:hint="eastAsia"/>
          <w:sz w:val="30"/>
          <w:szCs w:val="30"/>
        </w:rPr>
        <w:t>8</w:t>
      </w:r>
      <w:r w:rsidR="005F7514" w:rsidRPr="00445319">
        <w:rPr>
          <w:rFonts w:ascii="仿宋" w:eastAsia="仿宋" w:hAnsi="仿宋" w:hint="eastAsia"/>
          <w:sz w:val="30"/>
          <w:szCs w:val="30"/>
        </w:rPr>
        <w:t>家战略性新兴产业企业在A股</w:t>
      </w:r>
      <w:r w:rsidR="005F7514" w:rsidRPr="008C0052">
        <w:rPr>
          <w:rFonts w:ascii="仿宋" w:eastAsia="仿宋" w:hAnsi="仿宋"/>
          <w:sz w:val="30"/>
          <w:szCs w:val="30"/>
        </w:rPr>
        <w:t>IPO</w:t>
      </w:r>
      <w:r w:rsidR="005F7514" w:rsidRPr="00445319">
        <w:rPr>
          <w:rFonts w:ascii="仿宋" w:eastAsia="仿宋" w:hAnsi="仿宋" w:hint="eastAsia"/>
          <w:sz w:val="30"/>
          <w:szCs w:val="30"/>
        </w:rPr>
        <w:t>上市，首发募资总额达到了</w:t>
      </w:r>
      <w:r w:rsidR="005F7514"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8.2</w:t>
      </w:r>
      <w:r w:rsidR="005F7514" w:rsidRPr="00445319">
        <w:rPr>
          <w:rFonts w:ascii="仿宋" w:eastAsia="仿宋" w:hAnsi="仿宋" w:hint="eastAsia"/>
          <w:sz w:val="30"/>
          <w:szCs w:val="30"/>
        </w:rPr>
        <w:t>亿元，</w:t>
      </w:r>
      <w:r w:rsidR="00953CCC" w:rsidRPr="00276FA0">
        <w:rPr>
          <w:rFonts w:ascii="仿宋" w:eastAsia="仿宋" w:hAnsi="仿宋" w:hint="eastAsia"/>
          <w:sz w:val="30"/>
          <w:szCs w:val="30"/>
        </w:rPr>
        <w:t>占同期A股首发募资总额的</w:t>
      </w:r>
      <w:r w:rsidR="00AF347C" w:rsidRPr="00AF347C">
        <w:rPr>
          <w:rFonts w:ascii="仿宋" w:eastAsia="仿宋" w:hAnsi="仿宋" w:hint="eastAsia"/>
          <w:sz w:val="30"/>
          <w:szCs w:val="30"/>
        </w:rPr>
        <w:t>16.5</w:t>
      </w:r>
      <w:r w:rsidR="00953CCC" w:rsidRPr="00AF347C">
        <w:rPr>
          <w:rFonts w:ascii="仿宋" w:eastAsia="仿宋" w:hAnsi="仿宋"/>
          <w:sz w:val="30"/>
          <w:szCs w:val="30"/>
        </w:rPr>
        <w:t>%</w:t>
      </w:r>
      <w:r w:rsidR="00953CCC" w:rsidRPr="00276FA0">
        <w:rPr>
          <w:rFonts w:ascii="仿宋" w:eastAsia="仿宋" w:hAnsi="仿宋" w:hint="eastAsia"/>
          <w:sz w:val="30"/>
          <w:szCs w:val="30"/>
        </w:rPr>
        <w:t>，募资</w:t>
      </w:r>
      <w:r w:rsidR="00AF347C">
        <w:rPr>
          <w:rFonts w:ascii="仿宋" w:eastAsia="仿宋" w:hAnsi="仿宋" w:hint="eastAsia"/>
          <w:sz w:val="30"/>
          <w:szCs w:val="30"/>
        </w:rPr>
        <w:t>总</w:t>
      </w:r>
      <w:r w:rsidR="00953CCC" w:rsidRPr="00276FA0">
        <w:rPr>
          <w:rFonts w:ascii="仿宋" w:eastAsia="仿宋" w:hAnsi="仿宋" w:hint="eastAsia"/>
          <w:sz w:val="30"/>
          <w:szCs w:val="30"/>
        </w:rPr>
        <w:t>额</w:t>
      </w:r>
      <w:r w:rsidR="00EC4AD1">
        <w:rPr>
          <w:rFonts w:ascii="仿宋" w:eastAsia="仿宋" w:hAnsi="仿宋" w:hint="eastAsia"/>
          <w:sz w:val="30"/>
          <w:szCs w:val="30"/>
        </w:rPr>
        <w:t>较一季度</w:t>
      </w:r>
      <w:r w:rsidR="00675707">
        <w:rPr>
          <w:rFonts w:ascii="仿宋" w:eastAsia="仿宋" w:hAnsi="仿宋" w:hint="eastAsia"/>
          <w:sz w:val="30"/>
          <w:szCs w:val="30"/>
        </w:rPr>
        <w:t>增长</w:t>
      </w:r>
      <w:r w:rsidR="00B83AC8">
        <w:rPr>
          <w:rFonts w:ascii="仿宋" w:eastAsia="仿宋" w:hAnsi="仿宋" w:hint="eastAsia"/>
          <w:sz w:val="30"/>
          <w:szCs w:val="30"/>
        </w:rPr>
        <w:t>6.5亿元</w:t>
      </w:r>
      <w:r w:rsidR="00953CCC" w:rsidRPr="00276FA0">
        <w:rPr>
          <w:rFonts w:ascii="仿宋" w:eastAsia="仿宋" w:hAnsi="仿宋" w:hint="eastAsia"/>
          <w:sz w:val="30"/>
          <w:szCs w:val="30"/>
        </w:rPr>
        <w:t>。</w:t>
      </w:r>
      <w:r w:rsidR="00A57BB2">
        <w:rPr>
          <w:rFonts w:ascii="仿宋" w:eastAsia="仿宋" w:hAnsi="仿宋" w:hint="eastAsia"/>
          <w:sz w:val="30"/>
          <w:szCs w:val="30"/>
        </w:rPr>
        <w:t>二季度</w:t>
      </w:r>
      <w:r w:rsidRPr="00EF2298">
        <w:rPr>
          <w:rFonts w:ascii="仿宋" w:eastAsia="仿宋" w:hAnsi="仿宋" w:hint="eastAsia"/>
          <w:sz w:val="30"/>
          <w:szCs w:val="30"/>
        </w:rPr>
        <w:t>共有</w:t>
      </w:r>
      <w:r>
        <w:rPr>
          <w:rFonts w:ascii="仿宋" w:eastAsia="仿宋" w:hAnsi="仿宋" w:hint="eastAsia"/>
          <w:sz w:val="30"/>
          <w:szCs w:val="30"/>
        </w:rPr>
        <w:t>65</w:t>
      </w:r>
      <w:r w:rsidRPr="00EF2298">
        <w:rPr>
          <w:rFonts w:ascii="仿宋" w:eastAsia="仿宋" w:hAnsi="仿宋"/>
          <w:sz w:val="30"/>
          <w:szCs w:val="30"/>
        </w:rPr>
        <w:t>家战略性新兴产业企业实施增发募资，</w:t>
      </w:r>
      <w:r w:rsidRPr="008C0052">
        <w:rPr>
          <w:rFonts w:ascii="仿宋" w:eastAsia="仿宋" w:hAnsi="仿宋"/>
          <w:sz w:val="30"/>
          <w:szCs w:val="30"/>
        </w:rPr>
        <w:t>募资总额达到</w:t>
      </w:r>
      <w:r>
        <w:rPr>
          <w:rFonts w:ascii="仿宋" w:eastAsia="仿宋" w:hAnsi="仿宋" w:hint="eastAsia"/>
          <w:sz w:val="30"/>
          <w:szCs w:val="30"/>
        </w:rPr>
        <w:t>1184.7</w:t>
      </w:r>
      <w:r w:rsidRPr="008C0052">
        <w:rPr>
          <w:rFonts w:ascii="仿宋" w:eastAsia="仿宋" w:hAnsi="仿宋" w:hint="eastAsia"/>
          <w:sz w:val="30"/>
          <w:szCs w:val="30"/>
        </w:rPr>
        <w:t>亿元</w:t>
      </w:r>
      <w:r w:rsidR="00E72794">
        <w:rPr>
          <w:rFonts w:ascii="仿宋" w:eastAsia="仿宋" w:hAnsi="仿宋" w:hint="eastAsia"/>
          <w:sz w:val="30"/>
          <w:szCs w:val="30"/>
        </w:rPr>
        <w:t>，是去年同期募资额的2.6倍</w:t>
      </w:r>
      <w:r w:rsidR="00B83AC8">
        <w:rPr>
          <w:rFonts w:ascii="仿宋" w:eastAsia="仿宋" w:hAnsi="仿宋" w:hint="eastAsia"/>
          <w:sz w:val="30"/>
          <w:szCs w:val="30"/>
        </w:rPr>
        <w:t>，股市直接融资正在平稳运行中</w:t>
      </w:r>
      <w:r>
        <w:rPr>
          <w:rFonts w:ascii="仿宋" w:eastAsia="仿宋" w:hAnsi="仿宋" w:hint="eastAsia"/>
          <w:sz w:val="30"/>
          <w:szCs w:val="30"/>
        </w:rPr>
        <w:t>（见图</w:t>
      </w:r>
      <w:r w:rsidR="00AF2A95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）。</w:t>
      </w:r>
      <w:r w:rsidR="00CD2BF8">
        <w:rPr>
          <w:rFonts w:ascii="仿宋" w:eastAsia="仿宋" w:hAnsi="仿宋" w:hint="eastAsia"/>
          <w:sz w:val="30"/>
          <w:szCs w:val="30"/>
        </w:rPr>
        <w:t>其中，新一代信息技术领域共有29家企业</w:t>
      </w:r>
      <w:r w:rsidR="003432DF">
        <w:rPr>
          <w:rFonts w:ascii="仿宋" w:eastAsia="仿宋" w:hAnsi="仿宋" w:hint="eastAsia"/>
          <w:sz w:val="30"/>
          <w:szCs w:val="30"/>
        </w:rPr>
        <w:t>增发</w:t>
      </w:r>
      <w:r w:rsidR="00CD2BF8">
        <w:rPr>
          <w:rFonts w:ascii="仿宋" w:eastAsia="仿宋" w:hAnsi="仿宋" w:hint="eastAsia"/>
          <w:sz w:val="30"/>
          <w:szCs w:val="30"/>
        </w:rPr>
        <w:t>募资，募资总额为624亿元，占二季度战略性新兴产业上市公司增发募资总额的52.7%（见图</w:t>
      </w:r>
      <w:r w:rsidR="00AF2A95">
        <w:rPr>
          <w:rFonts w:ascii="仿宋" w:eastAsia="仿宋" w:hAnsi="仿宋" w:hint="eastAsia"/>
          <w:sz w:val="30"/>
          <w:szCs w:val="30"/>
        </w:rPr>
        <w:t>8</w:t>
      </w:r>
      <w:r w:rsidR="00CD2BF8">
        <w:rPr>
          <w:rFonts w:ascii="仿宋" w:eastAsia="仿宋" w:hAnsi="仿宋" w:hint="eastAsia"/>
          <w:sz w:val="30"/>
          <w:szCs w:val="30"/>
        </w:rPr>
        <w:t>）。</w:t>
      </w:r>
    </w:p>
    <w:p w14:paraId="0E881D18" w14:textId="77777777" w:rsidR="005F7514" w:rsidRDefault="0061715D" w:rsidP="00AF16AC">
      <w:pPr>
        <w:spacing w:beforeLines="100" w:before="312" w:line="360" w:lineRule="auto"/>
        <w:ind w:leftChars="202" w:left="424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17140BB2" wp14:editId="56EE01AD">
            <wp:simplePos x="0" y="0"/>
            <wp:positionH relativeFrom="column">
              <wp:posOffset>228600</wp:posOffset>
            </wp:positionH>
            <wp:positionV relativeFrom="paragraph">
              <wp:posOffset>59055</wp:posOffset>
            </wp:positionV>
            <wp:extent cx="4962525" cy="1581150"/>
            <wp:effectExtent l="0" t="0" r="0" b="0"/>
            <wp:wrapNone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0E17C" w14:textId="77777777" w:rsidR="0061715D" w:rsidRDefault="0061715D" w:rsidP="005F7514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</w:p>
    <w:p w14:paraId="1EF042F4" w14:textId="77777777" w:rsidR="00CD2BF8" w:rsidRDefault="00CD2BF8" w:rsidP="005F7514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</w:p>
    <w:p w14:paraId="51EAB542" w14:textId="1BB24E80" w:rsidR="00466663" w:rsidRDefault="00CD2BF8" w:rsidP="00AF16AC">
      <w:pPr>
        <w:spacing w:beforeLines="100" w:before="312"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4267D8" wp14:editId="179CAFBA">
                <wp:simplePos x="0" y="0"/>
                <wp:positionH relativeFrom="margin">
                  <wp:posOffset>227330</wp:posOffset>
                </wp:positionH>
                <wp:positionV relativeFrom="paragraph">
                  <wp:posOffset>55245</wp:posOffset>
                </wp:positionV>
                <wp:extent cx="4660900" cy="303530"/>
                <wp:effectExtent l="0" t="0" r="6350" b="12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FE448" w14:textId="48621A76" w:rsidR="005F7514" w:rsidRPr="00290CC5" w:rsidRDefault="005F7514" w:rsidP="00AF16AC">
                            <w:pPr>
                              <w:ind w:rightChars="-415" w:right="-871"/>
                              <w:jc w:val="center"/>
                            </w:pPr>
                            <w:r w:rsidRPr="00290CC5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AF2A95">
                              <w:rPr>
                                <w:rFonts w:hint="eastAsia"/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90CC5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近</w:t>
                            </w:r>
                            <w:r>
                              <w:rPr>
                                <w:b/>
                              </w:rPr>
                              <w:t>几个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季度战略性新兴产业上市公司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IPO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及增发募资额</w:t>
                            </w:r>
                            <w:r w:rsidR="002037E4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亿元</w:t>
                            </w:r>
                            <w:r w:rsidR="002037E4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.9pt;margin-top:4.35pt;width:367pt;height:23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wplQIAABcFAAAOAAAAZHJzL2Uyb0RvYy54bWysVMuO0zAU3SPxD5b3nTwmfSSadDQPipCG&#10;hzTwAa7jNBaObWy3yTBiC3/Aig17vqvfwbXTljKAhBBZOLbv9fG995zrs/O+FWjDjOVKljg5iTFi&#10;kqqKy1WJ37xejGYYWUdkRYSSrMR3zOLz+eNHZ50uWKoaJSpmEIBIW3S6xI1zuogiSxvWEnuiNJNg&#10;rJVpiYOlWUWVIR2gtyJK43gSdcpU2ijKrIXd68GI5wG/rhl1L+vaModEiSE2F0YTxqUfo/kZKVaG&#10;6IbTXRjkH6JoCZdw6QHqmjiC1ob/AtVyapRVtTuhqo1UXXPKQg6QTRI/yOa2IZqFXKA4Vh/KZP8f&#10;LH2xeWUQr0qcYiRJCxRtP3/afvm2/foRpb48nbYFeN1q8HP9peqB5pCq1TeKvrVIqquGyBW7MEZ1&#10;DSMVhJf4k9HR0QHHepBl91xVcA9ZOxWA+tq0vnZQDQToQNPdgRrWO0RhM5tM4jwGEwXbaXw6Pg3c&#10;RaTYn9bGuqdMtchPSmyA+oBONjfW+WhIsXfxl1kleLXgQoSFWS2vhEEbAjJZhC8k8MBNSO8slT82&#10;IA47ECTc4W0+3ED7fZ6kWXyZ5qPFZDYdZYtsPMqn8WwUJ/llPomzPLtefPABJlnR8Kpi8oZLtpdg&#10;kv0dxbtmGMQTRIi6EufjdDxQ9Mck4/D9LsmWO+hIwdsSzw5OpPDEPpEVpE0KR7gY5tHP4YcqQw32&#10;/1CVIAPP/KAB1y/7ILjpXl1LVd2BLowC2oBheE1g0ijzHqMOOrPE9t2aGIaReCZBW3mSZb6VwyIb&#10;T1NYmGPL8thCJAWoEjuMhumVG9p/rQ1fNXDToGapLkCPNQ9S8cIdotqpGLov5LR7KXx7H6+D14/3&#10;bP4dAAD//wMAUEsDBBQABgAIAAAAIQAfaZrQ3AAAAAcBAAAPAAAAZHJzL2Rvd25yZXYueG1sTM7d&#10;ToNAEAXgexPfYTNNvDF28QdokaVRE423rX2AAaZAys4Sdlvo2zte2cuTMznz5ZvZ9upMo+8cG3hc&#10;RqCIK1d33BjY/3w+rED5gFxj75gMXMjDpri9yTGr3cRbOu9Co2SEfYYG2hCGTGtftWTRL91ALN3B&#10;jRaDxLHR9YiTjNteP0VRoi12LB9aHOijpeq4O1kDh+/pPl5P5VfYp9uX5B27tHQXY+4W89srqEBz&#10;+D+GP77QoRBT6U5ce9UbeI5FHgysUlBSp8lacmkgTmLQRa6v/cUvAAAA//8DAFBLAQItABQABgAI&#10;AAAAIQC2gziS/gAAAOEBAAATAAAAAAAAAAAAAAAAAAAAAABbQ29udGVudF9UeXBlc10ueG1sUEsB&#10;Ai0AFAAGAAgAAAAhADj9If/WAAAAlAEAAAsAAAAAAAAAAAAAAAAALwEAAF9yZWxzLy5yZWxzUEsB&#10;Ai0AFAAGAAgAAAAhAIsVDCmVAgAAFwUAAA4AAAAAAAAAAAAAAAAALgIAAGRycy9lMm9Eb2MueG1s&#10;UEsBAi0AFAAGAAgAAAAhAB9pmtDcAAAABwEAAA8AAAAAAAAAAAAAAAAA7wQAAGRycy9kb3ducmV2&#10;LnhtbFBLBQYAAAAABAAEAPMAAAD4BQAAAAA=&#10;" stroked="f">
                <v:textbox>
                  <w:txbxContent>
                    <w:p w14:paraId="317FE448" w14:textId="48621A76" w:rsidR="005F7514" w:rsidRPr="00290CC5" w:rsidRDefault="005F7514" w:rsidP="00AF16AC">
                      <w:pPr>
                        <w:ind w:rightChars="-415" w:right="-871"/>
                        <w:jc w:val="center"/>
                      </w:pPr>
                      <w:r w:rsidRPr="00290CC5">
                        <w:rPr>
                          <w:rFonts w:hint="eastAsia"/>
                          <w:b/>
                        </w:rPr>
                        <w:t>图</w:t>
                      </w:r>
                      <w:r w:rsidR="00AF2A95">
                        <w:rPr>
                          <w:rFonts w:hint="eastAsia"/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90CC5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近</w:t>
                      </w:r>
                      <w:r>
                        <w:rPr>
                          <w:b/>
                        </w:rPr>
                        <w:t>几个</w:t>
                      </w:r>
                      <w:r>
                        <w:rPr>
                          <w:rFonts w:hint="eastAsia"/>
                          <w:b/>
                        </w:rPr>
                        <w:t>季度战略性新兴产业上市公司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IPO</w:t>
                      </w:r>
                      <w:r>
                        <w:rPr>
                          <w:rFonts w:hint="eastAsia"/>
                          <w:b/>
                        </w:rPr>
                        <w:t>及增发募资额</w:t>
                      </w:r>
                      <w:r w:rsidR="002037E4">
                        <w:rPr>
                          <w:rFonts w:hint="eastAsia"/>
                          <w:b/>
                        </w:rPr>
                        <w:t>（</w:t>
                      </w:r>
                      <w:r>
                        <w:rPr>
                          <w:rFonts w:hint="eastAsia"/>
                          <w:b/>
                        </w:rPr>
                        <w:t>亿元</w:t>
                      </w:r>
                      <w:r w:rsidR="002037E4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0D7D68" wp14:editId="09FCD7D3">
            <wp:extent cx="4991100" cy="1981200"/>
            <wp:effectExtent l="0" t="0" r="0" b="0"/>
            <wp:docPr id="36" name="图表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7C918A" w14:textId="6619C880" w:rsidR="00466663" w:rsidRDefault="00CD2BF8" w:rsidP="005F7514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98DA3E" wp14:editId="08361C81">
                <wp:simplePos x="0" y="0"/>
                <wp:positionH relativeFrom="margin">
                  <wp:posOffset>295275</wp:posOffset>
                </wp:positionH>
                <wp:positionV relativeFrom="paragraph">
                  <wp:posOffset>5715</wp:posOffset>
                </wp:positionV>
                <wp:extent cx="4733925" cy="303530"/>
                <wp:effectExtent l="0" t="0" r="9525" b="127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F362F" w14:textId="3E3DB08F" w:rsidR="00CD2BF8" w:rsidRPr="00290CC5" w:rsidRDefault="00CD2BF8" w:rsidP="00AF16AC">
                            <w:pPr>
                              <w:ind w:rightChars="-415" w:right="-871"/>
                              <w:jc w:val="left"/>
                            </w:pPr>
                            <w:r w:rsidRPr="00290CC5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AF2A95">
                              <w:rPr>
                                <w:rFonts w:hint="eastAsia"/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90CC5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二季度战略性新兴产业重点领域增发</w:t>
                            </w:r>
                            <w:r>
                              <w:rPr>
                                <w:b/>
                              </w:rPr>
                              <w:t>募资企业数及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增发募资额（亿元）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7" o:spid="_x0000_s1034" type="#_x0000_t202" style="position:absolute;left:0;text-align:left;margin-left:23.25pt;margin-top:.45pt;width:372.75pt;height:23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D6mQIAABkFAAAOAAAAZHJzL2Uyb0RvYy54bWysVM2O0zAQviPxDpbv3SRtum2iTVfsLkVI&#10;y4+08ACu7TQWjm1st8mCuMIbcOLCnefa52DstKUsICFEDo7tGX+eme8bn533rURbbp3QqsLZSYoR&#10;V1QzodYVfv1qOZpj5DxRjEiteIVvucPni4cPzjpT8rFutGTcIgBRruxMhRvvTZkkjja8Je5EG67A&#10;WGvbEg9Lu06YJR2gtzIZp+lp0mnLjNWUOwe7V4MRLyJ+XXPqX9S14x7JCkNsPo42jqswJoszUq4t&#10;MY2guzDIP0TREqHg0gPUFfEEbaz4BaoV1Gqna39CdZvouhaUxxwgmyy9l81NQwyPuUBxnDmUyf0/&#10;WPp8+9IiwSo8mWGkSAsc3X3+dPfl293Xjwj2oECdcSX43Rjw9P2F7oHomKwz15q+cUjpy4aoNX9k&#10;re4aThgEmIWTydHRAccFkFX3TDO4iGy8jkB9bdtQPagHAnQg6vZADu89orCZzyaTYjzFiIJtkk6m&#10;k8heQsr9aWOdf8J1i8KkwhbIj+hke+18iIaUe5dwmdNSsKWQMi7senUpLdoSEMoyfjGBe25SBWel&#10;w7EBcdiBIOGOYAvhRuLfF9k4Ty/GxWh5Op+N8mU+HRWzdD5Ks+KiOE3zIr9afggBZnnZCMa4uhaK&#10;70WY5X9H8q4dBvlEGaKuwsUUKhXz+mOSafx+l2QrPPSkFG2F5wcnUgZiHysGaZPSEyGHefJz+LHK&#10;UIP9P1YlyiAwP2jA96s+Sm6+V9dKs1vQhdVAG5AP7wlMGm3fYdRBb1bYvd0QyzGSTxVoq8jyPDRz&#10;XOTT2RgW9tiyOrYQRQGqwh6jYXrphwdgY6xYN3DToGalH4EeaxGlEoQ7RLVTMfRfzGn3VoQGP15H&#10;rx8v2uI7AAAA//8DAFBLAwQUAAYACAAAACEAECgX8NsAAAAGAQAADwAAAGRycy9kb3ducmV2Lnht&#10;bEyPQU+DQBCF7yb+h82YeDF2sWmhIEujTTReW/sDBpgCkZ0l7LbQf9/xpMc37+W9b/LtbHt1odF3&#10;jg28LCJQxJWrO24MHL8/njegfECusXdMBq7kYVvc3+WY1W7iPV0OoVFSwj5DA20IQ6a1r1qy6Bdu&#10;IBbv5EaLQeTY6HrEScptr5dRFGuLHctCiwPtWqp+Dmdr4PQ1Pa3TqfwMx2S/it+xS0p3NebxYX57&#10;BRVoDn9h+MUXdCiEqXRnrr3qDazitSQNpKDETdKlfFbKeZOALnL9H7+4AQAA//8DAFBLAQItABQA&#10;BgAIAAAAIQC2gziS/gAAAOEBAAATAAAAAAAAAAAAAAAAAAAAAABbQ29udGVudF9UeXBlc10ueG1s&#10;UEsBAi0AFAAGAAgAAAAhADj9If/WAAAAlAEAAAsAAAAAAAAAAAAAAAAALwEAAF9yZWxzLy5yZWxz&#10;UEsBAi0AFAAGAAgAAAAhAN/wwPqZAgAAGQUAAA4AAAAAAAAAAAAAAAAALgIAAGRycy9lMm9Eb2Mu&#10;eG1sUEsBAi0AFAAGAAgAAAAhABAoF/DbAAAABgEAAA8AAAAAAAAAAAAAAAAA8wQAAGRycy9kb3du&#10;cmV2LnhtbFBLBQYAAAAABAAEAPMAAAD7BQAAAAA=&#10;" stroked="f">
                <v:textbox>
                  <w:txbxContent>
                    <w:p w14:paraId="17EF362F" w14:textId="3E3DB08F" w:rsidR="00CD2BF8" w:rsidRPr="00290CC5" w:rsidRDefault="00CD2BF8" w:rsidP="00AF16AC">
                      <w:pPr>
                        <w:ind w:rightChars="-415" w:right="-871"/>
                        <w:jc w:val="left"/>
                      </w:pPr>
                      <w:r w:rsidRPr="00290CC5">
                        <w:rPr>
                          <w:rFonts w:hint="eastAsia"/>
                          <w:b/>
                        </w:rPr>
                        <w:t>图</w:t>
                      </w:r>
                      <w:r w:rsidR="00AF2A95">
                        <w:rPr>
                          <w:rFonts w:hint="eastAsia"/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90CC5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二季度战略性新兴产业重点领域增发</w:t>
                      </w:r>
                      <w:r>
                        <w:rPr>
                          <w:b/>
                        </w:rPr>
                        <w:t>募资企业数及</w:t>
                      </w:r>
                      <w:r>
                        <w:rPr>
                          <w:rFonts w:hint="eastAsia"/>
                          <w:b/>
                        </w:rPr>
                        <w:t>增发募资额（亿元）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E9D6D5" w14:textId="227A3A4D" w:rsidR="005F7514" w:rsidRDefault="005F7514" w:rsidP="005F7514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7576BA">
        <w:rPr>
          <w:rFonts w:ascii="仿宋" w:eastAsia="仿宋" w:hAnsi="仿宋" w:hint="eastAsia"/>
          <w:b/>
          <w:sz w:val="30"/>
          <w:szCs w:val="30"/>
        </w:rPr>
        <w:t>二</w:t>
      </w:r>
      <w:r>
        <w:rPr>
          <w:rFonts w:ascii="仿宋" w:eastAsia="仿宋" w:hAnsi="仿宋" w:hint="eastAsia"/>
          <w:b/>
          <w:sz w:val="30"/>
          <w:szCs w:val="30"/>
        </w:rPr>
        <w:t>）</w:t>
      </w:r>
      <w:r w:rsidR="00110174">
        <w:rPr>
          <w:rFonts w:ascii="仿宋" w:eastAsia="仿宋" w:hAnsi="仿宋" w:hint="eastAsia"/>
          <w:b/>
          <w:sz w:val="30"/>
          <w:szCs w:val="30"/>
        </w:rPr>
        <w:t>上市公司</w:t>
      </w:r>
      <w:r w:rsidRPr="00855021">
        <w:rPr>
          <w:rFonts w:ascii="仿宋" w:eastAsia="仿宋" w:hAnsi="仿宋" w:hint="eastAsia"/>
          <w:b/>
          <w:sz w:val="30"/>
          <w:szCs w:val="30"/>
        </w:rPr>
        <w:t>并购重组</w:t>
      </w:r>
      <w:r w:rsidR="00F353C1">
        <w:rPr>
          <w:rFonts w:ascii="仿宋" w:eastAsia="仿宋" w:hAnsi="仿宋" w:hint="eastAsia"/>
          <w:b/>
          <w:sz w:val="30"/>
          <w:szCs w:val="30"/>
        </w:rPr>
        <w:t>步伐</w:t>
      </w:r>
      <w:r w:rsidR="00154403">
        <w:rPr>
          <w:rFonts w:ascii="仿宋" w:eastAsia="仿宋" w:hAnsi="仿宋" w:hint="eastAsia"/>
          <w:b/>
          <w:sz w:val="30"/>
          <w:szCs w:val="30"/>
        </w:rPr>
        <w:t>继续</w:t>
      </w:r>
      <w:r w:rsidR="00F353C1">
        <w:rPr>
          <w:rFonts w:ascii="仿宋" w:eastAsia="仿宋" w:hAnsi="仿宋" w:hint="eastAsia"/>
          <w:b/>
          <w:sz w:val="30"/>
          <w:szCs w:val="30"/>
        </w:rPr>
        <w:t>放缓</w:t>
      </w:r>
    </w:p>
    <w:p w14:paraId="74E37308" w14:textId="3BA085BE" w:rsidR="005F7514" w:rsidRDefault="0098236A" w:rsidP="005F7514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5F7514" w:rsidRPr="007F7618">
        <w:rPr>
          <w:rFonts w:ascii="仿宋" w:eastAsia="仿宋" w:hAnsi="仿宋" w:hint="eastAsia"/>
          <w:sz w:val="30"/>
          <w:szCs w:val="30"/>
        </w:rPr>
        <w:t>季度，战略性新兴产业上市公司完成</w:t>
      </w:r>
      <w:r w:rsidR="005F7514" w:rsidRPr="007F7618">
        <w:rPr>
          <w:rFonts w:ascii="仿宋" w:eastAsia="仿宋" w:hAnsi="仿宋"/>
          <w:sz w:val="30"/>
          <w:szCs w:val="30"/>
        </w:rPr>
        <w:t>重组数</w:t>
      </w:r>
      <w:r w:rsidR="005F7514" w:rsidRPr="007F7618">
        <w:rPr>
          <w:rFonts w:ascii="仿宋" w:eastAsia="仿宋" w:hAnsi="仿宋" w:hint="eastAsia"/>
          <w:sz w:val="30"/>
          <w:szCs w:val="30"/>
        </w:rPr>
        <w:t>达</w:t>
      </w:r>
      <w:r>
        <w:rPr>
          <w:rFonts w:ascii="仿宋" w:eastAsia="仿宋" w:hAnsi="仿宋" w:hint="eastAsia"/>
          <w:sz w:val="30"/>
          <w:szCs w:val="30"/>
        </w:rPr>
        <w:t>24</w:t>
      </w:r>
      <w:r w:rsidR="005F7514" w:rsidRPr="007F7618">
        <w:rPr>
          <w:rFonts w:ascii="仿宋" w:eastAsia="仿宋" w:hAnsi="仿宋" w:hint="eastAsia"/>
          <w:sz w:val="30"/>
          <w:szCs w:val="30"/>
        </w:rPr>
        <w:t>家，</w:t>
      </w:r>
      <w:r>
        <w:rPr>
          <w:rFonts w:ascii="仿宋" w:eastAsia="仿宋" w:hAnsi="仿宋" w:hint="eastAsia"/>
          <w:sz w:val="30"/>
          <w:szCs w:val="30"/>
        </w:rPr>
        <w:t>远高于去年同期16家的水平</w:t>
      </w:r>
      <w:r w:rsidR="005F7514" w:rsidRPr="007F7618">
        <w:rPr>
          <w:rFonts w:ascii="仿宋" w:eastAsia="仿宋" w:hAnsi="仿宋"/>
          <w:sz w:val="30"/>
          <w:szCs w:val="30"/>
        </w:rPr>
        <w:t>，</w:t>
      </w:r>
      <w:proofErr w:type="gramStart"/>
      <w:r w:rsidR="005F7514" w:rsidRPr="007F7618">
        <w:rPr>
          <w:rFonts w:ascii="仿宋" w:eastAsia="仿宋" w:hAnsi="仿宋" w:hint="eastAsia"/>
          <w:sz w:val="30"/>
          <w:szCs w:val="30"/>
        </w:rPr>
        <w:t>占完成</w:t>
      </w:r>
      <w:proofErr w:type="gramEnd"/>
      <w:r w:rsidR="005F7514" w:rsidRPr="007F7618">
        <w:rPr>
          <w:rFonts w:ascii="仿宋" w:eastAsia="仿宋" w:hAnsi="仿宋" w:hint="eastAsia"/>
          <w:sz w:val="30"/>
          <w:szCs w:val="30"/>
        </w:rPr>
        <w:t>重组的上市公司总数</w:t>
      </w:r>
      <w:r w:rsidR="005F7514" w:rsidRPr="007F7618"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0.7</w:t>
      </w:r>
      <w:r w:rsidR="005F7514" w:rsidRPr="007F7618">
        <w:rPr>
          <w:rFonts w:ascii="仿宋" w:eastAsia="仿宋" w:hAnsi="仿宋" w:hint="eastAsia"/>
          <w:sz w:val="30"/>
          <w:szCs w:val="30"/>
        </w:rPr>
        <w:t>%，</w:t>
      </w:r>
      <w:r w:rsidR="005F7514" w:rsidRPr="007F7618">
        <w:rPr>
          <w:rFonts w:ascii="仿宋" w:eastAsia="仿宋" w:hAnsi="仿宋"/>
          <w:sz w:val="30"/>
          <w:szCs w:val="30"/>
        </w:rPr>
        <w:t>但</w:t>
      </w:r>
      <w:proofErr w:type="gramStart"/>
      <w:r w:rsidR="005F7514" w:rsidRPr="007F7618">
        <w:rPr>
          <w:rFonts w:ascii="仿宋" w:eastAsia="仿宋" w:hAnsi="仿宋" w:hint="eastAsia"/>
          <w:sz w:val="30"/>
          <w:szCs w:val="30"/>
        </w:rPr>
        <w:t>数量</w:t>
      </w:r>
      <w:r w:rsidR="005F7514" w:rsidRPr="007F7618">
        <w:rPr>
          <w:rFonts w:ascii="仿宋" w:eastAsia="仿宋" w:hAnsi="仿宋"/>
          <w:sz w:val="30"/>
          <w:szCs w:val="30"/>
        </w:rPr>
        <w:t>环</w:t>
      </w:r>
      <w:proofErr w:type="gramEnd"/>
      <w:r w:rsidR="005F7514" w:rsidRPr="007F7618">
        <w:rPr>
          <w:rFonts w:ascii="仿宋" w:eastAsia="仿宋" w:hAnsi="仿宋"/>
          <w:sz w:val="30"/>
          <w:szCs w:val="30"/>
        </w:rPr>
        <w:t>比</w:t>
      </w:r>
      <w:r w:rsidR="00027EAF">
        <w:rPr>
          <w:rFonts w:ascii="仿宋" w:eastAsia="仿宋" w:hAnsi="仿宋" w:hint="eastAsia"/>
          <w:sz w:val="30"/>
          <w:szCs w:val="30"/>
        </w:rPr>
        <w:t>小幅</w:t>
      </w:r>
      <w:r w:rsidR="005F7514" w:rsidRPr="007F7618">
        <w:rPr>
          <w:rFonts w:ascii="仿宋" w:eastAsia="仿宋" w:hAnsi="仿宋"/>
          <w:sz w:val="30"/>
          <w:szCs w:val="30"/>
        </w:rPr>
        <w:t>回落</w:t>
      </w:r>
      <w:r w:rsidR="005F7514" w:rsidRPr="007F7618">
        <w:rPr>
          <w:rFonts w:ascii="仿宋" w:eastAsia="仿宋" w:hAnsi="仿宋" w:hint="eastAsia"/>
          <w:sz w:val="30"/>
          <w:szCs w:val="30"/>
        </w:rPr>
        <w:t>（见图</w:t>
      </w:r>
      <w:r w:rsidR="00AF2A95">
        <w:rPr>
          <w:rFonts w:ascii="仿宋" w:eastAsia="仿宋" w:hAnsi="仿宋" w:hint="eastAsia"/>
          <w:sz w:val="30"/>
          <w:szCs w:val="30"/>
        </w:rPr>
        <w:t>9</w:t>
      </w:r>
      <w:r w:rsidR="005F7514" w:rsidRPr="007F7618">
        <w:rPr>
          <w:rFonts w:ascii="仿宋" w:eastAsia="仿宋" w:hAnsi="仿宋" w:hint="eastAsia"/>
          <w:sz w:val="30"/>
          <w:szCs w:val="30"/>
        </w:rPr>
        <w:t>）。实现横向整合，</w:t>
      </w:r>
      <w:r w:rsidR="005F7514" w:rsidRPr="007F7618">
        <w:rPr>
          <w:rFonts w:ascii="仿宋" w:eastAsia="仿宋" w:hAnsi="仿宋"/>
          <w:sz w:val="30"/>
          <w:szCs w:val="30"/>
        </w:rPr>
        <w:t>扩大企业规模及盈利能力</w:t>
      </w:r>
      <w:r w:rsidR="005F7514" w:rsidRPr="007F7618">
        <w:rPr>
          <w:rFonts w:ascii="仿宋" w:eastAsia="仿宋" w:hAnsi="仿宋" w:hint="eastAsia"/>
          <w:sz w:val="30"/>
          <w:szCs w:val="30"/>
        </w:rPr>
        <w:t>仍是战略性新兴产业上市公司实施重组的主要目的。</w:t>
      </w:r>
    </w:p>
    <w:p w14:paraId="54C0E8F3" w14:textId="77777777" w:rsidR="0097564F" w:rsidRDefault="0097564F" w:rsidP="003A209B">
      <w:pPr>
        <w:spacing w:beforeLines="100" w:before="312"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分领域来看，二季度新一代信息技术是重组活动最为活跃的领域，本期共有9家企业完成重组。例如，</w:t>
      </w:r>
      <w:r w:rsidR="0085604D" w:rsidRPr="0085604D">
        <w:rPr>
          <w:rFonts w:ascii="仿宋" w:eastAsia="仿宋" w:hAnsi="仿宋" w:hint="eastAsia"/>
          <w:b/>
          <w:sz w:val="30"/>
          <w:szCs w:val="30"/>
        </w:rPr>
        <w:t>光环新网</w:t>
      </w:r>
      <w:r w:rsidR="0085604D">
        <w:rPr>
          <w:rFonts w:ascii="仿宋" w:eastAsia="仿宋" w:hAnsi="仿宋" w:hint="eastAsia"/>
          <w:sz w:val="30"/>
          <w:szCs w:val="30"/>
        </w:rPr>
        <w:t>通过发行股份及支付现金的方式，收购中</w:t>
      </w:r>
      <w:proofErr w:type="gramStart"/>
      <w:r w:rsidR="0085604D">
        <w:rPr>
          <w:rFonts w:ascii="仿宋" w:eastAsia="仿宋" w:hAnsi="仿宋" w:hint="eastAsia"/>
          <w:sz w:val="30"/>
          <w:szCs w:val="30"/>
        </w:rPr>
        <w:t>金云网</w:t>
      </w:r>
      <w:proofErr w:type="gramEnd"/>
      <w:r w:rsidR="0085604D">
        <w:rPr>
          <w:rFonts w:ascii="仿宋" w:eastAsia="仿宋" w:hAnsi="仿宋" w:hint="eastAsia"/>
          <w:sz w:val="30"/>
          <w:szCs w:val="30"/>
        </w:rPr>
        <w:t>100%股权和无双科技100%股权，总交易金额约为29亿元</w:t>
      </w:r>
      <w:r w:rsidR="00645306">
        <w:rPr>
          <w:rFonts w:ascii="仿宋" w:eastAsia="仿宋" w:hAnsi="仿宋" w:hint="eastAsia"/>
          <w:sz w:val="30"/>
          <w:szCs w:val="30"/>
        </w:rPr>
        <w:t>。通过此次</w:t>
      </w:r>
      <w:r w:rsidR="00645306" w:rsidRPr="00645306">
        <w:rPr>
          <w:rFonts w:ascii="仿宋" w:eastAsia="仿宋" w:hAnsi="仿宋" w:hint="eastAsia"/>
          <w:sz w:val="30"/>
          <w:szCs w:val="30"/>
        </w:rPr>
        <w:t>收购，极大拓宽光环新网的业务面，改变以单一IDC为主营业务的经营模式</w:t>
      </w:r>
      <w:r w:rsidR="00645306">
        <w:rPr>
          <w:rFonts w:ascii="仿宋" w:eastAsia="仿宋" w:hAnsi="仿宋" w:hint="eastAsia"/>
          <w:sz w:val="30"/>
          <w:szCs w:val="30"/>
        </w:rPr>
        <w:t>，</w:t>
      </w:r>
      <w:r w:rsidR="007C3F89">
        <w:rPr>
          <w:rFonts w:ascii="仿宋" w:eastAsia="仿宋" w:hAnsi="仿宋" w:hint="eastAsia"/>
          <w:sz w:val="30"/>
          <w:szCs w:val="30"/>
        </w:rPr>
        <w:t>光环新网</w:t>
      </w:r>
      <w:r w:rsidR="00645306" w:rsidRPr="00645306">
        <w:rPr>
          <w:rFonts w:ascii="仿宋" w:eastAsia="仿宋" w:hAnsi="仿宋" w:hint="eastAsia"/>
          <w:sz w:val="30"/>
          <w:szCs w:val="30"/>
        </w:rPr>
        <w:t>有望成为综合数据中心（光环）</w:t>
      </w:r>
      <w:r w:rsidR="00645306">
        <w:rPr>
          <w:rFonts w:ascii="仿宋" w:eastAsia="仿宋" w:hAnsi="仿宋" w:hint="eastAsia"/>
          <w:sz w:val="30"/>
          <w:szCs w:val="30"/>
        </w:rPr>
        <w:t>、云计算（中金云网）、大数据运营（无双科技）的一体化服务商，</w:t>
      </w:r>
      <w:r w:rsidR="007C3F89">
        <w:rPr>
          <w:rFonts w:ascii="仿宋" w:eastAsia="仿宋" w:hAnsi="仿宋" w:hint="eastAsia"/>
          <w:sz w:val="30"/>
          <w:szCs w:val="30"/>
        </w:rPr>
        <w:t>是</w:t>
      </w:r>
      <w:r w:rsidR="00645306" w:rsidRPr="00645306">
        <w:rPr>
          <w:rFonts w:ascii="仿宋" w:eastAsia="仿宋" w:hAnsi="仿宋" w:hint="eastAsia"/>
          <w:sz w:val="30"/>
          <w:szCs w:val="30"/>
        </w:rPr>
        <w:t>向互联网金融、云计算、大数据分析进军的重要里程碑。</w:t>
      </w:r>
      <w:r w:rsidR="0000187C">
        <w:rPr>
          <w:rFonts w:ascii="仿宋" w:eastAsia="仿宋" w:hAnsi="仿宋" w:hint="eastAsia"/>
          <w:sz w:val="30"/>
          <w:szCs w:val="30"/>
        </w:rPr>
        <w:t>此外，新材料领域的</w:t>
      </w:r>
      <w:r w:rsidR="0000187C" w:rsidRPr="0000187C">
        <w:rPr>
          <w:rFonts w:ascii="仿宋" w:eastAsia="仿宋" w:hAnsi="仿宋" w:hint="eastAsia"/>
          <w:b/>
          <w:sz w:val="30"/>
          <w:szCs w:val="30"/>
        </w:rPr>
        <w:t>中</w:t>
      </w:r>
      <w:proofErr w:type="gramStart"/>
      <w:r w:rsidR="0000187C" w:rsidRPr="0000187C">
        <w:rPr>
          <w:rFonts w:ascii="仿宋" w:eastAsia="仿宋" w:hAnsi="仿宋" w:hint="eastAsia"/>
          <w:b/>
          <w:sz w:val="30"/>
          <w:szCs w:val="30"/>
        </w:rPr>
        <w:t>材科技</w:t>
      </w:r>
      <w:proofErr w:type="gramEnd"/>
      <w:r w:rsidR="0000187C">
        <w:rPr>
          <w:rFonts w:ascii="仿宋" w:eastAsia="仿宋" w:hAnsi="仿宋" w:hint="eastAsia"/>
          <w:sz w:val="30"/>
          <w:szCs w:val="30"/>
        </w:rPr>
        <w:t>通过发行股份收购泰山玻纤100%股权，交易金额为38.5亿元</w:t>
      </w:r>
      <w:r w:rsidR="00280200">
        <w:rPr>
          <w:rFonts w:ascii="仿宋" w:eastAsia="仿宋" w:hAnsi="仿宋" w:hint="eastAsia"/>
          <w:sz w:val="30"/>
          <w:szCs w:val="30"/>
        </w:rPr>
        <w:t>，此次收购</w:t>
      </w:r>
      <w:r w:rsidR="00280200" w:rsidRPr="00280200">
        <w:rPr>
          <w:rFonts w:ascii="仿宋" w:eastAsia="仿宋" w:hAnsi="仿宋" w:hint="eastAsia"/>
          <w:sz w:val="30"/>
          <w:szCs w:val="30"/>
        </w:rPr>
        <w:t>使中</w:t>
      </w:r>
      <w:proofErr w:type="gramStart"/>
      <w:r w:rsidR="00280200" w:rsidRPr="00280200">
        <w:rPr>
          <w:rFonts w:ascii="仿宋" w:eastAsia="仿宋" w:hAnsi="仿宋" w:hint="eastAsia"/>
          <w:sz w:val="30"/>
          <w:szCs w:val="30"/>
        </w:rPr>
        <w:t>材科技</w:t>
      </w:r>
      <w:proofErr w:type="gramEnd"/>
      <w:r w:rsidR="00280200" w:rsidRPr="00280200">
        <w:rPr>
          <w:rFonts w:ascii="仿宋" w:eastAsia="仿宋" w:hAnsi="仿宋" w:hint="eastAsia"/>
          <w:sz w:val="30"/>
          <w:szCs w:val="30"/>
        </w:rPr>
        <w:t>成为中</w:t>
      </w:r>
      <w:proofErr w:type="gramStart"/>
      <w:r w:rsidR="00280200" w:rsidRPr="00280200">
        <w:rPr>
          <w:rFonts w:ascii="仿宋" w:eastAsia="仿宋" w:hAnsi="仿宋" w:hint="eastAsia"/>
          <w:sz w:val="30"/>
          <w:szCs w:val="30"/>
        </w:rPr>
        <w:t>材集团</w:t>
      </w:r>
      <w:proofErr w:type="gramEnd"/>
      <w:r w:rsidR="00280200" w:rsidRPr="00280200">
        <w:rPr>
          <w:rFonts w:ascii="仿宋" w:eastAsia="仿宋" w:hAnsi="仿宋" w:hint="eastAsia"/>
          <w:sz w:val="30"/>
          <w:szCs w:val="30"/>
        </w:rPr>
        <w:t>旗下在玻纤及复合材料领域上下游一体化产业集群的唯一上市平台，</w:t>
      </w:r>
      <w:r w:rsidR="00886DBF">
        <w:rPr>
          <w:rFonts w:ascii="仿宋" w:eastAsia="仿宋" w:hAnsi="仿宋" w:hint="eastAsia"/>
          <w:sz w:val="30"/>
          <w:szCs w:val="30"/>
        </w:rPr>
        <w:t>充分利用泰山玻纤作为</w:t>
      </w:r>
      <w:r w:rsidR="00886DBF" w:rsidRPr="00886DBF">
        <w:rPr>
          <w:rFonts w:ascii="仿宋" w:eastAsia="仿宋" w:hAnsi="仿宋" w:hint="eastAsia"/>
          <w:sz w:val="30"/>
          <w:szCs w:val="30"/>
        </w:rPr>
        <w:t>世界玻纤行业五强企业</w:t>
      </w:r>
      <w:r w:rsidR="00886DBF">
        <w:rPr>
          <w:rFonts w:ascii="仿宋" w:eastAsia="仿宋" w:hAnsi="仿宋" w:hint="eastAsia"/>
          <w:sz w:val="30"/>
          <w:szCs w:val="30"/>
        </w:rPr>
        <w:t>的</w:t>
      </w:r>
      <w:r w:rsidR="00280200" w:rsidRPr="00280200">
        <w:rPr>
          <w:rFonts w:ascii="仿宋" w:eastAsia="仿宋" w:hAnsi="仿宋" w:hint="eastAsia"/>
          <w:sz w:val="30"/>
          <w:szCs w:val="30"/>
        </w:rPr>
        <w:t>优势，实现玻纤及复合材料领域产业链及价值链的整合，进一步打造玻纤复合材料全球知名品牌。</w:t>
      </w:r>
    </w:p>
    <w:p w14:paraId="5FAB2D4C" w14:textId="77777777" w:rsidR="00AF2A95" w:rsidRPr="0000187C" w:rsidRDefault="00AF2A95" w:rsidP="003A209B">
      <w:pPr>
        <w:spacing w:beforeLines="100" w:before="312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7B5939D" w14:textId="77777777" w:rsidR="005F7514" w:rsidRDefault="008E3803" w:rsidP="005F7514">
      <w:pPr>
        <w:spacing w:beforeLines="100" w:before="312" w:line="360" w:lineRule="auto"/>
        <w:ind w:firstLineChars="200" w:firstLine="602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lastRenderedPageBreak/>
        <w:drawing>
          <wp:anchor distT="0" distB="0" distL="114300" distR="114300" simplePos="0" relativeHeight="251688960" behindDoc="0" locked="0" layoutInCell="1" allowOverlap="1" wp14:anchorId="6F08F125" wp14:editId="12D9C1FB">
            <wp:simplePos x="0" y="0"/>
            <wp:positionH relativeFrom="column">
              <wp:posOffset>-9525</wp:posOffset>
            </wp:positionH>
            <wp:positionV relativeFrom="paragraph">
              <wp:posOffset>17145</wp:posOffset>
            </wp:positionV>
            <wp:extent cx="4876800" cy="1676400"/>
            <wp:effectExtent l="0" t="0" r="0" b="0"/>
            <wp:wrapNone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V relativeFrom="margin">
              <wp14:pctHeight>0</wp14:pctHeight>
            </wp14:sizeRelV>
          </wp:anchor>
        </w:drawing>
      </w:r>
    </w:p>
    <w:p w14:paraId="00B9BC78" w14:textId="25AEA6CB" w:rsidR="00066CFC" w:rsidRDefault="00066CFC" w:rsidP="00AF16AC">
      <w:pPr>
        <w:spacing w:beforeLines="100" w:before="312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14:paraId="6A9EF3D6" w14:textId="6524C9EB" w:rsidR="008C7AD9" w:rsidRDefault="002B1DFA" w:rsidP="005F7514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FB6A0" wp14:editId="1EA793C9">
                <wp:simplePos x="0" y="0"/>
                <wp:positionH relativeFrom="column">
                  <wp:posOffset>204470</wp:posOffset>
                </wp:positionH>
                <wp:positionV relativeFrom="paragraph">
                  <wp:posOffset>572135</wp:posOffset>
                </wp:positionV>
                <wp:extent cx="4569460" cy="302895"/>
                <wp:effectExtent l="0" t="0" r="2540" b="190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DB9F" w14:textId="49365C1C" w:rsidR="005F7514" w:rsidRPr="00290CC5" w:rsidRDefault="005F7514" w:rsidP="005F75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AF2A95">
                              <w:rPr>
                                <w:rFonts w:hint="eastAsia"/>
                                <w:b/>
                              </w:rPr>
                              <w:t>9</w:t>
                            </w:r>
                            <w:r w:rsidR="008C7AD9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C7AD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近</w:t>
                            </w:r>
                            <w:r>
                              <w:rPr>
                                <w:b/>
                              </w:rPr>
                              <w:t>几个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季度战略性新兴产业上市公司完成重组数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35" type="#_x0000_t202" style="position:absolute;left:0;text-align:left;margin-left:16.1pt;margin-top:45.05pt;width:359.8pt;height:2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rdlgIAABkFAAAOAAAAZHJzL2Uyb0RvYy54bWysVMuO0zAU3SPxD5b3nTxwO0006WjaoQhp&#10;eEgDH+A6TmOR2MZ2mwwjtvAHrNiw57vmO7h22k6Hh4QQWTi27/W5j3Pss/O+bdCWGyuULHByEmPE&#10;JVOlkOsCv32zHE0xso7KkjZK8gLfcIvPZ48fnXU656mqVVNygwBE2rzTBa6d03kUWVbzltoTpbkE&#10;Y6VMSx0szToqDe0AvW2iNI4nUadMqY1i3FrYvRyMeBbwq4oz96qqLHeoKTDk5sJowrjyYzQ7o/na&#10;UF0LtkuD/kMWLRUSgh6gLqmjaGPEL1CtYEZZVbkTptpIVZVgPNQA1STxT9Vc11TzUAs0x+pDm+z/&#10;g2Uvt68NEmWBU4KRpC1wdPfl893X73ffPiHYgwZ12ubgd63B0/Vz1QPRoVirrxR7Z5FUi5rKNb8w&#10;RnU1pyUkmPiT0dHRAcd6kFX3QpUQiG6cCkB9ZVrfPegHAnQg6uZADu8dYrBJxpOMTMDEwPYkTqfZ&#10;OISg+f60NtY946pFflJgA+QHdLq9ss5nQ/O9iw9mVSPKpWiasDDr1aIxaEtBKMvw7dAfuDXSO0vl&#10;jw2Iww4kCTG8zacbiL/NkpTE8zQbLSfT0xFZkvEoO42nozjJ5tkkJhm5XH70CSYkr0VZcnklJN+L&#10;MCF/R/LuOgzyCTJEXYGzcToeKPpjkXH4fldkKxzcyUa0BZ4enGjuiX0qSyib5o6KZphHD9MPXYYe&#10;7P+hK0EGnvlBA65f9UFymY/uJbJS5Q3owiigDRiG9wQmtTIfMOrgbhbYvt9QwzFqnkvQVpYQ4i9z&#10;WJDxaQoLc2xZHVuoZABVYIfRMF244QHYaCPWNUQa1CzVBeixEkEq91ntVAz3L9S0eyv8BT9eB6/7&#10;F232AwAA//8DAFBLAwQUAAYACAAAACEAFhKBBN0AAAAJAQAADwAAAGRycy9kb3ducmV2LnhtbEyP&#10;0U6DQBBF3038h82Y+GLsArWlRZZGTTS+tvYDBpgCkZ0l7LbQv3d80sfJPblzbr6bba8uNPrOsYF4&#10;EYEirlzdcWPg+PX+uAHlA3KNvWMycCUPu+L2JsesdhPv6XIIjZIS9hkaaEMYMq191ZJFv3ADsWQn&#10;N1oMco6NrkecpNz2OomitbbYsXxocaC3lqrvw9kaOH1OD6vtVH6EY7p/Wr9il5buasz93fzyDCrQ&#10;HP5g+NUXdSjEqXRnrr3qDSyTREgD2ygGJXm6imVKKeAy3YAucv1/QfEDAAD//wMAUEsBAi0AFAAG&#10;AAgAAAAhALaDOJL+AAAA4QEAABMAAAAAAAAAAAAAAAAAAAAAAFtDb250ZW50X1R5cGVzXS54bWxQ&#10;SwECLQAUAAYACAAAACEAOP0h/9YAAACUAQAACwAAAAAAAAAAAAAAAAAvAQAAX3JlbHMvLnJlbHNQ&#10;SwECLQAUAAYACAAAACEAVyr63ZYCAAAZBQAADgAAAAAAAAAAAAAAAAAuAgAAZHJzL2Uyb0RvYy54&#10;bWxQSwECLQAUAAYACAAAACEAFhKBBN0AAAAJAQAADwAAAAAAAAAAAAAAAADwBAAAZHJzL2Rvd25y&#10;ZXYueG1sUEsFBgAAAAAEAAQA8wAAAPoFAAAAAA==&#10;" stroked="f">
                <v:textbox>
                  <w:txbxContent>
                    <w:p w14:paraId="579CDB9F" w14:textId="49365C1C" w:rsidR="005F7514" w:rsidRPr="00290CC5" w:rsidRDefault="005F7514" w:rsidP="005F7514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图</w:t>
                      </w:r>
                      <w:r w:rsidR="00AF2A95">
                        <w:rPr>
                          <w:rFonts w:hint="eastAsia"/>
                          <w:b/>
                        </w:rPr>
                        <w:t>9</w:t>
                      </w:r>
                      <w:r w:rsidR="008C7AD9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C7AD9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近</w:t>
                      </w:r>
                      <w:r>
                        <w:rPr>
                          <w:b/>
                        </w:rPr>
                        <w:t>几个</w:t>
                      </w:r>
                      <w:r>
                        <w:rPr>
                          <w:rFonts w:hint="eastAsia"/>
                          <w:b/>
                        </w:rPr>
                        <w:t>季度战略性新兴产业上市公司完成重组数</w:t>
                      </w:r>
                    </w:p>
                  </w:txbxContent>
                </v:textbox>
              </v:shape>
            </w:pict>
          </mc:Fallback>
        </mc:AlternateContent>
      </w:r>
    </w:p>
    <w:p w14:paraId="707FE616" w14:textId="232AE4C7" w:rsidR="005F7514" w:rsidRDefault="001C636A" w:rsidP="005F7514">
      <w:pPr>
        <w:spacing w:beforeLines="100" w:before="312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</w:t>
      </w:r>
      <w:r w:rsidR="007576BA">
        <w:rPr>
          <w:rFonts w:ascii="仿宋" w:eastAsia="仿宋" w:hAnsi="仿宋" w:hint="eastAsia"/>
          <w:b/>
          <w:sz w:val="30"/>
          <w:szCs w:val="30"/>
        </w:rPr>
        <w:t>三</w:t>
      </w:r>
      <w:r>
        <w:rPr>
          <w:rFonts w:ascii="仿宋" w:eastAsia="仿宋" w:hAnsi="仿宋" w:hint="eastAsia"/>
          <w:b/>
          <w:sz w:val="30"/>
          <w:szCs w:val="30"/>
        </w:rPr>
        <w:t>）企业规模</w:t>
      </w:r>
      <w:r w:rsidR="00943586">
        <w:rPr>
          <w:rFonts w:ascii="仿宋" w:eastAsia="仿宋" w:hAnsi="仿宋" w:hint="eastAsia"/>
          <w:b/>
          <w:sz w:val="30"/>
          <w:szCs w:val="30"/>
        </w:rPr>
        <w:t>稳步扩张</w:t>
      </w:r>
      <w:r w:rsidR="005F7514">
        <w:rPr>
          <w:rFonts w:ascii="仿宋" w:eastAsia="仿宋" w:hAnsi="仿宋" w:hint="eastAsia"/>
          <w:b/>
          <w:sz w:val="30"/>
          <w:szCs w:val="30"/>
        </w:rPr>
        <w:t>，投资</w:t>
      </w:r>
      <w:r w:rsidR="002E470E">
        <w:rPr>
          <w:rFonts w:ascii="仿宋" w:eastAsia="仿宋" w:hAnsi="仿宋" w:hint="eastAsia"/>
          <w:b/>
          <w:sz w:val="30"/>
          <w:szCs w:val="30"/>
        </w:rPr>
        <w:t>热度</w:t>
      </w:r>
      <w:r w:rsidR="00104A34" w:rsidRPr="00AF16AC">
        <w:rPr>
          <w:rFonts w:ascii="仿宋" w:eastAsia="仿宋" w:hAnsi="仿宋" w:hint="eastAsia"/>
          <w:b/>
          <w:sz w:val="30"/>
          <w:szCs w:val="30"/>
        </w:rPr>
        <w:t>继续</w:t>
      </w:r>
      <w:r w:rsidR="002E470E" w:rsidRPr="00AF16AC">
        <w:rPr>
          <w:rFonts w:ascii="仿宋" w:eastAsia="仿宋" w:hAnsi="仿宋" w:hint="eastAsia"/>
          <w:b/>
          <w:sz w:val="30"/>
          <w:szCs w:val="30"/>
        </w:rPr>
        <w:t>下降</w:t>
      </w:r>
    </w:p>
    <w:p w14:paraId="75AAD76C" w14:textId="28D2AFC1" w:rsidR="005F7514" w:rsidRDefault="00A332AB" w:rsidP="005F751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5F7514" w:rsidRPr="002B1DB1">
        <w:rPr>
          <w:rFonts w:ascii="仿宋" w:eastAsia="仿宋" w:hAnsi="仿宋" w:hint="eastAsia"/>
          <w:sz w:val="30"/>
          <w:szCs w:val="30"/>
        </w:rPr>
        <w:t>季度，战略性新兴产业上市公司规模</w:t>
      </w:r>
      <w:r w:rsidR="005F7514">
        <w:rPr>
          <w:rFonts w:ascii="仿宋" w:eastAsia="仿宋" w:hAnsi="仿宋" w:hint="eastAsia"/>
          <w:sz w:val="30"/>
          <w:szCs w:val="30"/>
        </w:rPr>
        <w:t>持续增长</w:t>
      </w:r>
      <w:r w:rsidR="005F7514" w:rsidRPr="002B1DB1">
        <w:rPr>
          <w:rFonts w:ascii="仿宋" w:eastAsia="仿宋" w:hAnsi="仿宋" w:hint="eastAsia"/>
          <w:sz w:val="30"/>
          <w:szCs w:val="30"/>
        </w:rPr>
        <w:t>，</w:t>
      </w:r>
      <w:r w:rsidR="005F7514" w:rsidRPr="0030722E">
        <w:rPr>
          <w:rFonts w:ascii="仿宋" w:eastAsia="仿宋" w:hAnsi="仿宋" w:hint="eastAsia"/>
          <w:sz w:val="30"/>
          <w:szCs w:val="30"/>
        </w:rPr>
        <w:t>资产规模达</w:t>
      </w:r>
      <w:r w:rsidR="005F7514">
        <w:rPr>
          <w:rFonts w:ascii="仿宋" w:eastAsia="仿宋" w:hAnsi="仿宋" w:hint="eastAsia"/>
          <w:sz w:val="30"/>
          <w:szCs w:val="30"/>
        </w:rPr>
        <w:t>7.</w:t>
      </w:r>
      <w:r>
        <w:rPr>
          <w:rFonts w:ascii="仿宋" w:eastAsia="仿宋" w:hAnsi="仿宋" w:hint="eastAsia"/>
          <w:sz w:val="30"/>
          <w:szCs w:val="30"/>
        </w:rPr>
        <w:t>7</w:t>
      </w:r>
      <w:proofErr w:type="gramStart"/>
      <w:r w:rsidR="005F7514" w:rsidRPr="0030722E">
        <w:rPr>
          <w:rFonts w:ascii="仿宋" w:eastAsia="仿宋" w:hAnsi="仿宋" w:hint="eastAsia"/>
          <w:sz w:val="30"/>
          <w:szCs w:val="30"/>
        </w:rPr>
        <w:t>万亿</w:t>
      </w:r>
      <w:proofErr w:type="gramEnd"/>
      <w:r w:rsidR="005F7514" w:rsidRPr="0030722E">
        <w:rPr>
          <w:rFonts w:ascii="仿宋" w:eastAsia="仿宋" w:hAnsi="仿宋" w:hint="eastAsia"/>
          <w:sz w:val="30"/>
          <w:szCs w:val="30"/>
        </w:rPr>
        <w:t>元，较去年同期增长</w:t>
      </w:r>
      <w:r w:rsidR="005F7514">
        <w:rPr>
          <w:rFonts w:ascii="仿宋" w:eastAsia="仿宋" w:hAnsi="仿宋" w:hint="eastAsia"/>
          <w:sz w:val="30"/>
          <w:szCs w:val="30"/>
        </w:rPr>
        <w:t>22.</w:t>
      </w:r>
      <w:r>
        <w:rPr>
          <w:rFonts w:ascii="仿宋" w:eastAsia="仿宋" w:hAnsi="仿宋" w:hint="eastAsia"/>
          <w:sz w:val="30"/>
          <w:szCs w:val="30"/>
        </w:rPr>
        <w:t>6</w:t>
      </w:r>
      <w:r w:rsidR="005F7514" w:rsidRPr="0030722E">
        <w:rPr>
          <w:rFonts w:ascii="仿宋" w:eastAsia="仿宋" w:hAnsi="仿宋" w:hint="eastAsia"/>
          <w:sz w:val="30"/>
          <w:szCs w:val="30"/>
        </w:rPr>
        <w:t>%（见图</w:t>
      </w:r>
      <w:r w:rsidR="005F7514">
        <w:rPr>
          <w:rFonts w:ascii="仿宋" w:eastAsia="仿宋" w:hAnsi="仿宋"/>
          <w:sz w:val="30"/>
          <w:szCs w:val="30"/>
        </w:rPr>
        <w:t>1</w:t>
      </w:r>
      <w:r w:rsidR="00AF2A95">
        <w:rPr>
          <w:rFonts w:ascii="仿宋" w:eastAsia="仿宋" w:hAnsi="仿宋" w:hint="eastAsia"/>
          <w:sz w:val="30"/>
          <w:szCs w:val="30"/>
        </w:rPr>
        <w:t>0</w:t>
      </w:r>
      <w:r w:rsidR="005F7514" w:rsidRPr="0030722E">
        <w:rPr>
          <w:rFonts w:ascii="仿宋" w:eastAsia="仿宋" w:hAnsi="仿宋" w:hint="eastAsia"/>
          <w:sz w:val="30"/>
          <w:szCs w:val="30"/>
        </w:rPr>
        <w:t>）</w:t>
      </w:r>
      <w:r w:rsidR="005F7514">
        <w:rPr>
          <w:rFonts w:ascii="仿宋" w:eastAsia="仿宋" w:hAnsi="仿宋" w:hint="eastAsia"/>
          <w:sz w:val="30"/>
          <w:szCs w:val="30"/>
        </w:rPr>
        <w:t>。与此同时</w:t>
      </w:r>
      <w:r w:rsidR="005F7514">
        <w:rPr>
          <w:rFonts w:ascii="仿宋" w:eastAsia="仿宋" w:hAnsi="仿宋"/>
          <w:sz w:val="30"/>
          <w:szCs w:val="30"/>
        </w:rPr>
        <w:t>，</w:t>
      </w:r>
      <w:r w:rsidR="005F7514">
        <w:rPr>
          <w:rFonts w:ascii="仿宋" w:eastAsia="仿宋" w:hAnsi="仿宋" w:hint="eastAsia"/>
          <w:sz w:val="30"/>
          <w:szCs w:val="30"/>
        </w:rPr>
        <w:t>战略性新兴产业上市公司资产负债率</w:t>
      </w:r>
      <w:r w:rsidR="00EC78D8">
        <w:rPr>
          <w:rFonts w:ascii="仿宋" w:eastAsia="仿宋" w:hAnsi="仿宋" w:hint="eastAsia"/>
          <w:sz w:val="30"/>
          <w:szCs w:val="30"/>
        </w:rPr>
        <w:t>为52.2</w:t>
      </w:r>
      <w:r w:rsidR="005F7514">
        <w:rPr>
          <w:rFonts w:ascii="仿宋" w:eastAsia="仿宋" w:hAnsi="仿宋" w:hint="eastAsia"/>
          <w:sz w:val="30"/>
          <w:szCs w:val="30"/>
        </w:rPr>
        <w:t>%，</w:t>
      </w:r>
      <w:r w:rsidR="00A15741">
        <w:rPr>
          <w:rFonts w:ascii="仿宋" w:eastAsia="仿宋" w:hAnsi="仿宋" w:hint="eastAsia"/>
          <w:sz w:val="30"/>
          <w:szCs w:val="30"/>
        </w:rPr>
        <w:t>与</w:t>
      </w:r>
      <w:r w:rsidR="00EC78D8">
        <w:rPr>
          <w:rFonts w:ascii="仿宋" w:eastAsia="仿宋" w:hAnsi="仿宋" w:hint="eastAsia"/>
          <w:sz w:val="30"/>
          <w:szCs w:val="30"/>
        </w:rPr>
        <w:t>一</w:t>
      </w:r>
      <w:r w:rsidR="005F7514">
        <w:rPr>
          <w:rFonts w:ascii="仿宋" w:eastAsia="仿宋" w:hAnsi="仿宋" w:hint="eastAsia"/>
          <w:sz w:val="30"/>
          <w:szCs w:val="30"/>
        </w:rPr>
        <w:t>季度</w:t>
      </w:r>
      <w:r w:rsidR="00A15741">
        <w:rPr>
          <w:rFonts w:ascii="仿宋" w:eastAsia="仿宋" w:hAnsi="仿宋" w:hint="eastAsia"/>
          <w:sz w:val="30"/>
          <w:szCs w:val="30"/>
        </w:rPr>
        <w:t>基本持平</w:t>
      </w:r>
      <w:r w:rsidR="008A3E35">
        <w:rPr>
          <w:rFonts w:ascii="仿宋" w:eastAsia="仿宋" w:hAnsi="仿宋" w:hint="eastAsia"/>
          <w:sz w:val="30"/>
          <w:szCs w:val="30"/>
        </w:rPr>
        <w:t>，企业良好的经营状况带来了</w:t>
      </w:r>
      <w:r w:rsidR="008A3E35" w:rsidRPr="004F389C">
        <w:rPr>
          <w:rFonts w:ascii="仿宋" w:eastAsia="仿宋" w:hAnsi="仿宋" w:hint="eastAsia"/>
          <w:sz w:val="30"/>
          <w:szCs w:val="30"/>
        </w:rPr>
        <w:t>规模</w:t>
      </w:r>
      <w:r w:rsidR="005618D7">
        <w:rPr>
          <w:rFonts w:ascii="仿宋" w:eastAsia="仿宋" w:hAnsi="仿宋" w:hint="eastAsia"/>
          <w:sz w:val="30"/>
          <w:szCs w:val="30"/>
        </w:rPr>
        <w:t>稳步扩张</w:t>
      </w:r>
      <w:r w:rsidR="005F7514">
        <w:rPr>
          <w:rFonts w:ascii="仿宋" w:eastAsia="仿宋" w:hAnsi="仿宋" w:hint="eastAsia"/>
          <w:sz w:val="30"/>
          <w:szCs w:val="30"/>
        </w:rPr>
        <w:t>。</w:t>
      </w:r>
    </w:p>
    <w:p w14:paraId="36173229" w14:textId="77777777" w:rsidR="005F7514" w:rsidRPr="00062B6F" w:rsidRDefault="00EB4E21" w:rsidP="00951BF2">
      <w:pPr>
        <w:spacing w:line="360" w:lineRule="auto"/>
        <w:ind w:leftChars="-203" w:left="-424" w:hanging="2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39105" wp14:editId="4BAF2529">
                <wp:simplePos x="0" y="0"/>
                <wp:positionH relativeFrom="column">
                  <wp:posOffset>21590</wp:posOffset>
                </wp:positionH>
                <wp:positionV relativeFrom="paragraph">
                  <wp:posOffset>1973580</wp:posOffset>
                </wp:positionV>
                <wp:extent cx="5269865" cy="366395"/>
                <wp:effectExtent l="0" t="0" r="6985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E575" w14:textId="2815CC09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AF2A95"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 w:rsidR="008C7AD9">
                              <w:rPr>
                                <w:b/>
                              </w:rPr>
                              <w:t xml:space="preserve"> </w:t>
                            </w:r>
                            <w:r w:rsidR="008C7AD9" w:rsidRPr="00F11A1B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资产总额情况</w:t>
                            </w:r>
                          </w:p>
                          <w:p w14:paraId="01B4B584" w14:textId="77777777" w:rsidR="005F7514" w:rsidRPr="0051169A" w:rsidRDefault="005F7514" w:rsidP="005F7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36" type="#_x0000_t202" style="position:absolute;left:0;text-align:left;margin-left:1.7pt;margin-top:155.4pt;width:414.95pt;height:2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BWmAIAABoFAAAOAAAAZHJzL2Uyb0RvYy54bWysVMuO0zAU3SPxD5b3nTyaZJpo0tF0hiKk&#10;4SENfICbOI2FYxvbbTIgtvAHrNiw57vmO7h22k6Hh4QQWTh+XJ/7OOf67HzoONpSbZgUJY5OQoyo&#10;qGTNxLrEb14vJzOMjCWiJlwKWuJbavD5/PGjs14VNJat5DXVCECEKXpV4tZaVQSBqVraEXMiFRVw&#10;2EjdEQtLvQ5qTXpA73gQh2EW9FLXSsuKGgO7V+Mhnnv8pqGVfdk0hlrESwyxWT9qP67cGMzPSLHW&#10;RLWs2oVB/iGKjjABTg9QV8QStNHsF6iOVVoa2diTSnaBbBpWUZ8DZBOFP2Vz0xJFfS5QHKMOZTL/&#10;D7Z6sX2lEatLHE8xEqQDju6+fL77+v3u2ycEe1CgXpkC7G4UWNphIQcg2idr1LWs3hok5GVLxJpe&#10;aC37lpIaAozczeDo6ohjHMiqfy5rcEQ2VnqgodGdqx7UAwE6EHV7IIcOFlWwmcZZPstSjCo4m2bZ&#10;NE+9C1Lsbytt7FMqO+QmJdZAvkcn22tjXTSk2Js4Z0ZyVi8Z536h16tLrtGWgFCW/tuhPzDjwhkL&#10;6a6NiOMOBAk+3JkL1xP/IY/iJFzE+WSZzU4nyTJJJ/lpOJuEUb7IszDJk6vlRxdglBQtq2sqrpmg&#10;exFGyd+RvGuHUT5ehqgvcZ7G6UjRH5MM/fe7JDtmoSc560o8OxiRwhH7RNSQNiksYXycBw/D91WG&#10;Guz/vipeBo75UQN2WA1ecpHvP6eRlaxvQRhaAm/APjwoMGmlfo9RD81ZYvNuQzTFiD8TIK48ShLX&#10;zX6RpKcxLPTxyer4hIgKoEpsMRqnl3Z8ATZKs3ULnkY5C3kBgmyY18p9VDsZQwP6pHaPhevw47W3&#10;un/S5j8AAAD//wMAUEsDBBQABgAIAAAAIQCGilKV3gAAAAkBAAAPAAAAZHJzL2Rvd25yZXYueG1s&#10;TI9BT4NAEIXvJv6HzZh4MXaptBSRpVETjdfW/oABpkBkZwm7LfTfO57saTLzXt58L9/OtldnGn3n&#10;2MByEYEirlzdcWPg8P3xmILyAbnG3jEZuJCHbXF7k2NWu4l3dN6HRkkI+wwNtCEMmda+asmiX7iB&#10;WLSjGy0GWcdG1yNOEm57/RRFibbYsXxocaD3lqqf/ckaOH5ND+vnqfwMh81ulbxhtyndxZj7u/n1&#10;BVSgOfyb4Q9f0KEQptKduPaqNxCvxChjGUkD0dM4jkGVcknSNegi19cNil8AAAD//wMAUEsBAi0A&#10;FAAGAAgAAAAhALaDOJL+AAAA4QEAABMAAAAAAAAAAAAAAAAAAAAAAFtDb250ZW50X1R5cGVzXS54&#10;bWxQSwECLQAUAAYACAAAACEAOP0h/9YAAACUAQAACwAAAAAAAAAAAAAAAAAvAQAAX3JlbHMvLnJl&#10;bHNQSwECLQAUAAYACAAAACEAZlTwVpgCAAAaBQAADgAAAAAAAAAAAAAAAAAuAgAAZHJzL2Uyb0Rv&#10;Yy54bWxQSwECLQAUAAYACAAAACEAhopSld4AAAAJAQAADwAAAAAAAAAAAAAAAADyBAAAZHJzL2Rv&#10;d25yZXYueG1sUEsFBgAAAAAEAAQA8wAAAP0FAAAAAA==&#10;" stroked="f">
                <v:textbox>
                  <w:txbxContent>
                    <w:p w14:paraId="6709E575" w14:textId="2815CC09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AF2A95">
                        <w:rPr>
                          <w:rFonts w:hint="eastAsia"/>
                          <w:b/>
                        </w:rPr>
                        <w:t>10</w:t>
                      </w:r>
                      <w:r w:rsidR="008C7AD9">
                        <w:rPr>
                          <w:b/>
                        </w:rPr>
                        <w:t xml:space="preserve"> </w:t>
                      </w:r>
                      <w:r w:rsidR="008C7AD9" w:rsidRPr="00F11A1B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资产总额情况</w:t>
                      </w:r>
                    </w:p>
                    <w:p w14:paraId="01B4B584" w14:textId="77777777" w:rsidR="005F7514" w:rsidRPr="0051169A" w:rsidRDefault="005F7514" w:rsidP="005F7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1BF2">
        <w:rPr>
          <w:rFonts w:ascii="仿宋" w:eastAsia="仿宋" w:hAnsi="仿宋"/>
          <w:noProof/>
          <w:sz w:val="30"/>
          <w:szCs w:val="30"/>
        </w:rPr>
        <w:drawing>
          <wp:inline distT="0" distB="0" distL="0" distR="0" wp14:anchorId="19318684" wp14:editId="1C0229A8">
            <wp:extent cx="6200775" cy="1943100"/>
            <wp:effectExtent l="0" t="0" r="0" b="0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2EC2656" w14:textId="77777777" w:rsidR="005F7514" w:rsidRDefault="005F7514" w:rsidP="005F7514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28878A1C" w14:textId="5D734029" w:rsidR="001C6643" w:rsidRDefault="008C02B7" w:rsidP="001C6643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5F7514">
        <w:rPr>
          <w:rFonts w:ascii="仿宋" w:eastAsia="仿宋" w:hAnsi="仿宋" w:hint="eastAsia"/>
          <w:sz w:val="30"/>
          <w:szCs w:val="30"/>
        </w:rPr>
        <w:t>季度末，</w:t>
      </w:r>
      <w:r w:rsidR="005F7514" w:rsidRPr="00183709">
        <w:rPr>
          <w:rFonts w:ascii="仿宋" w:eastAsia="仿宋" w:hAnsi="仿宋" w:hint="eastAsia"/>
          <w:sz w:val="30"/>
          <w:szCs w:val="30"/>
        </w:rPr>
        <w:t>战略性新兴产业</w:t>
      </w:r>
      <w:r w:rsidR="005F7514" w:rsidRPr="00CA1A5C">
        <w:rPr>
          <w:rFonts w:ascii="仿宋" w:eastAsia="仿宋" w:hAnsi="仿宋" w:hint="eastAsia"/>
          <w:sz w:val="30"/>
          <w:szCs w:val="30"/>
        </w:rPr>
        <w:t>上市公司固定资产净值</w:t>
      </w:r>
      <w:r w:rsidR="001C636A">
        <w:rPr>
          <w:rFonts w:ascii="仿宋" w:eastAsia="仿宋" w:hAnsi="仿宋" w:hint="eastAsia"/>
          <w:sz w:val="30"/>
          <w:szCs w:val="30"/>
        </w:rPr>
        <w:t>为</w:t>
      </w:r>
      <w:r w:rsidR="00EC78D8" w:rsidRPr="00EC78D8">
        <w:rPr>
          <w:rFonts w:ascii="仿宋" w:eastAsia="仿宋" w:hAnsi="仿宋" w:hint="eastAsia"/>
          <w:sz w:val="30"/>
          <w:szCs w:val="30"/>
        </w:rPr>
        <w:t>19191.6</w:t>
      </w:r>
      <w:r w:rsidR="005F7514" w:rsidRPr="00CA1A5C">
        <w:rPr>
          <w:rFonts w:ascii="仿宋" w:eastAsia="仿宋" w:hAnsi="仿宋" w:hint="eastAsia"/>
          <w:sz w:val="30"/>
          <w:szCs w:val="30"/>
        </w:rPr>
        <w:t>亿元，</w:t>
      </w:r>
      <w:r w:rsidR="005F7514">
        <w:rPr>
          <w:rFonts w:ascii="仿宋" w:eastAsia="仿宋" w:hAnsi="仿宋" w:hint="eastAsia"/>
          <w:sz w:val="30"/>
          <w:szCs w:val="30"/>
        </w:rPr>
        <w:t>同比</w:t>
      </w:r>
      <w:r w:rsidR="005F7514" w:rsidRPr="00CA1A5C">
        <w:rPr>
          <w:rFonts w:ascii="仿宋" w:eastAsia="仿宋" w:hAnsi="仿宋" w:hint="eastAsia"/>
          <w:sz w:val="30"/>
          <w:szCs w:val="30"/>
        </w:rPr>
        <w:t>增长</w:t>
      </w:r>
      <w:r w:rsidR="005F7514" w:rsidRPr="00CA1A5C">
        <w:rPr>
          <w:rFonts w:ascii="仿宋" w:eastAsia="仿宋" w:hAnsi="仿宋"/>
          <w:sz w:val="30"/>
          <w:szCs w:val="30"/>
        </w:rPr>
        <w:t>1</w:t>
      </w:r>
      <w:r w:rsidR="005F7514">
        <w:rPr>
          <w:rFonts w:ascii="仿宋" w:eastAsia="仿宋" w:hAnsi="仿宋" w:hint="eastAsia"/>
          <w:sz w:val="30"/>
          <w:szCs w:val="30"/>
        </w:rPr>
        <w:t>6.</w:t>
      </w:r>
      <w:r w:rsidR="009154E9">
        <w:rPr>
          <w:rFonts w:ascii="仿宋" w:eastAsia="仿宋" w:hAnsi="仿宋" w:hint="eastAsia"/>
          <w:sz w:val="30"/>
          <w:szCs w:val="30"/>
        </w:rPr>
        <w:t>2</w:t>
      </w:r>
      <w:r w:rsidR="005F7514" w:rsidRPr="00CA1A5C">
        <w:rPr>
          <w:rFonts w:ascii="仿宋" w:eastAsia="仿宋" w:hAnsi="仿宋"/>
          <w:sz w:val="30"/>
          <w:szCs w:val="30"/>
        </w:rPr>
        <w:t>%</w:t>
      </w:r>
      <w:r w:rsidR="005F7514">
        <w:rPr>
          <w:rFonts w:ascii="仿宋" w:eastAsia="仿宋" w:hAnsi="仿宋" w:hint="eastAsia"/>
          <w:sz w:val="30"/>
          <w:szCs w:val="30"/>
        </w:rPr>
        <w:t>，受</w:t>
      </w:r>
      <w:r w:rsidR="005F7514">
        <w:rPr>
          <w:rFonts w:ascii="仿宋" w:eastAsia="仿宋" w:hAnsi="仿宋"/>
          <w:sz w:val="30"/>
          <w:szCs w:val="30"/>
        </w:rPr>
        <w:t>经济</w:t>
      </w:r>
      <w:r w:rsidR="005F7514">
        <w:rPr>
          <w:rFonts w:ascii="仿宋" w:eastAsia="仿宋" w:hAnsi="仿宋" w:hint="eastAsia"/>
          <w:sz w:val="30"/>
          <w:szCs w:val="30"/>
        </w:rPr>
        <w:t>整体形势不佳</w:t>
      </w:r>
      <w:r w:rsidR="005F7514">
        <w:rPr>
          <w:rFonts w:ascii="仿宋" w:eastAsia="仿宋" w:hAnsi="仿宋"/>
          <w:sz w:val="30"/>
          <w:szCs w:val="30"/>
        </w:rPr>
        <w:t>影响，</w:t>
      </w:r>
      <w:r w:rsidR="005F7514" w:rsidRPr="00CA1A5C">
        <w:rPr>
          <w:rFonts w:ascii="仿宋" w:eastAsia="仿宋" w:hAnsi="仿宋" w:hint="eastAsia"/>
          <w:sz w:val="30"/>
          <w:szCs w:val="30"/>
        </w:rPr>
        <w:t>固定资产净值</w:t>
      </w:r>
      <w:r w:rsidR="005F7514">
        <w:rPr>
          <w:rFonts w:ascii="仿宋" w:eastAsia="仿宋" w:hAnsi="仿宋" w:hint="eastAsia"/>
          <w:sz w:val="30"/>
          <w:szCs w:val="30"/>
        </w:rPr>
        <w:t>增速已经</w:t>
      </w:r>
      <w:r w:rsidR="005F7514">
        <w:rPr>
          <w:rFonts w:ascii="仿宋" w:eastAsia="仿宋" w:hAnsi="仿宋"/>
          <w:sz w:val="30"/>
          <w:szCs w:val="30"/>
        </w:rPr>
        <w:t>连续</w:t>
      </w:r>
      <w:r w:rsidR="009154E9">
        <w:rPr>
          <w:rFonts w:ascii="仿宋" w:eastAsia="仿宋" w:hAnsi="仿宋" w:hint="eastAsia"/>
          <w:sz w:val="30"/>
          <w:szCs w:val="30"/>
        </w:rPr>
        <w:t>5</w:t>
      </w:r>
      <w:r w:rsidR="005F7514">
        <w:rPr>
          <w:rFonts w:ascii="仿宋" w:eastAsia="仿宋" w:hAnsi="仿宋" w:hint="eastAsia"/>
          <w:sz w:val="30"/>
          <w:szCs w:val="30"/>
        </w:rPr>
        <w:t>个</w:t>
      </w:r>
      <w:r w:rsidR="005F7514">
        <w:rPr>
          <w:rFonts w:ascii="仿宋" w:eastAsia="仿宋" w:hAnsi="仿宋"/>
          <w:sz w:val="30"/>
          <w:szCs w:val="30"/>
        </w:rPr>
        <w:t>季度保持下滑趋势</w:t>
      </w:r>
      <w:r w:rsidR="005F7514">
        <w:rPr>
          <w:rFonts w:ascii="仿宋" w:eastAsia="仿宋" w:hAnsi="仿宋" w:hint="eastAsia"/>
          <w:sz w:val="30"/>
          <w:szCs w:val="30"/>
        </w:rPr>
        <w:t>（见</w:t>
      </w:r>
      <w:r w:rsidR="005F7514">
        <w:rPr>
          <w:rFonts w:ascii="仿宋" w:eastAsia="仿宋" w:hAnsi="仿宋"/>
          <w:sz w:val="30"/>
          <w:szCs w:val="30"/>
        </w:rPr>
        <w:t>图</w:t>
      </w:r>
      <w:r w:rsidR="005F7514">
        <w:rPr>
          <w:rFonts w:ascii="仿宋" w:eastAsia="仿宋" w:hAnsi="仿宋" w:hint="eastAsia"/>
          <w:sz w:val="30"/>
          <w:szCs w:val="30"/>
        </w:rPr>
        <w:t>1</w:t>
      </w:r>
      <w:r w:rsidR="00AF2A95">
        <w:rPr>
          <w:rFonts w:ascii="仿宋" w:eastAsia="仿宋" w:hAnsi="仿宋" w:hint="eastAsia"/>
          <w:sz w:val="30"/>
          <w:szCs w:val="30"/>
        </w:rPr>
        <w:t>1</w:t>
      </w:r>
      <w:r w:rsidR="005F7514">
        <w:rPr>
          <w:rFonts w:ascii="仿宋" w:eastAsia="仿宋" w:hAnsi="仿宋"/>
          <w:sz w:val="30"/>
          <w:szCs w:val="30"/>
        </w:rPr>
        <w:t>）</w:t>
      </w:r>
      <w:r w:rsidR="005F7514">
        <w:rPr>
          <w:rFonts w:ascii="仿宋" w:eastAsia="仿宋" w:hAnsi="仿宋" w:hint="eastAsia"/>
          <w:sz w:val="30"/>
          <w:szCs w:val="30"/>
        </w:rPr>
        <w:t>。</w:t>
      </w:r>
      <w:r w:rsidR="005F7514">
        <w:rPr>
          <w:rFonts w:ascii="仿宋" w:eastAsia="仿宋" w:hAnsi="仿宋"/>
          <w:sz w:val="30"/>
          <w:szCs w:val="30"/>
        </w:rPr>
        <w:t>但</w:t>
      </w:r>
      <w:r w:rsidR="005F7514" w:rsidRPr="00183709">
        <w:rPr>
          <w:rFonts w:ascii="仿宋" w:eastAsia="仿宋" w:hAnsi="仿宋" w:hint="eastAsia"/>
          <w:sz w:val="30"/>
          <w:szCs w:val="30"/>
        </w:rPr>
        <w:t>战略性新兴产业</w:t>
      </w:r>
      <w:r w:rsidR="005F7514" w:rsidRPr="00CA1A5C">
        <w:rPr>
          <w:rFonts w:ascii="仿宋" w:eastAsia="仿宋" w:hAnsi="仿宋" w:hint="eastAsia"/>
          <w:sz w:val="30"/>
          <w:szCs w:val="30"/>
        </w:rPr>
        <w:t>上市公司固定资产净值增速</w:t>
      </w:r>
      <w:r w:rsidR="005F7514">
        <w:rPr>
          <w:rFonts w:ascii="仿宋" w:eastAsia="仿宋" w:hAnsi="仿宋" w:hint="eastAsia"/>
          <w:sz w:val="30"/>
          <w:szCs w:val="30"/>
        </w:rPr>
        <w:t>仍</w:t>
      </w:r>
      <w:r w:rsidR="005F7514" w:rsidRPr="00CA1A5C">
        <w:rPr>
          <w:rFonts w:ascii="仿宋" w:eastAsia="仿宋" w:hAnsi="仿宋" w:hint="eastAsia"/>
          <w:sz w:val="30"/>
          <w:szCs w:val="30"/>
        </w:rPr>
        <w:t>高于上市公司总体</w:t>
      </w:r>
      <w:r w:rsidR="009154E9">
        <w:rPr>
          <w:rFonts w:ascii="仿宋" w:eastAsia="仿宋" w:hAnsi="仿宋" w:hint="eastAsia"/>
          <w:sz w:val="30"/>
          <w:szCs w:val="30"/>
        </w:rPr>
        <w:t>7.8</w:t>
      </w:r>
      <w:r w:rsidR="005F7514">
        <w:rPr>
          <w:rFonts w:ascii="仿宋" w:eastAsia="仿宋" w:hAnsi="仿宋" w:hint="eastAsia"/>
          <w:sz w:val="30"/>
          <w:szCs w:val="30"/>
        </w:rPr>
        <w:t>个</w:t>
      </w:r>
      <w:r w:rsidR="005F7514">
        <w:rPr>
          <w:rFonts w:ascii="仿宋" w:eastAsia="仿宋" w:hAnsi="仿宋"/>
          <w:sz w:val="30"/>
          <w:szCs w:val="30"/>
        </w:rPr>
        <w:t>百分点，</w:t>
      </w:r>
      <w:r w:rsidR="005F7514">
        <w:rPr>
          <w:rFonts w:ascii="仿宋" w:eastAsia="仿宋" w:hAnsi="仿宋" w:hint="eastAsia"/>
          <w:sz w:val="30"/>
          <w:szCs w:val="30"/>
        </w:rPr>
        <w:t>投资扩张</w:t>
      </w:r>
      <w:r w:rsidR="005F7514">
        <w:rPr>
          <w:rFonts w:ascii="仿宋" w:eastAsia="仿宋" w:hAnsi="仿宋"/>
          <w:sz w:val="30"/>
          <w:szCs w:val="30"/>
        </w:rPr>
        <w:t>速度大幅高于</w:t>
      </w:r>
      <w:r w:rsidR="005F7514">
        <w:rPr>
          <w:rFonts w:ascii="仿宋" w:eastAsia="仿宋" w:hAnsi="仿宋" w:hint="eastAsia"/>
          <w:sz w:val="30"/>
          <w:szCs w:val="30"/>
        </w:rPr>
        <w:t>上市公司</w:t>
      </w:r>
      <w:r w:rsidR="005F7514">
        <w:rPr>
          <w:rFonts w:ascii="仿宋" w:eastAsia="仿宋" w:hAnsi="仿宋"/>
          <w:sz w:val="30"/>
          <w:szCs w:val="30"/>
        </w:rPr>
        <w:t>总体</w:t>
      </w:r>
      <w:r w:rsidR="005F7514" w:rsidRPr="00062B6F">
        <w:rPr>
          <w:rFonts w:ascii="仿宋" w:eastAsia="仿宋" w:hAnsi="仿宋" w:hint="eastAsia"/>
          <w:sz w:val="30"/>
          <w:szCs w:val="30"/>
        </w:rPr>
        <w:t>。</w:t>
      </w:r>
    </w:p>
    <w:p w14:paraId="67412EF6" w14:textId="77777777" w:rsidR="00AF2A95" w:rsidRDefault="00AF2A95" w:rsidP="001C6643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4AB38E53" w14:textId="77777777" w:rsidR="00AF2A95" w:rsidRDefault="00AF2A95" w:rsidP="001C664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72CA17FB" w14:textId="77777777" w:rsidR="005F7514" w:rsidRDefault="001C6643" w:rsidP="009154E9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1A04D23F" wp14:editId="460287EA">
            <wp:simplePos x="0" y="0"/>
            <wp:positionH relativeFrom="column">
              <wp:posOffset>-9525</wp:posOffset>
            </wp:positionH>
            <wp:positionV relativeFrom="paragraph">
              <wp:posOffset>59055</wp:posOffset>
            </wp:positionV>
            <wp:extent cx="5314950" cy="2375535"/>
            <wp:effectExtent l="0" t="0" r="0" b="0"/>
            <wp:wrapNone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6E0C8" w14:textId="77777777" w:rsidR="005F7514" w:rsidRDefault="005F7514" w:rsidP="005F7514">
      <w:pPr>
        <w:spacing w:beforeLines="100" w:before="312" w:line="360" w:lineRule="auto"/>
        <w:ind w:firstLineChars="200" w:firstLine="600"/>
        <w:rPr>
          <w:rFonts w:ascii="仿宋" w:eastAsia="仿宋" w:hAnsi="仿宋"/>
          <w:color w:val="FF0000"/>
          <w:sz w:val="30"/>
          <w:szCs w:val="30"/>
        </w:rPr>
      </w:pPr>
    </w:p>
    <w:p w14:paraId="78EA485F" w14:textId="77777777" w:rsidR="005F7514" w:rsidRPr="00A8643B" w:rsidRDefault="005F7514" w:rsidP="005F7514">
      <w:pPr>
        <w:rPr>
          <w:rFonts w:ascii="仿宋" w:eastAsia="仿宋" w:hAnsi="仿宋"/>
          <w:sz w:val="30"/>
          <w:szCs w:val="30"/>
        </w:rPr>
      </w:pPr>
    </w:p>
    <w:p w14:paraId="4EE75E0B" w14:textId="77777777" w:rsidR="005F7514" w:rsidRPr="00A8643B" w:rsidRDefault="005F7514" w:rsidP="005F7514">
      <w:pPr>
        <w:rPr>
          <w:rFonts w:ascii="仿宋" w:eastAsia="仿宋" w:hAnsi="仿宋"/>
          <w:sz w:val="30"/>
          <w:szCs w:val="30"/>
        </w:rPr>
      </w:pPr>
    </w:p>
    <w:p w14:paraId="1D0FBDD1" w14:textId="77777777" w:rsidR="00F14689" w:rsidRPr="005F7514" w:rsidRDefault="004A291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24EB5B" wp14:editId="2565E99D">
                <wp:simplePos x="0" y="0"/>
                <wp:positionH relativeFrom="column">
                  <wp:posOffset>24130</wp:posOffset>
                </wp:positionH>
                <wp:positionV relativeFrom="paragraph">
                  <wp:posOffset>793750</wp:posOffset>
                </wp:positionV>
                <wp:extent cx="5043805" cy="344170"/>
                <wp:effectExtent l="0" t="0" r="4445" b="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8D31E" w14:textId="7894A30F" w:rsidR="005F7514" w:rsidRPr="00F11A1B" w:rsidRDefault="005F7514" w:rsidP="005F75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1A1B">
                              <w:rPr>
                                <w:rFonts w:hint="eastAsia"/>
                                <w:b/>
                              </w:rPr>
                              <w:t>图</w:t>
                            </w:r>
                            <w:r w:rsidR="008C7AD9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AF2A95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8C7AD9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C7AD9">
                              <w:rPr>
                                <w:b/>
                              </w:rPr>
                              <w:t xml:space="preserve"> </w:t>
                            </w:r>
                            <w:r w:rsidRPr="00AF5D38">
                              <w:rPr>
                                <w:rFonts w:hint="eastAsia"/>
                                <w:b/>
                              </w:rPr>
                              <w:t>战略性新兴产业上市公司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固定资产净值增速变化</w:t>
                            </w:r>
                          </w:p>
                          <w:p w14:paraId="6347CFC6" w14:textId="77777777" w:rsidR="005F7514" w:rsidRPr="005137A9" w:rsidRDefault="005F7514" w:rsidP="005F7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7" type="#_x0000_t202" style="position:absolute;left:0;text-align:left;margin-left:1.9pt;margin-top:62.5pt;width:397.1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5kmAIAABoFAAAOAAAAZHJzL2Uyb0RvYy54bWysVM2O0zAQviPxDpbv3fxsum2iTVfbLkVI&#10;y4+08ACu4zQWjm1st8mCuMIbcOLCnefa52DstN2ygIQQOTi2Z/x5Zr5vfH7RtwJtmbFcyRInJzFG&#10;TFJVcbku8ZvXy9EUI+uIrIhQkpX4lll8MXv86LzTBUtVo0TFDAIQaYtOl7hxThdRZGnDWmJPlGYS&#10;jLUyLXGwNOuoMqQD9FZEaRyfRZ0ylTaKMmth92ow4lnAr2tG3cu6tswhUWKIzYXRhHHlx2h2Toq1&#10;IbrhdBcG+YcoWsIlXHqAuiKOoI3hv0C1nBplVe1OqGojVdecspADZJPED7K5aYhmIRcojtWHMtn/&#10;B0tfbF8ZxKsSpylGkrTA0d2Xz3dfv999+4RgDwrUaVuA340GT9fPVQ9Eh2Stvlb0rUVSLRoi1+zS&#10;GNU1jFQQYOJPRkdHBxzrQVbdc1XBRWTjVADqa9P66kE9EKADUbcHcljvEIXNcZydTuMxRhRsp1mW&#10;TAJ7ESn2p7Wx7ilTLfKTEhsgP6CT7bV1PhpS7F38ZVYJXi25EGFh1quFMGhLQCjL8IUEHrgJ6Z2l&#10;8scGxGEHgoQ7vM2HG4j/kCdpFs/TfLQ8m05G2TIbj/JJPB3FST7Pz+Isz66WH32ASVY0vKqYvOaS&#10;7UWYZH9H8q4dBvkEGaKuxPk4HQ8U/THJOHy/S7LlDnpS8LbE04MTKTyxT2QFaZPCES6GefRz+KHK&#10;UIP9P1QlyMAzP2jA9as+SC4JIvEaWanqFoRhFPAG7MODApNGmfcYddCcJbbvNsQwjMQzCeLKkyzz&#10;3RwW2XiSwsIcW1bHFiIpQJXYYTRMF254ATba8HUDNw1yluoSBFnzoJX7qHYyhgYMSe0eC9/hx+vg&#10;df+kzX4AAAD//wMAUEsDBBQABgAIAAAAIQA7CwUs3QAAAAkBAAAPAAAAZHJzL2Rvd25yZXYueG1s&#10;TI9BT4NAEIXvJv6HzZh4MXYp2lKQpVETjdfW/oABpkBkZwm7LfTfO57scd57efO9fDvbXp1p9J1j&#10;A8tFBIq4cnXHjYHD98fjBpQPyDX2jsnAhTxsi9ubHLPaTbyj8z40SkrYZ2igDWHItPZVSxb9wg3E&#10;4h3daDHIOTa6HnGSctvrOIrW2mLH8qHFgd5bqn72J2vg+DU9rNKp/AyHZPe8fsMuKd3FmPu7+fUF&#10;VKA5/IfhD1/QoRCm0p249qo38CTgQeR4JZPET9LNElQpSpLGoItcXy8ofgEAAP//AwBQSwECLQAU&#10;AAYACAAAACEAtoM4kv4AAADhAQAAEwAAAAAAAAAAAAAAAAAAAAAAW0NvbnRlbnRfVHlwZXNdLnht&#10;bFBLAQItABQABgAIAAAAIQA4/SH/1gAAAJQBAAALAAAAAAAAAAAAAAAAAC8BAABfcmVscy8ucmVs&#10;c1BLAQItABQABgAIAAAAIQBijQ5kmAIAABoFAAAOAAAAAAAAAAAAAAAAAC4CAABkcnMvZTJvRG9j&#10;LnhtbFBLAQItABQABgAIAAAAIQA7CwUs3QAAAAkBAAAPAAAAAAAAAAAAAAAAAPIEAABkcnMvZG93&#10;bnJldi54bWxQSwUGAAAAAAQABADzAAAA/AUAAAAA&#10;" stroked="f">
                <v:textbox>
                  <w:txbxContent>
                    <w:p w14:paraId="1178D31E" w14:textId="7894A30F" w:rsidR="005F7514" w:rsidRPr="00F11A1B" w:rsidRDefault="005F7514" w:rsidP="005F7514">
                      <w:pPr>
                        <w:jc w:val="center"/>
                        <w:rPr>
                          <w:b/>
                        </w:rPr>
                      </w:pPr>
                      <w:r w:rsidRPr="00F11A1B">
                        <w:rPr>
                          <w:rFonts w:hint="eastAsia"/>
                          <w:b/>
                        </w:rPr>
                        <w:t>图</w:t>
                      </w:r>
                      <w:r w:rsidR="008C7AD9">
                        <w:rPr>
                          <w:rFonts w:hint="eastAsia"/>
                          <w:b/>
                        </w:rPr>
                        <w:t>1</w:t>
                      </w:r>
                      <w:r w:rsidR="00AF2A95">
                        <w:rPr>
                          <w:rFonts w:hint="eastAsia"/>
                          <w:b/>
                        </w:rPr>
                        <w:t>1</w:t>
                      </w:r>
                      <w:r w:rsidR="008C7AD9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C7AD9">
                        <w:rPr>
                          <w:b/>
                        </w:rPr>
                        <w:t xml:space="preserve"> </w:t>
                      </w:r>
                      <w:r w:rsidRPr="00AF5D38">
                        <w:rPr>
                          <w:rFonts w:hint="eastAsia"/>
                          <w:b/>
                        </w:rPr>
                        <w:t>战略性新兴产业上市公司</w:t>
                      </w:r>
                      <w:r>
                        <w:rPr>
                          <w:rFonts w:hint="eastAsia"/>
                          <w:b/>
                        </w:rPr>
                        <w:t>固定资产净值增速变化</w:t>
                      </w:r>
                    </w:p>
                    <w:p w14:paraId="6347CFC6" w14:textId="77777777" w:rsidR="005F7514" w:rsidRPr="005137A9" w:rsidRDefault="005F7514" w:rsidP="005F7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14689" w:rsidRPr="005F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BFE08F" w15:done="0"/>
  <w15:commentEx w15:paraId="4916B473" w15:done="0"/>
  <w15:commentEx w15:paraId="07158C34" w15:done="0"/>
  <w15:commentEx w15:paraId="60B053FF" w15:done="0"/>
  <w15:commentEx w15:paraId="679344D0" w15:done="0"/>
  <w15:commentEx w15:paraId="63AF6365" w15:done="0"/>
  <w15:commentEx w15:paraId="17C3BDFA" w15:done="0"/>
  <w15:commentEx w15:paraId="4B5BCE33" w15:done="0"/>
  <w15:commentEx w15:paraId="1C026514" w15:done="0"/>
  <w15:commentEx w15:paraId="22EC6EFC" w15:done="0"/>
  <w15:commentEx w15:paraId="05162EA8" w15:done="0"/>
  <w15:commentEx w15:paraId="4871602A" w15:done="0"/>
  <w15:commentEx w15:paraId="7DD1BCF7" w15:done="0"/>
  <w15:commentEx w15:paraId="724B5074" w15:done="0"/>
  <w15:commentEx w15:paraId="4E5A74BD" w15:done="0"/>
  <w15:commentEx w15:paraId="7F3D6793" w15:done="0"/>
  <w15:commentEx w15:paraId="71BB6856" w15:done="0"/>
  <w15:commentEx w15:paraId="3D9EA7D9" w15:done="0"/>
  <w15:commentEx w15:paraId="0A9A0C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5409D" w14:textId="77777777" w:rsidR="00AA7D1D" w:rsidRDefault="00AA7D1D"/>
  </w:endnote>
  <w:endnote w:type="continuationSeparator" w:id="0">
    <w:p w14:paraId="658C3460" w14:textId="77777777" w:rsidR="00AA7D1D" w:rsidRDefault="00AA7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EC7B5" w14:textId="77777777" w:rsidR="00AA7D1D" w:rsidRDefault="00AA7D1D"/>
  </w:footnote>
  <w:footnote w:type="continuationSeparator" w:id="0">
    <w:p w14:paraId="31C4D593" w14:textId="77777777" w:rsidR="00AA7D1D" w:rsidRDefault="00AA7D1D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c">
    <w15:presenceInfo w15:providerId="None" w15:userId="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D9"/>
    <w:rsid w:val="0000187C"/>
    <w:rsid w:val="00027EAF"/>
    <w:rsid w:val="00036C40"/>
    <w:rsid w:val="00047CFF"/>
    <w:rsid w:val="00047E6D"/>
    <w:rsid w:val="000578F3"/>
    <w:rsid w:val="00066CFC"/>
    <w:rsid w:val="00071768"/>
    <w:rsid w:val="0009033F"/>
    <w:rsid w:val="000C6E24"/>
    <w:rsid w:val="000D4E47"/>
    <w:rsid w:val="000E451B"/>
    <w:rsid w:val="000F7799"/>
    <w:rsid w:val="00102A2B"/>
    <w:rsid w:val="00104A34"/>
    <w:rsid w:val="00106EC2"/>
    <w:rsid w:val="00110174"/>
    <w:rsid w:val="00122F57"/>
    <w:rsid w:val="00127CE5"/>
    <w:rsid w:val="001322C5"/>
    <w:rsid w:val="001456A8"/>
    <w:rsid w:val="00154403"/>
    <w:rsid w:val="00171D96"/>
    <w:rsid w:val="00177A9A"/>
    <w:rsid w:val="00186587"/>
    <w:rsid w:val="00190A01"/>
    <w:rsid w:val="001A359B"/>
    <w:rsid w:val="001B02C2"/>
    <w:rsid w:val="001B6A22"/>
    <w:rsid w:val="001B750B"/>
    <w:rsid w:val="001C0C8B"/>
    <w:rsid w:val="001C636A"/>
    <w:rsid w:val="001C6643"/>
    <w:rsid w:val="001D5216"/>
    <w:rsid w:val="001E10B4"/>
    <w:rsid w:val="001E23A2"/>
    <w:rsid w:val="001E41A8"/>
    <w:rsid w:val="001E5ED7"/>
    <w:rsid w:val="001E61DF"/>
    <w:rsid w:val="001F3422"/>
    <w:rsid w:val="00202615"/>
    <w:rsid w:val="002037E4"/>
    <w:rsid w:val="00206291"/>
    <w:rsid w:val="00242710"/>
    <w:rsid w:val="00261DEF"/>
    <w:rsid w:val="00280200"/>
    <w:rsid w:val="002900D1"/>
    <w:rsid w:val="00292C90"/>
    <w:rsid w:val="002B17E5"/>
    <w:rsid w:val="002B1DFA"/>
    <w:rsid w:val="002B4D0D"/>
    <w:rsid w:val="002B5BA5"/>
    <w:rsid w:val="002D1600"/>
    <w:rsid w:val="002D5680"/>
    <w:rsid w:val="002E470E"/>
    <w:rsid w:val="002F42D2"/>
    <w:rsid w:val="0030101F"/>
    <w:rsid w:val="00303281"/>
    <w:rsid w:val="003145A9"/>
    <w:rsid w:val="003161E4"/>
    <w:rsid w:val="00325EE8"/>
    <w:rsid w:val="00331BB7"/>
    <w:rsid w:val="00333702"/>
    <w:rsid w:val="00342C09"/>
    <w:rsid w:val="003432DF"/>
    <w:rsid w:val="00352E07"/>
    <w:rsid w:val="0036312A"/>
    <w:rsid w:val="0037547B"/>
    <w:rsid w:val="00376771"/>
    <w:rsid w:val="00376FB1"/>
    <w:rsid w:val="00396F0E"/>
    <w:rsid w:val="003A0D8F"/>
    <w:rsid w:val="003A209B"/>
    <w:rsid w:val="003B03D9"/>
    <w:rsid w:val="003C128E"/>
    <w:rsid w:val="003C277C"/>
    <w:rsid w:val="003C782D"/>
    <w:rsid w:val="003D0C19"/>
    <w:rsid w:val="003D5066"/>
    <w:rsid w:val="0043142C"/>
    <w:rsid w:val="00441A01"/>
    <w:rsid w:val="00445215"/>
    <w:rsid w:val="00452CCB"/>
    <w:rsid w:val="00466663"/>
    <w:rsid w:val="00466DB8"/>
    <w:rsid w:val="00473B5F"/>
    <w:rsid w:val="00484B92"/>
    <w:rsid w:val="004976CA"/>
    <w:rsid w:val="004A291F"/>
    <w:rsid w:val="004A3E83"/>
    <w:rsid w:val="004C48E0"/>
    <w:rsid w:val="004C536A"/>
    <w:rsid w:val="004D2428"/>
    <w:rsid w:val="004E5F0C"/>
    <w:rsid w:val="00510D6C"/>
    <w:rsid w:val="005248B5"/>
    <w:rsid w:val="00556682"/>
    <w:rsid w:val="005618D7"/>
    <w:rsid w:val="00562A6A"/>
    <w:rsid w:val="00586966"/>
    <w:rsid w:val="00586E3F"/>
    <w:rsid w:val="005912E7"/>
    <w:rsid w:val="005B0111"/>
    <w:rsid w:val="005B236B"/>
    <w:rsid w:val="005B4465"/>
    <w:rsid w:val="005D2128"/>
    <w:rsid w:val="005F2FEC"/>
    <w:rsid w:val="005F4105"/>
    <w:rsid w:val="005F7514"/>
    <w:rsid w:val="00601549"/>
    <w:rsid w:val="00612108"/>
    <w:rsid w:val="00615117"/>
    <w:rsid w:val="0061715D"/>
    <w:rsid w:val="0061760F"/>
    <w:rsid w:val="006259D9"/>
    <w:rsid w:val="006269B9"/>
    <w:rsid w:val="00631848"/>
    <w:rsid w:val="00642171"/>
    <w:rsid w:val="006426CE"/>
    <w:rsid w:val="00645306"/>
    <w:rsid w:val="00653DFC"/>
    <w:rsid w:val="00656C79"/>
    <w:rsid w:val="00665A7D"/>
    <w:rsid w:val="00675707"/>
    <w:rsid w:val="006849FA"/>
    <w:rsid w:val="00691C95"/>
    <w:rsid w:val="006B6B36"/>
    <w:rsid w:val="006D19AD"/>
    <w:rsid w:val="006D2BDF"/>
    <w:rsid w:val="006E5A7F"/>
    <w:rsid w:val="006F0092"/>
    <w:rsid w:val="006F3B1D"/>
    <w:rsid w:val="00710C5F"/>
    <w:rsid w:val="00721643"/>
    <w:rsid w:val="00722139"/>
    <w:rsid w:val="00723249"/>
    <w:rsid w:val="00723EEE"/>
    <w:rsid w:val="007254EB"/>
    <w:rsid w:val="00737B7E"/>
    <w:rsid w:val="00746133"/>
    <w:rsid w:val="00746E8E"/>
    <w:rsid w:val="00757380"/>
    <w:rsid w:val="007576BA"/>
    <w:rsid w:val="007637BA"/>
    <w:rsid w:val="0076650C"/>
    <w:rsid w:val="0076712C"/>
    <w:rsid w:val="007731B8"/>
    <w:rsid w:val="00783625"/>
    <w:rsid w:val="00784503"/>
    <w:rsid w:val="007A177A"/>
    <w:rsid w:val="007A2974"/>
    <w:rsid w:val="007C294F"/>
    <w:rsid w:val="007C3F89"/>
    <w:rsid w:val="007D42D7"/>
    <w:rsid w:val="007D77E1"/>
    <w:rsid w:val="007F3CC3"/>
    <w:rsid w:val="007F5EAC"/>
    <w:rsid w:val="007F616A"/>
    <w:rsid w:val="008003E4"/>
    <w:rsid w:val="00824B82"/>
    <w:rsid w:val="008455D5"/>
    <w:rsid w:val="00850724"/>
    <w:rsid w:val="00855021"/>
    <w:rsid w:val="0085604D"/>
    <w:rsid w:val="00857E1A"/>
    <w:rsid w:val="00857F50"/>
    <w:rsid w:val="0086230A"/>
    <w:rsid w:val="0086648C"/>
    <w:rsid w:val="00871C16"/>
    <w:rsid w:val="00875897"/>
    <w:rsid w:val="00875DDA"/>
    <w:rsid w:val="00884338"/>
    <w:rsid w:val="00886DBF"/>
    <w:rsid w:val="00896A34"/>
    <w:rsid w:val="00897528"/>
    <w:rsid w:val="008A2E50"/>
    <w:rsid w:val="008A3E35"/>
    <w:rsid w:val="008A4FB7"/>
    <w:rsid w:val="008B0460"/>
    <w:rsid w:val="008C02B7"/>
    <w:rsid w:val="008C0BF5"/>
    <w:rsid w:val="008C21CE"/>
    <w:rsid w:val="008C7AD9"/>
    <w:rsid w:val="008D1A9F"/>
    <w:rsid w:val="008D5208"/>
    <w:rsid w:val="008E3803"/>
    <w:rsid w:val="008F394D"/>
    <w:rsid w:val="008F5B80"/>
    <w:rsid w:val="00902305"/>
    <w:rsid w:val="00903895"/>
    <w:rsid w:val="009114DF"/>
    <w:rsid w:val="00911A01"/>
    <w:rsid w:val="00912A93"/>
    <w:rsid w:val="00913707"/>
    <w:rsid w:val="009154E9"/>
    <w:rsid w:val="00925F12"/>
    <w:rsid w:val="0092614C"/>
    <w:rsid w:val="00943586"/>
    <w:rsid w:val="00944C2E"/>
    <w:rsid w:val="00951BF2"/>
    <w:rsid w:val="00951D3C"/>
    <w:rsid w:val="00953CCC"/>
    <w:rsid w:val="00955D65"/>
    <w:rsid w:val="00962586"/>
    <w:rsid w:val="009679A2"/>
    <w:rsid w:val="0097564F"/>
    <w:rsid w:val="0097662D"/>
    <w:rsid w:val="00980452"/>
    <w:rsid w:val="0098236A"/>
    <w:rsid w:val="00983A7F"/>
    <w:rsid w:val="00990DB6"/>
    <w:rsid w:val="00995CCF"/>
    <w:rsid w:val="009A0BEB"/>
    <w:rsid w:val="009B58F4"/>
    <w:rsid w:val="009C002D"/>
    <w:rsid w:val="009C00B3"/>
    <w:rsid w:val="009D29B6"/>
    <w:rsid w:val="009D2D31"/>
    <w:rsid w:val="009D7C43"/>
    <w:rsid w:val="009F60E8"/>
    <w:rsid w:val="009F7E68"/>
    <w:rsid w:val="00A01CA3"/>
    <w:rsid w:val="00A15301"/>
    <w:rsid w:val="00A15741"/>
    <w:rsid w:val="00A26C08"/>
    <w:rsid w:val="00A332AB"/>
    <w:rsid w:val="00A3502C"/>
    <w:rsid w:val="00A46EA8"/>
    <w:rsid w:val="00A50B23"/>
    <w:rsid w:val="00A53056"/>
    <w:rsid w:val="00A57BB2"/>
    <w:rsid w:val="00A60795"/>
    <w:rsid w:val="00A63DBB"/>
    <w:rsid w:val="00A76A32"/>
    <w:rsid w:val="00A95EEC"/>
    <w:rsid w:val="00AA7D1D"/>
    <w:rsid w:val="00AB7087"/>
    <w:rsid w:val="00AC3CD5"/>
    <w:rsid w:val="00AD30DE"/>
    <w:rsid w:val="00AF16AC"/>
    <w:rsid w:val="00AF2A95"/>
    <w:rsid w:val="00AF347C"/>
    <w:rsid w:val="00B12C02"/>
    <w:rsid w:val="00B215FB"/>
    <w:rsid w:val="00B2201F"/>
    <w:rsid w:val="00B2546D"/>
    <w:rsid w:val="00B261DC"/>
    <w:rsid w:val="00B44A91"/>
    <w:rsid w:val="00B45263"/>
    <w:rsid w:val="00B470BD"/>
    <w:rsid w:val="00B5586A"/>
    <w:rsid w:val="00B56F4D"/>
    <w:rsid w:val="00B652D2"/>
    <w:rsid w:val="00B67309"/>
    <w:rsid w:val="00B7354E"/>
    <w:rsid w:val="00B778C1"/>
    <w:rsid w:val="00B83AC8"/>
    <w:rsid w:val="00B84486"/>
    <w:rsid w:val="00B905EE"/>
    <w:rsid w:val="00B90D00"/>
    <w:rsid w:val="00B94B18"/>
    <w:rsid w:val="00BA234C"/>
    <w:rsid w:val="00BA4E92"/>
    <w:rsid w:val="00BA5AC2"/>
    <w:rsid w:val="00BA60C4"/>
    <w:rsid w:val="00BC60CE"/>
    <w:rsid w:val="00BD1DB9"/>
    <w:rsid w:val="00BF2D75"/>
    <w:rsid w:val="00C00DD8"/>
    <w:rsid w:val="00C17C56"/>
    <w:rsid w:val="00C37324"/>
    <w:rsid w:val="00C40B7C"/>
    <w:rsid w:val="00C40E80"/>
    <w:rsid w:val="00C45B0A"/>
    <w:rsid w:val="00C47556"/>
    <w:rsid w:val="00C5269B"/>
    <w:rsid w:val="00C5684A"/>
    <w:rsid w:val="00C86490"/>
    <w:rsid w:val="00C90F6C"/>
    <w:rsid w:val="00C96B37"/>
    <w:rsid w:val="00CC0660"/>
    <w:rsid w:val="00CD2BF8"/>
    <w:rsid w:val="00CD2EEB"/>
    <w:rsid w:val="00CD4B14"/>
    <w:rsid w:val="00CE385D"/>
    <w:rsid w:val="00CF00C4"/>
    <w:rsid w:val="00CF0793"/>
    <w:rsid w:val="00CF0A10"/>
    <w:rsid w:val="00CF2A84"/>
    <w:rsid w:val="00CF4C37"/>
    <w:rsid w:val="00D00172"/>
    <w:rsid w:val="00D04C48"/>
    <w:rsid w:val="00D0529A"/>
    <w:rsid w:val="00D0549A"/>
    <w:rsid w:val="00D458DB"/>
    <w:rsid w:val="00D660E6"/>
    <w:rsid w:val="00D704DF"/>
    <w:rsid w:val="00D75FEA"/>
    <w:rsid w:val="00D81147"/>
    <w:rsid w:val="00D8693A"/>
    <w:rsid w:val="00D8788B"/>
    <w:rsid w:val="00D97620"/>
    <w:rsid w:val="00DA003E"/>
    <w:rsid w:val="00DA20A1"/>
    <w:rsid w:val="00DA625C"/>
    <w:rsid w:val="00DC0729"/>
    <w:rsid w:val="00DC1498"/>
    <w:rsid w:val="00DC3185"/>
    <w:rsid w:val="00DC4666"/>
    <w:rsid w:val="00DC5D61"/>
    <w:rsid w:val="00DD1364"/>
    <w:rsid w:val="00DE13F2"/>
    <w:rsid w:val="00DE6B1A"/>
    <w:rsid w:val="00DF0820"/>
    <w:rsid w:val="00DF5D3F"/>
    <w:rsid w:val="00E00D28"/>
    <w:rsid w:val="00E07CE2"/>
    <w:rsid w:val="00E113A3"/>
    <w:rsid w:val="00E25431"/>
    <w:rsid w:val="00E25BC1"/>
    <w:rsid w:val="00E27B72"/>
    <w:rsid w:val="00E31E44"/>
    <w:rsid w:val="00E625F2"/>
    <w:rsid w:val="00E66889"/>
    <w:rsid w:val="00E72794"/>
    <w:rsid w:val="00E771B4"/>
    <w:rsid w:val="00E83207"/>
    <w:rsid w:val="00EA376F"/>
    <w:rsid w:val="00EB00D7"/>
    <w:rsid w:val="00EB4B36"/>
    <w:rsid w:val="00EB4E21"/>
    <w:rsid w:val="00EC4AD1"/>
    <w:rsid w:val="00EC67D9"/>
    <w:rsid w:val="00EC78D8"/>
    <w:rsid w:val="00ED59BE"/>
    <w:rsid w:val="00EE5F46"/>
    <w:rsid w:val="00EF3DFF"/>
    <w:rsid w:val="00F04008"/>
    <w:rsid w:val="00F13E07"/>
    <w:rsid w:val="00F17471"/>
    <w:rsid w:val="00F251B2"/>
    <w:rsid w:val="00F27466"/>
    <w:rsid w:val="00F33793"/>
    <w:rsid w:val="00F353C1"/>
    <w:rsid w:val="00F37BDD"/>
    <w:rsid w:val="00F43EB5"/>
    <w:rsid w:val="00F44E7D"/>
    <w:rsid w:val="00F54AF9"/>
    <w:rsid w:val="00F624FD"/>
    <w:rsid w:val="00F802C7"/>
    <w:rsid w:val="00F858DA"/>
    <w:rsid w:val="00FA354C"/>
    <w:rsid w:val="00FD69EC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EF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D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2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2D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7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17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1760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7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1760F"/>
    <w:rPr>
      <w:b/>
      <w:bCs/>
    </w:rPr>
  </w:style>
  <w:style w:type="table" w:styleId="a9">
    <w:name w:val="Table Grid"/>
    <w:basedOn w:val="a1"/>
    <w:uiPriority w:val="59"/>
    <w:rsid w:val="0073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A5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D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2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2D2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760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1760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1760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1760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1760F"/>
    <w:rPr>
      <w:b/>
      <w:bCs/>
    </w:rPr>
  </w:style>
  <w:style w:type="table" w:styleId="a9">
    <w:name w:val="Table Grid"/>
    <w:basedOn w:val="a1"/>
    <w:uiPriority w:val="59"/>
    <w:rsid w:val="0073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BA5A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6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4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24120;&#35268;&#25253;&#21578;\02.&#19978;&#24066;&#20844;&#21496;&#25253;&#21578;\2016\2016Q2\&#25968;&#25454;\Part1_&#20135;&#19994;&amp;&#22320;&#21306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24120;&#35268;&#25253;&#21578;\02.&#19978;&#24066;&#20844;&#21496;&#25253;&#21578;\2016\2016Q2\&#25968;&#25454;\&#22686;&#214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448601568116094E-2"/>
          <c:y val="5.8826263086824614E-2"/>
          <c:w val="0.87183906498867181"/>
          <c:h val="0.8312698801076584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战略性新兴产业上市公司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5.4535993720729606E-2"/>
                  <c:y val="-9.1737693954192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Sheet1!$A$2:$A$15</c:f>
              <c:strCache>
                <c:ptCount val="14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</c:strCache>
            </c:strRef>
          </c:cat>
          <c:val>
            <c:numRef>
              <c:f>Sheet1!$B$2:$B$15</c:f>
              <c:numCache>
                <c:formatCode>0.0%</c:formatCode>
                <c:ptCount val="14"/>
                <c:pt idx="0">
                  <c:v>0.12649519525423547</c:v>
                </c:pt>
                <c:pt idx="1">
                  <c:v>0.10466894507156455</c:v>
                </c:pt>
                <c:pt idx="2">
                  <c:v>0.11650866947359395</c:v>
                </c:pt>
                <c:pt idx="3">
                  <c:v>0.13699130960021422</c:v>
                </c:pt>
                <c:pt idx="4">
                  <c:v>0.12341629981304214</c:v>
                </c:pt>
                <c:pt idx="5">
                  <c:v>0.18742692420969864</c:v>
                </c:pt>
                <c:pt idx="6">
                  <c:v>0.18019737125855451</c:v>
                </c:pt>
                <c:pt idx="7">
                  <c:v>0.15200195753960233</c:v>
                </c:pt>
                <c:pt idx="8">
                  <c:v>0.17806956302242005</c:v>
                </c:pt>
                <c:pt idx="9">
                  <c:v>0.15696926515237797</c:v>
                </c:pt>
                <c:pt idx="10">
                  <c:v>0.16774663227452935</c:v>
                </c:pt>
                <c:pt idx="11">
                  <c:v>0.16376603386674105</c:v>
                </c:pt>
                <c:pt idx="12">
                  <c:v>0.16637298655233179</c:v>
                </c:pt>
                <c:pt idx="13">
                  <c:v>0.17199999999999999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上市公司总体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5.8145360767460672E-2"/>
                  <c:y val="9.1737693954192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numFmt formatCode="0.00%" sourceLinked="0"/>
              <c:spPr/>
              <c:txPr>
                <a:bodyPr/>
                <a:lstStyle/>
                <a:p>
                  <a:pPr>
                    <a:defRPr/>
                  </a:pPr>
                  <a:endParaRPr lang="zh-CN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138902970698565E-2"/>
                  <c:y val="-0.11255199412772193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951061031928355E-2"/>
                  <c:y val="-4.0385774098553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341853649315008E-2"/>
                  <c:y val="-5.0149939361625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342774754291273E-2"/>
                  <c:y val="-5.5052605823342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8314119353398637E-2"/>
                  <c:y val="-6.97206474051861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258650761565916E-2"/>
                  <c:y val="-5.0149939361624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Sheet1!$A$2:$A$15</c:f>
              <c:strCache>
                <c:ptCount val="14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</c:strCache>
            </c:strRef>
          </c:cat>
          <c:val>
            <c:numRef>
              <c:f>Sheet1!$C$2:$C$15</c:f>
              <c:numCache>
                <c:formatCode>0.0%</c:formatCode>
                <c:ptCount val="14"/>
                <c:pt idx="0">
                  <c:v>9.3582678398944186E-2</c:v>
                </c:pt>
                <c:pt idx="1">
                  <c:v>0.10322026510700377</c:v>
                </c:pt>
                <c:pt idx="2">
                  <c:v>0.10863270493081334</c:v>
                </c:pt>
                <c:pt idx="3">
                  <c:v>9.6720577375106975E-2</c:v>
                </c:pt>
                <c:pt idx="4">
                  <c:v>7.3420144384355623E-2</c:v>
                </c:pt>
                <c:pt idx="5">
                  <c:v>7.411345831388938E-2</c:v>
                </c:pt>
                <c:pt idx="6">
                  <c:v>7.2039857681811093E-2</c:v>
                </c:pt>
                <c:pt idx="7">
                  <c:v>6.1628957595103895E-2</c:v>
                </c:pt>
                <c:pt idx="8">
                  <c:v>3.01308714181725E-3</c:v>
                </c:pt>
                <c:pt idx="9">
                  <c:v>1.4510366830072785E-2</c:v>
                </c:pt>
                <c:pt idx="10">
                  <c:v>5.3694442616603055E-3</c:v>
                </c:pt>
                <c:pt idx="11">
                  <c:v>1.0999999999999999E-2</c:v>
                </c:pt>
                <c:pt idx="12">
                  <c:v>5.5E-2</c:v>
                </c:pt>
                <c:pt idx="13">
                  <c:v>3.4000000000000002E-2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4064768"/>
        <c:axId val="284291840"/>
      </c:lineChart>
      <c:catAx>
        <c:axId val="284064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zh-CN"/>
          </a:p>
        </c:txPr>
        <c:crossAx val="284291840"/>
        <c:crosses val="autoZero"/>
        <c:auto val="1"/>
        <c:lblAlgn val="ctr"/>
        <c:lblOffset val="100"/>
        <c:noMultiLvlLbl val="0"/>
      </c:catAx>
      <c:valAx>
        <c:axId val="284291840"/>
        <c:scaling>
          <c:orientation val="minMax"/>
          <c:max val="0.30000000000000016"/>
        </c:scaling>
        <c:delete val="0"/>
        <c:axPos val="l"/>
        <c:majorGridlines>
          <c:spPr>
            <a:ln>
              <a:noFill/>
            </a:ln>
          </c:spPr>
        </c:majorGridlines>
        <c:numFmt formatCode="0.0%" sourceLinked="1"/>
        <c:majorTickMark val="none"/>
        <c:minorTickMark val="none"/>
        <c:tickLblPos val="none"/>
        <c:spPr>
          <a:ln>
            <a:noFill/>
          </a:ln>
        </c:spPr>
        <c:crossAx val="28406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331390327772813E-2"/>
          <c:y val="3.1569273806519218E-3"/>
          <c:w val="0.79050957304308089"/>
          <c:h val="9.486541733054106E-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259965551181104E-2"/>
          <c:y val="5.0823525108141969E-2"/>
          <c:w val="0.94270833333333381"/>
          <c:h val="0.761376807764801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完成重组数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5"/>
              <c:layout>
                <c:manualLayout>
                  <c:x val="1.82291666666666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</c:v>
                </c:pt>
                <c:pt idx="1">
                  <c:v>16</c:v>
                </c:pt>
                <c:pt idx="2">
                  <c:v>31</c:v>
                </c:pt>
                <c:pt idx="3">
                  <c:v>57</c:v>
                </c:pt>
                <c:pt idx="4">
                  <c:v>26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2"/>
        <c:axId val="381999744"/>
        <c:axId val="382013824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占上市公司总体完成重组数比重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</c:strCache>
            </c:strRef>
          </c:cat>
          <c:val>
            <c:numRef>
              <c:f>Sheet1!$C$2:$C$7</c:f>
              <c:numCache>
                <c:formatCode>0.0%</c:formatCode>
                <c:ptCount val="6"/>
                <c:pt idx="0">
                  <c:v>0.42857142857142855</c:v>
                </c:pt>
                <c:pt idx="1">
                  <c:v>0.34782608695652173</c:v>
                </c:pt>
                <c:pt idx="2">
                  <c:v>0.39240506329113922</c:v>
                </c:pt>
                <c:pt idx="3">
                  <c:v>0.496</c:v>
                </c:pt>
                <c:pt idx="4">
                  <c:v>0.42599999999999999</c:v>
                </c:pt>
                <c:pt idx="5">
                  <c:v>0.40699999999999997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2016896"/>
        <c:axId val="382015360"/>
      </c:lineChart>
      <c:catAx>
        <c:axId val="381999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zh-CN"/>
          </a:p>
        </c:txPr>
        <c:crossAx val="382013824"/>
        <c:crosses val="autoZero"/>
        <c:auto val="1"/>
        <c:lblAlgn val="ctr"/>
        <c:lblOffset val="100"/>
        <c:noMultiLvlLbl val="0"/>
      </c:catAx>
      <c:valAx>
        <c:axId val="382013824"/>
        <c:scaling>
          <c:orientation val="minMax"/>
          <c:max val="60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>
            <a:noFill/>
          </a:ln>
        </c:spPr>
        <c:crossAx val="381999744"/>
        <c:crosses val="autoZero"/>
        <c:crossBetween val="between"/>
      </c:valAx>
      <c:valAx>
        <c:axId val="382015360"/>
        <c:scaling>
          <c:orientation val="minMax"/>
          <c:max val="1.2"/>
        </c:scaling>
        <c:delete val="0"/>
        <c:axPos val="r"/>
        <c:numFmt formatCode="0.0%" sourceLinked="1"/>
        <c:majorTickMark val="out"/>
        <c:minorTickMark val="none"/>
        <c:tickLblPos val="none"/>
        <c:spPr>
          <a:ln>
            <a:noFill/>
          </a:ln>
        </c:spPr>
        <c:crossAx val="382016896"/>
        <c:crosses val="max"/>
        <c:crossBetween val="between"/>
        <c:minorUnit val="0.1"/>
      </c:valAx>
      <c:catAx>
        <c:axId val="38201689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82015360"/>
        <c:crosses val="max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4.2280183727034126E-2"/>
          <c:y val="0.1065313815638817"/>
          <c:w val="0.5720624179790027"/>
          <c:h val="0.19735710841130441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943022924403495E-2"/>
          <c:y val="3.143072781138409E-2"/>
          <c:w val="0.87854498738711151"/>
          <c:h val="0.864430401135480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总资产（万亿元）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4.1100000000000003</c:v>
                </c:pt>
                <c:pt idx="1">
                  <c:v>4.2699999999999996</c:v>
                </c:pt>
                <c:pt idx="2">
                  <c:v>4.4400000000000004</c:v>
                </c:pt>
                <c:pt idx="3">
                  <c:v>4.75</c:v>
                </c:pt>
                <c:pt idx="4">
                  <c:v>4.82</c:v>
                </c:pt>
                <c:pt idx="5">
                  <c:v>5.16</c:v>
                </c:pt>
                <c:pt idx="6">
                  <c:v>5.43</c:v>
                </c:pt>
                <c:pt idx="7">
                  <c:v>5.75</c:v>
                </c:pt>
                <c:pt idx="8">
                  <c:v>5.96</c:v>
                </c:pt>
                <c:pt idx="9">
                  <c:v>6.28</c:v>
                </c:pt>
                <c:pt idx="10">
                  <c:v>6.56</c:v>
                </c:pt>
                <c:pt idx="11">
                  <c:v>7</c:v>
                </c:pt>
                <c:pt idx="12">
                  <c:v>7.3</c:v>
                </c:pt>
                <c:pt idx="13">
                  <c:v>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-27"/>
        <c:axId val="382159488"/>
        <c:axId val="382189952"/>
      </c:bar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总资产增速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</c:strCache>
            </c:strRef>
          </c:cat>
          <c:val>
            <c:numRef>
              <c:f>Sheet1!$C$2:$C$15</c:f>
              <c:numCache>
                <c:formatCode>0.00%</c:formatCode>
                <c:ptCount val="14"/>
                <c:pt idx="0">
                  <c:v>0.127</c:v>
                </c:pt>
                <c:pt idx="1">
                  <c:v>0.123</c:v>
                </c:pt>
                <c:pt idx="2">
                  <c:v>0.14099999999999999</c:v>
                </c:pt>
                <c:pt idx="3">
                  <c:v>0.14000000000000001</c:v>
                </c:pt>
                <c:pt idx="4">
                  <c:v>0.17199999999999999</c:v>
                </c:pt>
                <c:pt idx="5">
                  <c:v>0.21</c:v>
                </c:pt>
                <c:pt idx="6">
                  <c:v>0.223</c:v>
                </c:pt>
                <c:pt idx="7">
                  <c:v>0.21</c:v>
                </c:pt>
                <c:pt idx="8">
                  <c:v>0.23599999999999999</c:v>
                </c:pt>
                <c:pt idx="9">
                  <c:v>0.216</c:v>
                </c:pt>
                <c:pt idx="10">
                  <c:v>0.21</c:v>
                </c:pt>
                <c:pt idx="11">
                  <c:v>0.218</c:v>
                </c:pt>
                <c:pt idx="12">
                  <c:v>0.22500000000000001</c:v>
                </c:pt>
                <c:pt idx="13">
                  <c:v>0.22600000000000001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2193024"/>
        <c:axId val="382191488"/>
      </c:lineChart>
      <c:catAx>
        <c:axId val="38215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2189952"/>
        <c:crosses val="autoZero"/>
        <c:auto val="1"/>
        <c:lblAlgn val="ctr"/>
        <c:lblOffset val="100"/>
        <c:noMultiLvlLbl val="0"/>
      </c:catAx>
      <c:valAx>
        <c:axId val="382189952"/>
        <c:scaling>
          <c:orientation val="minMax"/>
          <c:max val="1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2159488"/>
        <c:crosses val="autoZero"/>
        <c:crossBetween val="between"/>
      </c:valAx>
      <c:valAx>
        <c:axId val="382191488"/>
        <c:scaling>
          <c:orientation val="minMax"/>
          <c:max val="0.5"/>
        </c:scaling>
        <c:delete val="0"/>
        <c:axPos val="r"/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2193024"/>
        <c:crosses val="max"/>
        <c:crossBetween val="between"/>
      </c:valAx>
      <c:catAx>
        <c:axId val="382193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21914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952372888872765"/>
          <c:y val="5.9994367656832595E-2"/>
          <c:w val="0.40552995391705071"/>
          <c:h val="0.110294889609387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0792563750320525E-2"/>
          <c:y val="0.22605855102113839"/>
          <c:w val="0.94270833333333337"/>
          <c:h val="0.623157730784854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战略性新兴产业上市公司固定资产净值增速</c:v>
                </c:pt>
              </c:strCache>
            </c:strRef>
          </c:tx>
          <c:dLbls>
            <c:dLbl>
              <c:idx val="7"/>
              <c:layout>
                <c:manualLayout>
                  <c:x val="-4.9779922754355485E-2"/>
                  <c:y val="-4.4688662805784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762355117723456E-2"/>
                  <c:y val="-4.911217933423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Sheet1!$A$2:$A$15</c:f>
              <c:strCache>
                <c:ptCount val="14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</c:strCache>
            </c:strRef>
          </c:cat>
          <c:val>
            <c:numRef>
              <c:f>Sheet1!$B$2:$B$15</c:f>
              <c:numCache>
                <c:formatCode>0.0%</c:formatCode>
                <c:ptCount val="14"/>
                <c:pt idx="0">
                  <c:v>0.18374354688925942</c:v>
                </c:pt>
                <c:pt idx="1">
                  <c:v>0.14471777527582286</c:v>
                </c:pt>
                <c:pt idx="2">
                  <c:v>0.14802328140139775</c:v>
                </c:pt>
                <c:pt idx="3">
                  <c:v>0.15413668082118681</c:v>
                </c:pt>
                <c:pt idx="4">
                  <c:v>0.17344304421766221</c:v>
                </c:pt>
                <c:pt idx="5">
                  <c:v>0.21940297939139519</c:v>
                </c:pt>
                <c:pt idx="6">
                  <c:v>0.2207068574879596</c:v>
                </c:pt>
                <c:pt idx="7">
                  <c:v>0.20791135251737702</c:v>
                </c:pt>
                <c:pt idx="8">
                  <c:v>0.24510682321072053</c:v>
                </c:pt>
                <c:pt idx="9">
                  <c:v>0.19868239250895536</c:v>
                </c:pt>
                <c:pt idx="10">
                  <c:v>0.19888055875652655</c:v>
                </c:pt>
                <c:pt idx="11">
                  <c:v>0.1790648638570338</c:v>
                </c:pt>
                <c:pt idx="12">
                  <c:v>0.16566756632345747</c:v>
                </c:pt>
                <c:pt idx="13">
                  <c:v>0.16200000000000001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上市公司固定资产净值增速</c:v>
                </c:pt>
              </c:strCache>
            </c:strRef>
          </c:tx>
          <c:dLbls>
            <c:dLbl>
              <c:idx val="7"/>
              <c:layout>
                <c:manualLayout>
                  <c:x val="-5.1936294331476417E-2"/>
                  <c:y val="-6.14757338770659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Sheet1!$A$2:$A$15</c:f>
              <c:strCache>
                <c:ptCount val="14"/>
                <c:pt idx="0">
                  <c:v>2013Q1</c:v>
                </c:pt>
                <c:pt idx="1">
                  <c:v>2013Q2</c:v>
                </c:pt>
                <c:pt idx="2">
                  <c:v>2013Q3</c:v>
                </c:pt>
                <c:pt idx="3">
                  <c:v>2013Q4</c:v>
                </c:pt>
                <c:pt idx="4">
                  <c:v>2014Q1</c:v>
                </c:pt>
                <c:pt idx="5">
                  <c:v>2014Q2</c:v>
                </c:pt>
                <c:pt idx="6">
                  <c:v>2014Q3</c:v>
                </c:pt>
                <c:pt idx="7">
                  <c:v>2014Q4</c:v>
                </c:pt>
                <c:pt idx="8">
                  <c:v>2015Q1</c:v>
                </c:pt>
                <c:pt idx="9">
                  <c:v>2015Q2</c:v>
                </c:pt>
                <c:pt idx="10">
                  <c:v>2015Q3</c:v>
                </c:pt>
                <c:pt idx="11">
                  <c:v>2015Q4</c:v>
                </c:pt>
                <c:pt idx="12">
                  <c:v>2016Q1</c:v>
                </c:pt>
                <c:pt idx="13">
                  <c:v>2016Q2</c:v>
                </c:pt>
              </c:strCache>
            </c:strRef>
          </c:cat>
          <c:val>
            <c:numRef>
              <c:f>Sheet1!$C$2:$C$15</c:f>
              <c:numCache>
                <c:formatCode>0.0%</c:formatCode>
                <c:ptCount val="14"/>
                <c:pt idx="0">
                  <c:v>0.13381998921300853</c:v>
                </c:pt>
                <c:pt idx="1">
                  <c:v>0.13169270264463306</c:v>
                </c:pt>
                <c:pt idx="2">
                  <c:v>0.12616501809836045</c:v>
                </c:pt>
                <c:pt idx="3">
                  <c:v>0.11313744516724933</c:v>
                </c:pt>
                <c:pt idx="4">
                  <c:v>0.12066464180544623</c:v>
                </c:pt>
                <c:pt idx="5">
                  <c:v>0.12180014881561974</c:v>
                </c:pt>
                <c:pt idx="6">
                  <c:v>0.10116738903327294</c:v>
                </c:pt>
                <c:pt idx="7">
                  <c:v>0.10667804569721895</c:v>
                </c:pt>
                <c:pt idx="8">
                  <c:v>0.11296242036688309</c:v>
                </c:pt>
                <c:pt idx="9">
                  <c:v>0.11270851455593967</c:v>
                </c:pt>
                <c:pt idx="10">
                  <c:v>0.14391349338555681</c:v>
                </c:pt>
                <c:pt idx="11">
                  <c:v>0.10550248216029989</c:v>
                </c:pt>
                <c:pt idx="12">
                  <c:v>0.10655474571571122</c:v>
                </c:pt>
                <c:pt idx="13">
                  <c:v>8.4000000000000005E-2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2416000"/>
        <c:axId val="382417536"/>
      </c:lineChart>
      <c:catAx>
        <c:axId val="38241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0" vert="horz"/>
          <a:lstStyle/>
          <a:p>
            <a:pPr>
              <a:defRPr sz="1050" b="1"/>
            </a:pPr>
            <a:endParaRPr lang="zh-CN"/>
          </a:p>
        </c:txPr>
        <c:crossAx val="382417536"/>
        <c:crosses val="autoZero"/>
        <c:auto val="1"/>
        <c:lblAlgn val="ctr"/>
        <c:lblOffset val="100"/>
        <c:noMultiLvlLbl val="0"/>
      </c:catAx>
      <c:valAx>
        <c:axId val="38241753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8241600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6.7435863216064054E-2"/>
          <c:y val="8.4948804093582533E-2"/>
          <c:w val="0.53557317554803263"/>
          <c:h val="0.1684656214396352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149908090756948E-2"/>
          <c:y val="3.5114360704911881E-3"/>
          <c:w val="0.95317769510742367"/>
          <c:h val="0.996488563929508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战略性新兴产业上市公司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6.501643258745933E-2"/>
                  <c:y val="3.7507705967249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382507470608261E-2"/>
                  <c:y val="2.2832488808056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082135651517172E-2"/>
                  <c:y val="-5.5450329962423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8382507470608282E-2"/>
                  <c:y val="-5.1101284475174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586004211635507E-2"/>
                  <c:y val="-5.11012844751746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532044213413346E-2"/>
                  <c:y val="-6.4148420936921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6712267304867987E-2"/>
                  <c:y val="-4.24031935006768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2593818232547875E-2"/>
                  <c:y val="1.48367952522254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Sheet1!$A$2:$A$15</c:f>
              <c:strCache>
                <c:ptCount val="13"/>
                <c:pt idx="0">
                  <c:v>2013Q1</c:v>
                </c:pt>
                <c:pt idx="2">
                  <c:v>2013Q3</c:v>
                </c:pt>
                <c:pt idx="4">
                  <c:v>2014Q1</c:v>
                </c:pt>
                <c:pt idx="6">
                  <c:v>2014Q3</c:v>
                </c:pt>
                <c:pt idx="8">
                  <c:v>2015Q1</c:v>
                </c:pt>
                <c:pt idx="10">
                  <c:v>2015Q3</c:v>
                </c:pt>
                <c:pt idx="12">
                  <c:v>2016Q1</c:v>
                </c:pt>
              </c:strCache>
            </c:strRef>
          </c:cat>
          <c:val>
            <c:numRef>
              <c:f>Sheet1!$B$2:$B$15</c:f>
              <c:numCache>
                <c:formatCode>0.0%</c:formatCode>
                <c:ptCount val="14"/>
                <c:pt idx="0">
                  <c:v>7.5593038530664458E-2</c:v>
                </c:pt>
                <c:pt idx="1">
                  <c:v>0.10217191333501341</c:v>
                </c:pt>
                <c:pt idx="2">
                  <c:v>0.18698493847253217</c:v>
                </c:pt>
                <c:pt idx="3">
                  <c:v>0.20423116242113615</c:v>
                </c:pt>
                <c:pt idx="4">
                  <c:v>0.2331993397323191</c:v>
                </c:pt>
                <c:pt idx="5">
                  <c:v>0.29100320931905888</c:v>
                </c:pt>
                <c:pt idx="6">
                  <c:v>0.27547271498371995</c:v>
                </c:pt>
                <c:pt idx="7">
                  <c:v>0.28957503426006892</c:v>
                </c:pt>
                <c:pt idx="8">
                  <c:v>0.29730282776997785</c:v>
                </c:pt>
                <c:pt idx="9">
                  <c:v>0.29245832056502352</c:v>
                </c:pt>
                <c:pt idx="10">
                  <c:v>0.24919271358817974</c:v>
                </c:pt>
                <c:pt idx="11">
                  <c:v>0.12427433037915558</c:v>
                </c:pt>
                <c:pt idx="12">
                  <c:v>0.36410503172830144</c:v>
                </c:pt>
                <c:pt idx="13">
                  <c:v>0.24299999999999999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上市公司总体</c:v>
                </c:pt>
              </c:strCache>
            </c:strRef>
          </c:tx>
          <c:marker>
            <c:symbol val="circle"/>
            <c:size val="5"/>
            <c:spPr>
              <a:solidFill>
                <a:schemeClr val="bg1"/>
              </a:solidFill>
            </c:spPr>
          </c:marker>
          <c:dLbls>
            <c:dLbl>
              <c:idx val="0"/>
              <c:layout>
                <c:manualLayout>
                  <c:x val="-4.8803972731752687E-2"/>
                  <c:y val="-3.5820382366709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2532749505014407E-2"/>
                  <c:y val="-4.7901482819044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727627997935433E-2"/>
                  <c:y val="5.59927620924868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47404906480764E-2"/>
                  <c:y val="-3.8236670946081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9049862277722086E-2"/>
                  <c:y val="4.17507957590669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altLang="en-US"/>
                      <a:t>4.7%</a:t>
                    </a:r>
                  </a:p>
                </c:rich>
              </c:tx>
              <c:numFmt formatCode="0.00%" sourceLinked="0"/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0532044213413346E-2"/>
                  <c:y val="5.3275807218799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6712267304867987E-2"/>
                  <c:y val="3.5879625269803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0986896106466296E-2"/>
                  <c:y val="-3.5380050216845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Sheet1!$A$2:$A$15</c:f>
              <c:strCache>
                <c:ptCount val="13"/>
                <c:pt idx="0">
                  <c:v>2013Q1</c:v>
                </c:pt>
                <c:pt idx="2">
                  <c:v>2013Q3</c:v>
                </c:pt>
                <c:pt idx="4">
                  <c:v>2014Q1</c:v>
                </c:pt>
                <c:pt idx="6">
                  <c:v>2014Q3</c:v>
                </c:pt>
                <c:pt idx="8">
                  <c:v>2015Q1</c:v>
                </c:pt>
                <c:pt idx="10">
                  <c:v>2015Q3</c:v>
                </c:pt>
                <c:pt idx="12">
                  <c:v>2016Q1</c:v>
                </c:pt>
              </c:strCache>
            </c:strRef>
          </c:cat>
          <c:val>
            <c:numRef>
              <c:f>Sheet1!$C$2:$C$15</c:f>
              <c:numCache>
                <c:formatCode>0.0%</c:formatCode>
                <c:ptCount val="14"/>
                <c:pt idx="0">
                  <c:v>0.12108247696207708</c:v>
                </c:pt>
                <c:pt idx="1">
                  <c:v>0.13695573487824442</c:v>
                </c:pt>
                <c:pt idx="2">
                  <c:v>0.16010484447914908</c:v>
                </c:pt>
                <c:pt idx="3">
                  <c:v>0.14320529542980553</c:v>
                </c:pt>
                <c:pt idx="4">
                  <c:v>9.2976946589340637E-2</c:v>
                </c:pt>
                <c:pt idx="5">
                  <c:v>0.1089507919351187</c:v>
                </c:pt>
                <c:pt idx="6">
                  <c:v>0.10379566004346885</c:v>
                </c:pt>
                <c:pt idx="7">
                  <c:v>6.9488144408220487E-2</c:v>
                </c:pt>
                <c:pt idx="8">
                  <c:v>5.3679066375674322E-2</c:v>
                </c:pt>
                <c:pt idx="9">
                  <c:v>0.10756909841053197</c:v>
                </c:pt>
                <c:pt idx="10">
                  <c:v>3.8746624415065378E-2</c:v>
                </c:pt>
                <c:pt idx="11">
                  <c:v>2.1999999999999999E-2</c:v>
                </c:pt>
                <c:pt idx="12">
                  <c:v>-4.0000000000000001E-3</c:v>
                </c:pt>
                <c:pt idx="13">
                  <c:v>-3.9E-2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9250560"/>
        <c:axId val="375738752"/>
      </c:lineChart>
      <c:catAx>
        <c:axId val="359250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573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5738752"/>
        <c:scaling>
          <c:orientation val="minMax"/>
          <c:max val="0.5"/>
        </c:scaling>
        <c:delete val="1"/>
        <c:axPos val="l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35925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5925010300782863E-2"/>
          <c:y val="2.5302532230264186E-3"/>
          <c:w val="0.79050957304308089"/>
          <c:h val="0.1780558579530972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11420082269667392"/>
          <c:w val="1"/>
          <c:h val="0.885799275090613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2015Q2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新能源</c:v>
                </c:pt>
                <c:pt idx="1">
                  <c:v>新一代信息技术</c:v>
                </c:pt>
                <c:pt idx="2">
                  <c:v>节能环保</c:v>
                </c:pt>
                <c:pt idx="3">
                  <c:v>生物</c:v>
                </c:pt>
                <c:pt idx="4">
                  <c:v>新材料</c:v>
                </c:pt>
                <c:pt idx="5">
                  <c:v>高端装备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6"/>
                <c:pt idx="0">
                  <c:v>0.2175502721917939</c:v>
                </c:pt>
                <c:pt idx="1">
                  <c:v>0.22728546463392707</c:v>
                </c:pt>
                <c:pt idx="2">
                  <c:v>0.222369063910973</c:v>
                </c:pt>
                <c:pt idx="3">
                  <c:v>0.12791169335116925</c:v>
                </c:pt>
                <c:pt idx="4">
                  <c:v>4.8500225176041578E-2</c:v>
                </c:pt>
                <c:pt idx="5">
                  <c:v>1.5937467940394745E-2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2015Q3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新能源</c:v>
                </c:pt>
                <c:pt idx="1">
                  <c:v>新一代信息技术</c:v>
                </c:pt>
                <c:pt idx="2">
                  <c:v>节能环保</c:v>
                </c:pt>
                <c:pt idx="3">
                  <c:v>生物</c:v>
                </c:pt>
                <c:pt idx="4">
                  <c:v>新材料</c:v>
                </c:pt>
                <c:pt idx="5">
                  <c:v>高端装备</c:v>
                </c:pt>
              </c:strCache>
            </c:strRef>
          </c:cat>
          <c:val>
            <c:numRef>
              <c:f>Sheet1!$C$2:$C$7</c:f>
              <c:numCache>
                <c:formatCode>0.0%</c:formatCode>
                <c:ptCount val="6"/>
                <c:pt idx="0">
                  <c:v>0.23780097458548299</c:v>
                </c:pt>
                <c:pt idx="1">
                  <c:v>0.24859255493956267</c:v>
                </c:pt>
                <c:pt idx="2">
                  <c:v>0.23196901216777333</c:v>
                </c:pt>
                <c:pt idx="3">
                  <c:v>0.14792753425037652</c:v>
                </c:pt>
                <c:pt idx="4">
                  <c:v>3.7099994054515806E-2</c:v>
                </c:pt>
                <c:pt idx="5">
                  <c:v>-5.6380703396717857E-3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2015Q4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新能源</c:v>
                </c:pt>
                <c:pt idx="1">
                  <c:v>新一代信息技术</c:v>
                </c:pt>
                <c:pt idx="2">
                  <c:v>节能环保</c:v>
                </c:pt>
                <c:pt idx="3">
                  <c:v>生物</c:v>
                </c:pt>
                <c:pt idx="4">
                  <c:v>新材料</c:v>
                </c:pt>
                <c:pt idx="5">
                  <c:v>高端装备</c:v>
                </c:pt>
              </c:strCache>
            </c:strRef>
          </c:cat>
          <c:val>
            <c:numRef>
              <c:f>Sheet1!$D$2:$D$7</c:f>
              <c:numCache>
                <c:formatCode>0.0%</c:formatCode>
                <c:ptCount val="6"/>
                <c:pt idx="0">
                  <c:v>0.25246604629801239</c:v>
                </c:pt>
                <c:pt idx="1">
                  <c:v>0.22543848048394199</c:v>
                </c:pt>
                <c:pt idx="2">
                  <c:v>0.23683379789415993</c:v>
                </c:pt>
                <c:pt idx="3">
                  <c:v>0.13982730305175162</c:v>
                </c:pt>
                <c:pt idx="4">
                  <c:v>3.7001762290456153E-3</c:v>
                </c:pt>
                <c:pt idx="5">
                  <c:v>4.3629854585395256E-2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2016Q1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新能源</c:v>
                </c:pt>
                <c:pt idx="1">
                  <c:v>新一代信息技术</c:v>
                </c:pt>
                <c:pt idx="2">
                  <c:v>节能环保</c:v>
                </c:pt>
                <c:pt idx="3">
                  <c:v>生物</c:v>
                </c:pt>
                <c:pt idx="4">
                  <c:v>新材料</c:v>
                </c:pt>
                <c:pt idx="5">
                  <c:v>高端装备</c:v>
                </c:pt>
              </c:strCache>
            </c:strRef>
          </c:cat>
          <c:val>
            <c:numRef>
              <c:f>Sheet1!$E$2:$E$7</c:f>
              <c:numCache>
                <c:formatCode>0.0%</c:formatCode>
                <c:ptCount val="6"/>
                <c:pt idx="0">
                  <c:v>0.32919076555274684</c:v>
                </c:pt>
                <c:pt idx="1">
                  <c:v>0.22944224062104079</c:v>
                </c:pt>
                <c:pt idx="2">
                  <c:v>0.20863941024882293</c:v>
                </c:pt>
                <c:pt idx="3">
                  <c:v>0.1207749314042541</c:v>
                </c:pt>
                <c:pt idx="4">
                  <c:v>3.0628094232148628E-2</c:v>
                </c:pt>
                <c:pt idx="5">
                  <c:v>9.9608801856274631E-3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2016Q2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6.4907873410225596E-3"/>
                  <c:y val="1.7694408259085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1635681847837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新能源</c:v>
                </c:pt>
                <c:pt idx="1">
                  <c:v>新一代信息技术</c:v>
                </c:pt>
                <c:pt idx="2">
                  <c:v>节能环保</c:v>
                </c:pt>
                <c:pt idx="3">
                  <c:v>生物</c:v>
                </c:pt>
                <c:pt idx="4">
                  <c:v>新材料</c:v>
                </c:pt>
                <c:pt idx="5">
                  <c:v>高端装备</c:v>
                </c:pt>
              </c:strCache>
            </c:strRef>
          </c:cat>
          <c:val>
            <c:numRef>
              <c:f>Sheet1!$F$2:$F$7</c:f>
              <c:numCache>
                <c:formatCode>0.0%</c:formatCode>
                <c:ptCount val="6"/>
                <c:pt idx="0">
                  <c:v>0.30050925207705226</c:v>
                </c:pt>
                <c:pt idx="1">
                  <c:v>0.22456897152288668</c:v>
                </c:pt>
                <c:pt idx="2">
                  <c:v>0.26830328519098789</c:v>
                </c:pt>
                <c:pt idx="3">
                  <c:v>0.13379300785225423</c:v>
                </c:pt>
                <c:pt idx="4">
                  <c:v>6.749679292691213E-2</c:v>
                </c:pt>
                <c:pt idx="5">
                  <c:v>1.2399451240884929E-2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1675520"/>
        <c:axId val="371677056"/>
      </c:barChart>
      <c:catAx>
        <c:axId val="371675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zh-CN"/>
          </a:p>
        </c:txPr>
        <c:crossAx val="371677056"/>
        <c:crosses val="autoZero"/>
        <c:auto val="1"/>
        <c:lblAlgn val="ctr"/>
        <c:lblOffset val="100"/>
        <c:noMultiLvlLbl val="0"/>
      </c:catAx>
      <c:valAx>
        <c:axId val="371677056"/>
        <c:scaling>
          <c:orientation val="minMax"/>
          <c:max val="0.4"/>
          <c:min val="-0.1"/>
        </c:scaling>
        <c:delete val="1"/>
        <c:axPos val="l"/>
        <c:majorGridlines>
          <c:spPr>
            <a:ln>
              <a:noFill/>
            </a:ln>
          </c:spPr>
        </c:majorGridlines>
        <c:numFmt formatCode="0.0%" sourceLinked="1"/>
        <c:majorTickMark val="out"/>
        <c:minorTickMark val="none"/>
        <c:tickLblPos val="nextTo"/>
        <c:crossAx val="371675520"/>
        <c:crosses val="autoZero"/>
        <c:crossBetween val="between"/>
        <c:majorUnit val="0.1"/>
      </c:valAx>
      <c:spPr>
        <a:noFill/>
      </c:spPr>
    </c:plotArea>
    <c:legend>
      <c:legendPos val="r"/>
      <c:layout>
        <c:manualLayout>
          <c:xMode val="edge"/>
          <c:yMode val="edge"/>
          <c:x val="0.32665651282640767"/>
          <c:y val="0.11300572946674349"/>
          <c:w val="0.67097416133596743"/>
          <c:h val="0.1079982027293435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98773047351889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2015Q2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0.21167550232295329</c:v>
                </c:pt>
                <c:pt idx="1">
                  <c:v>0.15707268650262218</c:v>
                </c:pt>
                <c:pt idx="2">
                  <c:v>0.15774572118141084</c:v>
                </c:pt>
                <c:pt idx="3">
                  <c:v>4.3429082100806982E-2</c:v>
                </c:pt>
                <c:pt idx="4">
                  <c:v>0.15696926515237797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2015Q3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0">
                  <c:v>0.30860437170685873</c:v>
                </c:pt>
                <c:pt idx="1">
                  <c:v>0.1594241327832826</c:v>
                </c:pt>
                <c:pt idx="2">
                  <c:v>0.17691015234972896</c:v>
                </c:pt>
                <c:pt idx="3">
                  <c:v>3.9998208769930432E-2</c:v>
                </c:pt>
                <c:pt idx="4">
                  <c:v>0.16774663227452957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2015Q4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Sheet1!$D$2:$D$6</c:f>
              <c:numCache>
                <c:formatCode>0.0%</c:formatCode>
                <c:ptCount val="5"/>
                <c:pt idx="0">
                  <c:v>0.15474822700276025</c:v>
                </c:pt>
                <c:pt idx="1">
                  <c:v>0.1692008128010789</c:v>
                </c:pt>
                <c:pt idx="2">
                  <c:v>0.18655964894196564</c:v>
                </c:pt>
                <c:pt idx="3">
                  <c:v>1.0349407565552138E-2</c:v>
                </c:pt>
                <c:pt idx="4">
                  <c:v>0.16376603386674082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2016Q1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Sheet1!$E$2:$E$6</c:f>
              <c:numCache>
                <c:formatCode>0.0%</c:formatCode>
                <c:ptCount val="5"/>
                <c:pt idx="0">
                  <c:v>0.1854051624046793</c:v>
                </c:pt>
                <c:pt idx="1">
                  <c:v>0.1764647369160679</c:v>
                </c:pt>
                <c:pt idx="2">
                  <c:v>0.14682221378688154</c:v>
                </c:pt>
                <c:pt idx="3">
                  <c:v>-2.8121268079057016E-2</c:v>
                </c:pt>
                <c:pt idx="4">
                  <c:v>0.16637298655233157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2016Q2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4897579143389154E-2"/>
                  <c:y val="-5.83671491485157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4487895716945085E-3"/>
                  <c:y val="3.0582390436489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4907873410225596E-3"/>
                  <c:y val="1.7694408259085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Sheet1!$F$2:$F$6</c:f>
              <c:numCache>
                <c:formatCode>0.0%</c:formatCode>
                <c:ptCount val="5"/>
                <c:pt idx="0">
                  <c:v>0.17599751352607296</c:v>
                </c:pt>
                <c:pt idx="1">
                  <c:v>0.18330867380221827</c:v>
                </c:pt>
                <c:pt idx="2">
                  <c:v>0.14526546582170496</c:v>
                </c:pt>
                <c:pt idx="3">
                  <c:v>-1.2939518605739275E-2</c:v>
                </c:pt>
                <c:pt idx="4">
                  <c:v>0.17164957837530381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6133504"/>
        <c:axId val="376135040"/>
      </c:barChart>
      <c:catAx>
        <c:axId val="376133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zh-CN"/>
          </a:p>
        </c:txPr>
        <c:crossAx val="376135040"/>
        <c:crosses val="autoZero"/>
        <c:auto val="1"/>
        <c:lblAlgn val="ctr"/>
        <c:lblOffset val="100"/>
        <c:noMultiLvlLbl val="0"/>
      </c:catAx>
      <c:valAx>
        <c:axId val="376135040"/>
        <c:scaling>
          <c:orientation val="minMax"/>
          <c:max val="0.4"/>
        </c:scaling>
        <c:delete val="0"/>
        <c:axPos val="l"/>
        <c:majorGridlines>
          <c:spPr>
            <a:ln>
              <a:noFill/>
            </a:ln>
          </c:spPr>
        </c:majorGridlines>
        <c:numFmt formatCode="0.0%" sourceLinked="1"/>
        <c:majorTickMark val="none"/>
        <c:minorTickMark val="none"/>
        <c:tickLblPos val="none"/>
        <c:spPr>
          <a:ln>
            <a:noFill/>
          </a:ln>
        </c:spPr>
        <c:crossAx val="376133504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4583928405597343"/>
          <c:y val="6.8282273539336982E-2"/>
          <c:w val="0.67097416133596743"/>
          <c:h val="0.1079982027293435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1"/>
          <c:h val="0.987730473518890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2015Q2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Sheet1!$B$2:$B$6</c:f>
              <c:numCache>
                <c:formatCode>0.0%</c:formatCode>
                <c:ptCount val="5"/>
                <c:pt idx="0">
                  <c:v>0.21167550232295329</c:v>
                </c:pt>
                <c:pt idx="1">
                  <c:v>0.15707268650262218</c:v>
                </c:pt>
                <c:pt idx="2">
                  <c:v>0.15774572118141084</c:v>
                </c:pt>
                <c:pt idx="3">
                  <c:v>4.3429082100806982E-2</c:v>
                </c:pt>
                <c:pt idx="4">
                  <c:v>0.15696926515237797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2015Q3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Sheet1!$C$2:$C$6</c:f>
              <c:numCache>
                <c:formatCode>0.0%</c:formatCode>
                <c:ptCount val="5"/>
                <c:pt idx="0">
                  <c:v>0.30860437170685873</c:v>
                </c:pt>
                <c:pt idx="1">
                  <c:v>0.1594241327832826</c:v>
                </c:pt>
                <c:pt idx="2">
                  <c:v>0.17691015234972896</c:v>
                </c:pt>
                <c:pt idx="3">
                  <c:v>3.9998208769930432E-2</c:v>
                </c:pt>
                <c:pt idx="4">
                  <c:v>0.16774663227452957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2015Q4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Sheet1!$D$2:$D$6</c:f>
              <c:numCache>
                <c:formatCode>0.0%</c:formatCode>
                <c:ptCount val="5"/>
                <c:pt idx="0">
                  <c:v>0.15474822700276025</c:v>
                </c:pt>
                <c:pt idx="1">
                  <c:v>0.1692008128010789</c:v>
                </c:pt>
                <c:pt idx="2">
                  <c:v>0.18655964894196564</c:v>
                </c:pt>
                <c:pt idx="3">
                  <c:v>1.0349407565552138E-2</c:v>
                </c:pt>
                <c:pt idx="4">
                  <c:v>0.16376603386674082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2016Q1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Sheet1!$E$2:$E$6</c:f>
              <c:numCache>
                <c:formatCode>0.0%</c:formatCode>
                <c:ptCount val="5"/>
                <c:pt idx="0">
                  <c:v>0.1854051624046793</c:v>
                </c:pt>
                <c:pt idx="1">
                  <c:v>0.1764647369160679</c:v>
                </c:pt>
                <c:pt idx="2">
                  <c:v>0.14682221378688154</c:v>
                </c:pt>
                <c:pt idx="3">
                  <c:v>-2.8121268079057016E-2</c:v>
                </c:pt>
                <c:pt idx="4">
                  <c:v>0.16637298655233157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2016Q2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4897579143389154E-2"/>
                  <c:y val="-5.836714914851572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4487895716945085E-3"/>
                  <c:y val="3.0582390436489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4907873410225596E-3"/>
                  <c:y val="1.7694408259085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4">
                  <c:v>全国</c:v>
                </c:pt>
              </c:strCache>
            </c:strRef>
          </c:cat>
          <c:val>
            <c:numRef>
              <c:f>Sheet1!$F$2:$F$6</c:f>
              <c:numCache>
                <c:formatCode>0.0%</c:formatCode>
                <c:ptCount val="5"/>
                <c:pt idx="0">
                  <c:v>0.17599751352607296</c:v>
                </c:pt>
                <c:pt idx="1">
                  <c:v>0.18330867380221827</c:v>
                </c:pt>
                <c:pt idx="2">
                  <c:v>0.14526546582170496</c:v>
                </c:pt>
                <c:pt idx="3">
                  <c:v>-1.2939518605739275E-2</c:v>
                </c:pt>
                <c:pt idx="4">
                  <c:v>0.17164957837530381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5761920"/>
        <c:axId val="375862016"/>
      </c:barChart>
      <c:catAx>
        <c:axId val="375761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zh-CN"/>
          </a:p>
        </c:txPr>
        <c:crossAx val="375862016"/>
        <c:crosses val="autoZero"/>
        <c:auto val="1"/>
        <c:lblAlgn val="ctr"/>
        <c:lblOffset val="100"/>
        <c:noMultiLvlLbl val="0"/>
      </c:catAx>
      <c:valAx>
        <c:axId val="375862016"/>
        <c:scaling>
          <c:orientation val="minMax"/>
          <c:max val="0.4"/>
        </c:scaling>
        <c:delete val="0"/>
        <c:axPos val="l"/>
        <c:majorGridlines>
          <c:spPr>
            <a:ln>
              <a:noFill/>
            </a:ln>
          </c:spPr>
        </c:majorGridlines>
        <c:numFmt formatCode="0.0%" sourceLinked="1"/>
        <c:majorTickMark val="none"/>
        <c:minorTickMark val="none"/>
        <c:tickLblPos val="none"/>
        <c:spPr>
          <a:ln>
            <a:noFill/>
          </a:ln>
        </c:spPr>
        <c:crossAx val="37576192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14583928405597343"/>
          <c:y val="6.8282273539336982E-2"/>
          <c:w val="0.67097416133596743"/>
          <c:h val="0.10799820272934356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3333333333333333E-2"/>
          <c:y val="0"/>
          <c:w val="0.93888888888888888"/>
          <c:h val="0.791962174940898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东北分省营收增速!$B$9</c:f>
              <c:strCache>
                <c:ptCount val="1"/>
                <c:pt idx="0">
                  <c:v>营收增速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1.2731334408019993E-17"/>
                  <c:y val="-6.5441819772528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19774011299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东北分省营收增速!$A$10:$A$13</c:f>
              <c:strCache>
                <c:ptCount val="4"/>
                <c:pt idx="0">
                  <c:v>东北</c:v>
                </c:pt>
                <c:pt idx="1">
                  <c:v>黑龙江省</c:v>
                </c:pt>
                <c:pt idx="2">
                  <c:v>吉林省</c:v>
                </c:pt>
                <c:pt idx="3">
                  <c:v>辽宁省</c:v>
                </c:pt>
              </c:strCache>
            </c:strRef>
          </c:cat>
          <c:val>
            <c:numRef>
              <c:f>东北分省营收增速!$B$10:$B$13</c:f>
              <c:numCache>
                <c:formatCode>0.0%</c:formatCode>
                <c:ptCount val="4"/>
                <c:pt idx="0">
                  <c:v>-1.2939518605739608E-2</c:v>
                </c:pt>
                <c:pt idx="1">
                  <c:v>-9.1704236131453176E-2</c:v>
                </c:pt>
                <c:pt idx="2">
                  <c:v>-2.1101046064778917E-2</c:v>
                </c:pt>
                <c:pt idx="3">
                  <c:v>0.12085996845468627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5895936"/>
        <c:axId val="375897472"/>
      </c:barChart>
      <c:catAx>
        <c:axId val="37589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5897472"/>
        <c:crosses val="autoZero"/>
        <c:auto val="1"/>
        <c:lblAlgn val="ctr"/>
        <c:lblOffset val="100"/>
        <c:noMultiLvlLbl val="0"/>
      </c:catAx>
      <c:valAx>
        <c:axId val="375897472"/>
        <c:scaling>
          <c:orientation val="minMax"/>
          <c:min val="-0.1"/>
        </c:scaling>
        <c:delete val="1"/>
        <c:axPos val="l"/>
        <c:numFmt formatCode="0.0%" sourceLinked="1"/>
        <c:majorTickMark val="out"/>
        <c:minorTickMark val="none"/>
        <c:tickLblPos val="nextTo"/>
        <c:crossAx val="37589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958240294590044E-2"/>
          <c:y val="0.19444444444444445"/>
          <c:w val="0.82000391742077017"/>
          <c:h val="0.69732553817038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同领域不同地区!$B$1</c:f>
              <c:strCache>
                <c:ptCount val="1"/>
                <c:pt idx="0">
                  <c:v>Q1营收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同领域不同地区!$A$2:$A$6</c:f>
              <c:strCache>
                <c:ptCount val="5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  <c:pt idx="4">
                  <c:v>生物行业</c:v>
                </c:pt>
              </c:strCache>
            </c:strRef>
          </c:cat>
          <c:val>
            <c:numRef>
              <c:f>同领域不同地区!$B$2:$B$6</c:f>
              <c:numCache>
                <c:formatCode>0.0</c:formatCode>
                <c:ptCount val="5"/>
                <c:pt idx="0">
                  <c:v>85.667569653370208</c:v>
                </c:pt>
                <c:pt idx="1">
                  <c:v>901.18050941348724</c:v>
                </c:pt>
                <c:pt idx="2">
                  <c:v>168.33044580649633</c:v>
                </c:pt>
                <c:pt idx="3">
                  <c:v>161.59042348350241</c:v>
                </c:pt>
                <c:pt idx="4">
                  <c:v>1316.7689483568561</c:v>
                </c:pt>
              </c:numCache>
            </c:numRef>
          </c:val>
        </c:ser>
        <c:ser>
          <c:idx val="1"/>
          <c:order val="1"/>
          <c:tx>
            <c:strRef>
              <c:f>同领域不同地区!$C$1</c:f>
              <c:strCache>
                <c:ptCount val="1"/>
                <c:pt idx="0">
                  <c:v>Q2营收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同领域不同地区!$A$2:$A$6</c:f>
              <c:strCache>
                <c:ptCount val="5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  <c:pt idx="4">
                  <c:v>生物行业</c:v>
                </c:pt>
              </c:strCache>
            </c:strRef>
          </c:cat>
          <c:val>
            <c:numRef>
              <c:f>同领域不同地区!$C$2:$C$6</c:f>
              <c:numCache>
                <c:formatCode>0.0</c:formatCode>
                <c:ptCount val="5"/>
                <c:pt idx="0">
                  <c:v>178.3544655811337</c:v>
                </c:pt>
                <c:pt idx="1">
                  <c:v>1836.9800832675414</c:v>
                </c:pt>
                <c:pt idx="2">
                  <c:v>384.71408926704572</c:v>
                </c:pt>
                <c:pt idx="3">
                  <c:v>334.57150034821996</c:v>
                </c:pt>
                <c:pt idx="4">
                  <c:v>2734.6201384639412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746752"/>
        <c:axId val="37674828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同领域不同地区!$D$1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同领域不同地区!$A$2:$A$6</c15:sqref>
                        </c15:formulaRef>
                      </c:ext>
                    </c:extLst>
                    <c:strCache>
                      <c:ptCount val="5"/>
                      <c:pt idx="0">
                        <c:v>东北</c:v>
                      </c:pt>
                      <c:pt idx="1">
                        <c:v>东部</c:v>
                      </c:pt>
                      <c:pt idx="2">
                        <c:v>西部</c:v>
                      </c:pt>
                      <c:pt idx="3">
                        <c:v>中部</c:v>
                      </c:pt>
                      <c:pt idx="4">
                        <c:v>生物行业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同领域不同地区!$D$2:$D$6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3"/>
          <c:order val="2"/>
          <c:tx>
            <c:strRef>
              <c:f>同领域不同地区!$E$1</c:f>
              <c:strCache>
                <c:ptCount val="1"/>
                <c:pt idx="0">
                  <c:v>Q1营收增速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777777777777805E-2"/>
                  <c:y val="1.85185185185185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2777777777777778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7222222222222221E-2"/>
                  <c:y val="2.7777777777777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777777777777882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05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同领域不同地区!$A$2:$A$6</c:f>
              <c:strCache>
                <c:ptCount val="5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  <c:pt idx="4">
                  <c:v>生物行业</c:v>
                </c:pt>
              </c:strCache>
            </c:strRef>
          </c:cat>
          <c:val>
            <c:numRef>
              <c:f>同领域不同地区!$E$2:$E$6</c:f>
              <c:numCache>
                <c:formatCode>0.0%</c:formatCode>
                <c:ptCount val="5"/>
                <c:pt idx="0">
                  <c:v>-6.888701604973646E-2</c:v>
                </c:pt>
                <c:pt idx="1">
                  <c:v>0.13814705122381965</c:v>
                </c:pt>
                <c:pt idx="2">
                  <c:v>1.187393205056031E-2</c:v>
                </c:pt>
                <c:pt idx="3">
                  <c:v>0.29421826807885032</c:v>
                </c:pt>
                <c:pt idx="4">
                  <c:v>0.12064247122881544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同领域不同地区!$F$1</c:f>
              <c:strCache>
                <c:ptCount val="1"/>
                <c:pt idx="0">
                  <c:v>Q2营收增速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2777777777777778E-2"/>
                  <c:y val="-2.77777777777776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CN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5"/>
                  <c:y val="-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5"/>
                  <c:y val="2.3148148148148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222222222222221E-2"/>
                  <c:y val="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2777777777777778E-2"/>
                  <c:y val="-4.6296296296296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同领域不同地区!$A$2:$A$6</c:f>
              <c:strCache>
                <c:ptCount val="5"/>
                <c:pt idx="0">
                  <c:v>东北</c:v>
                </c:pt>
                <c:pt idx="1">
                  <c:v>东部</c:v>
                </c:pt>
                <c:pt idx="2">
                  <c:v>西部</c:v>
                </c:pt>
                <c:pt idx="3">
                  <c:v>中部</c:v>
                </c:pt>
                <c:pt idx="4">
                  <c:v>生物行业</c:v>
                </c:pt>
              </c:strCache>
            </c:strRef>
          </c:cat>
          <c:val>
            <c:numRef>
              <c:f>同领域不同地区!$F$2:$F$6</c:f>
              <c:numCache>
                <c:formatCode>0.0%</c:formatCode>
                <c:ptCount val="5"/>
                <c:pt idx="0">
                  <c:v>-4.5537287453182751E-2</c:v>
                </c:pt>
                <c:pt idx="1">
                  <c:v>0.14382076311266134</c:v>
                </c:pt>
                <c:pt idx="2">
                  <c:v>8.0603955959908768E-2</c:v>
                </c:pt>
                <c:pt idx="3">
                  <c:v>0.2719559172155781</c:v>
                </c:pt>
                <c:pt idx="4">
                  <c:v>0.13379300785225401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7017856"/>
        <c:axId val="377016320"/>
      </c:lineChart>
      <c:catAx>
        <c:axId val="37674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6748288"/>
        <c:crosses val="autoZero"/>
        <c:auto val="1"/>
        <c:lblAlgn val="ctr"/>
        <c:lblOffset val="100"/>
        <c:noMultiLvlLbl val="0"/>
      </c:catAx>
      <c:valAx>
        <c:axId val="376748288"/>
        <c:scaling>
          <c:orientation val="minMax"/>
        </c:scaling>
        <c:delete val="0"/>
        <c:axPos val="l"/>
        <c:numFmt formatCode="#,##0_);[Red]\(#,##0\)" sourceLinked="0"/>
        <c:majorTickMark val="out"/>
        <c:minorTickMark val="none"/>
        <c:tickLblPos val="nextTo"/>
        <c:spPr>
          <a:noFill/>
          <a:ln>
            <a:solidFill>
              <a:schemeClr val="bg2">
                <a:lumMod val="9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6746752"/>
        <c:crosses val="autoZero"/>
        <c:crossBetween val="between"/>
      </c:valAx>
      <c:valAx>
        <c:axId val="377016320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77017856"/>
        <c:crosses val="max"/>
        <c:crossBetween val="between"/>
      </c:valAx>
      <c:catAx>
        <c:axId val="3770178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7016320"/>
        <c:crossesAt val="0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645747639753985"/>
          <c:y val="0.10243000874890638"/>
          <c:w val="0.73713479844870133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7.7048522780806261E-2"/>
          <c:w val="0.94270833333333381"/>
          <c:h val="0.753367036017049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IPO募资额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2.3871252015037487E-17"/>
                  <c:y val="4.3010752688171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 formatCode="0.0">
                  <c:v>102</c:v>
                </c:pt>
                <c:pt idx="1">
                  <c:v>382.1</c:v>
                </c:pt>
                <c:pt idx="2" formatCode="0.0">
                  <c:v>6.2</c:v>
                </c:pt>
                <c:pt idx="3" formatCode="0.0_ ">
                  <c:v>48.025109999999998</c:v>
                </c:pt>
                <c:pt idx="4" formatCode="0.0_ ">
                  <c:v>21.699079999999999</c:v>
                </c:pt>
                <c:pt idx="5" formatCode="0.0_ ">
                  <c:v>28.17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增发募资额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2015Q1</c:v>
                </c:pt>
                <c:pt idx="1">
                  <c:v>2015Q2</c:v>
                </c:pt>
                <c:pt idx="2">
                  <c:v>2015Q3</c:v>
                </c:pt>
                <c:pt idx="3">
                  <c:v>2015Q4</c:v>
                </c:pt>
                <c:pt idx="4">
                  <c:v>2016Q1</c:v>
                </c:pt>
                <c:pt idx="5">
                  <c:v>2016Q2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505.4</c:v>
                </c:pt>
                <c:pt idx="1">
                  <c:v>451</c:v>
                </c:pt>
                <c:pt idx="2">
                  <c:v>600.79999999999995</c:v>
                </c:pt>
                <c:pt idx="3">
                  <c:v>1544.6</c:v>
                </c:pt>
                <c:pt idx="4">
                  <c:v>1665.4</c:v>
                </c:pt>
                <c:pt idx="5">
                  <c:v>1184.6500000000001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2"/>
        <c:axId val="376499200"/>
        <c:axId val="376574720"/>
      </c:barChart>
      <c:catAx>
        <c:axId val="376499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 b="1"/>
            </a:pPr>
            <a:endParaRPr lang="zh-CN"/>
          </a:p>
        </c:txPr>
        <c:crossAx val="376574720"/>
        <c:crosses val="autoZero"/>
        <c:auto val="1"/>
        <c:lblAlgn val="ctr"/>
        <c:lblOffset val="100"/>
        <c:noMultiLvlLbl val="0"/>
      </c:catAx>
      <c:valAx>
        <c:axId val="376574720"/>
        <c:scaling>
          <c:orientation val="minMax"/>
          <c:max val="2000"/>
        </c:scaling>
        <c:delete val="1"/>
        <c:axPos val="l"/>
        <c:numFmt formatCode="0.0" sourceLinked="1"/>
        <c:majorTickMark val="out"/>
        <c:minorTickMark val="none"/>
        <c:tickLblPos val="nextTo"/>
        <c:crossAx val="37649920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6.3113517060367441E-2"/>
          <c:y val="0.18610432316650075"/>
          <c:w val="0.36372899314689061"/>
          <c:h val="9.8840314614962524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593215924345339E-2"/>
          <c:y val="0.26745003028467595"/>
          <c:w val="0.86641662158642385"/>
          <c:h val="0.5363113264688067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分领域!$C$1</c:f>
              <c:strCache>
                <c:ptCount val="1"/>
                <c:pt idx="0">
                  <c:v>增发募集总额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4.4871794871794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1047345043408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445292620865142E-3"/>
                  <c:y val="7.33949121744397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分领域!$A$2:$A$7</c:f>
              <c:strCache>
                <c:ptCount val="6"/>
                <c:pt idx="0">
                  <c:v>新一代
信息技术</c:v>
                </c:pt>
                <c:pt idx="1">
                  <c:v>生物</c:v>
                </c:pt>
                <c:pt idx="2">
                  <c:v>新能源</c:v>
                </c:pt>
                <c:pt idx="3">
                  <c:v>节能环保</c:v>
                </c:pt>
                <c:pt idx="4">
                  <c:v>新材料</c:v>
                </c:pt>
                <c:pt idx="5">
                  <c:v>高端装备制造</c:v>
                </c:pt>
              </c:strCache>
            </c:strRef>
          </c:cat>
          <c:val>
            <c:numRef>
              <c:f>分领域!$C$2:$C$7</c:f>
              <c:numCache>
                <c:formatCode>General</c:formatCode>
                <c:ptCount val="6"/>
                <c:pt idx="0">
                  <c:v>624</c:v>
                </c:pt>
                <c:pt idx="1">
                  <c:v>264</c:v>
                </c:pt>
                <c:pt idx="2">
                  <c:v>120</c:v>
                </c:pt>
                <c:pt idx="3">
                  <c:v>91.6</c:v>
                </c:pt>
                <c:pt idx="4">
                  <c:v>54</c:v>
                </c:pt>
                <c:pt idx="5">
                  <c:v>31.1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80814080"/>
        <c:axId val="380807808"/>
      </c:barChart>
      <c:lineChart>
        <c:grouping val="standard"/>
        <c:varyColors val="0"/>
        <c:ser>
          <c:idx val="0"/>
          <c:order val="0"/>
          <c:tx>
            <c:strRef>
              <c:f>分领域!$B$1</c:f>
              <c:strCache>
                <c:ptCount val="1"/>
                <c:pt idx="0">
                  <c:v>增发企业数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C00000"/>
                </a:solidFill>
              </a:ln>
              <a:effectLst/>
            </c:spPr>
          </c:marker>
          <c:cat>
            <c:strRef>
              <c:f>分领域!$A$2:$A$7</c:f>
              <c:strCache>
                <c:ptCount val="6"/>
                <c:pt idx="0">
                  <c:v>新一代
信息技术</c:v>
                </c:pt>
                <c:pt idx="1">
                  <c:v>生物</c:v>
                </c:pt>
                <c:pt idx="2">
                  <c:v>新能源</c:v>
                </c:pt>
                <c:pt idx="3">
                  <c:v>节能环保</c:v>
                </c:pt>
                <c:pt idx="4">
                  <c:v>新材料</c:v>
                </c:pt>
                <c:pt idx="5">
                  <c:v>高端装备制造</c:v>
                </c:pt>
              </c:strCache>
            </c:strRef>
          </c:cat>
          <c:val>
            <c:numRef>
              <c:f>分领域!$B$2:$B$7</c:f>
              <c:numCache>
                <c:formatCode>General</c:formatCode>
                <c:ptCount val="6"/>
                <c:pt idx="0">
                  <c:v>29</c:v>
                </c:pt>
                <c:pt idx="1">
                  <c:v>13</c:v>
                </c:pt>
                <c:pt idx="2">
                  <c:v>5</c:v>
                </c:pt>
                <c:pt idx="3">
                  <c:v>9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0817408"/>
        <c:axId val="380815616"/>
      </c:lineChart>
      <c:valAx>
        <c:axId val="3808078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0814080"/>
        <c:crosses val="autoZero"/>
        <c:crossBetween val="between"/>
      </c:valAx>
      <c:catAx>
        <c:axId val="38081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0807808"/>
        <c:crosses val="autoZero"/>
        <c:auto val="1"/>
        <c:lblAlgn val="ctr"/>
        <c:lblOffset val="100"/>
        <c:noMultiLvlLbl val="0"/>
      </c:catAx>
      <c:valAx>
        <c:axId val="3808156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380817408"/>
        <c:crosses val="max"/>
        <c:crossBetween val="between"/>
      </c:valAx>
      <c:catAx>
        <c:axId val="3808174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808156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8231131413916772"/>
          <c:y val="0.26134489002828137"/>
          <c:w val="0.44885496183206108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0.09154</cdr:x>
      <cdr:y>0.75347</cdr:y>
    </cdr:from>
    <cdr:to>
      <cdr:x>0.88529</cdr:x>
      <cdr:y>0.75347</cdr:y>
    </cdr:to>
    <cdr:cxnSp macro="">
      <cdr:nvCxnSpPr>
        <cdr:cNvPr id="3" name="直接连接符 2"/>
        <cdr:cNvCxnSpPr/>
      </cdr:nvCxnSpPr>
      <cdr:spPr>
        <a:xfrm xmlns:a="http://schemas.openxmlformats.org/drawingml/2006/main" flipH="1">
          <a:off x="467343" y="2066925"/>
          <a:ext cx="4052411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C00000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EEF81-1F64-4958-AD59-5A481AE7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ll</cp:lastModifiedBy>
  <cp:revision>13</cp:revision>
  <dcterms:created xsi:type="dcterms:W3CDTF">2016-11-30T02:52:00Z</dcterms:created>
  <dcterms:modified xsi:type="dcterms:W3CDTF">2016-12-28T06:57:00Z</dcterms:modified>
</cp:coreProperties>
</file>