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E9" w:rsidRPr="0089668F" w:rsidRDefault="002960E9" w:rsidP="0089668F">
      <w:pPr>
        <w:spacing w:line="360" w:lineRule="auto"/>
        <w:jc w:val="center"/>
        <w:rPr>
          <w:rFonts w:ascii="仿宋" w:eastAsia="仿宋" w:hAnsi="仿宋"/>
          <w:color w:val="333333"/>
          <w:sz w:val="44"/>
          <w:szCs w:val="21"/>
          <w:shd w:val="clear" w:color="auto" w:fill="FFFFFF"/>
        </w:rPr>
      </w:pPr>
    </w:p>
    <w:p w:rsidR="00BE731F" w:rsidRPr="0089668F" w:rsidRDefault="00756850" w:rsidP="0089668F">
      <w:pPr>
        <w:spacing w:line="360" w:lineRule="auto"/>
        <w:jc w:val="center"/>
        <w:rPr>
          <w:rFonts w:ascii="黑体" w:eastAsia="黑体" w:hAnsi="黑体"/>
          <w:color w:val="333333"/>
          <w:sz w:val="28"/>
          <w:szCs w:val="21"/>
          <w:shd w:val="clear" w:color="auto" w:fill="FFFFFF"/>
        </w:rPr>
      </w:pPr>
      <w:r w:rsidRPr="0089668F">
        <w:rPr>
          <w:rFonts w:ascii="黑体" w:eastAsia="黑体" w:hAnsi="黑体" w:hint="eastAsia"/>
          <w:color w:val="333333"/>
          <w:sz w:val="44"/>
          <w:szCs w:val="21"/>
          <w:shd w:val="clear" w:color="auto" w:fill="FFFFFF"/>
        </w:rPr>
        <w:t>轨道</w:t>
      </w:r>
      <w:r w:rsidRPr="0089668F">
        <w:rPr>
          <w:rFonts w:ascii="黑体" w:eastAsia="黑体" w:hAnsi="黑体"/>
          <w:color w:val="333333"/>
          <w:sz w:val="44"/>
          <w:szCs w:val="21"/>
          <w:shd w:val="clear" w:color="auto" w:fill="FFFFFF"/>
        </w:rPr>
        <w:t>装备</w:t>
      </w:r>
      <w:r w:rsidRPr="0089668F">
        <w:rPr>
          <w:rFonts w:ascii="黑体" w:eastAsia="黑体" w:hAnsi="黑体" w:hint="eastAsia"/>
          <w:color w:val="333333"/>
          <w:sz w:val="44"/>
          <w:szCs w:val="21"/>
          <w:shd w:val="clear" w:color="auto" w:fill="FFFFFF"/>
        </w:rPr>
        <w:t>市场短期存在</w:t>
      </w:r>
      <w:r w:rsidR="00FB52F9">
        <w:rPr>
          <w:rFonts w:ascii="黑体" w:eastAsia="黑体" w:hAnsi="黑体" w:hint="eastAsia"/>
          <w:color w:val="333333"/>
          <w:sz w:val="44"/>
          <w:szCs w:val="21"/>
          <w:shd w:val="clear" w:color="auto" w:fill="FFFFFF"/>
        </w:rPr>
        <w:t>较大</w:t>
      </w:r>
      <w:r w:rsidRPr="0089668F">
        <w:rPr>
          <w:rFonts w:ascii="黑体" w:eastAsia="黑体" w:hAnsi="黑体"/>
          <w:color w:val="333333"/>
          <w:sz w:val="44"/>
          <w:szCs w:val="21"/>
          <w:shd w:val="clear" w:color="auto" w:fill="FFFFFF"/>
        </w:rPr>
        <w:t>波动</w:t>
      </w:r>
      <w:r w:rsidRPr="0089668F">
        <w:rPr>
          <w:rFonts w:ascii="黑体" w:eastAsia="黑体" w:hAnsi="黑体" w:hint="eastAsia"/>
          <w:color w:val="333333"/>
          <w:sz w:val="44"/>
          <w:szCs w:val="21"/>
          <w:shd w:val="clear" w:color="auto" w:fill="FFFFFF"/>
        </w:rPr>
        <w:t>风险</w:t>
      </w:r>
    </w:p>
    <w:p w:rsidR="00AC3147" w:rsidRPr="00FB52F9" w:rsidRDefault="00AC3147" w:rsidP="001F429A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737A14" w:rsidRDefault="008D3975" w:rsidP="000249E4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</w:rPr>
      </w:pPr>
      <w:r>
        <w:rPr>
          <w:rFonts w:ascii="仿宋" w:eastAsia="仿宋" w:hAnsi="仿宋" w:hint="eastAsia"/>
          <w:color w:val="333333"/>
          <w:sz w:val="28"/>
        </w:rPr>
        <w:t>近年来</w:t>
      </w:r>
      <w:r>
        <w:rPr>
          <w:rFonts w:ascii="仿宋" w:eastAsia="仿宋" w:hAnsi="仿宋"/>
          <w:color w:val="333333"/>
          <w:sz w:val="28"/>
        </w:rPr>
        <w:t>，</w:t>
      </w:r>
      <w:r w:rsidR="00737A14">
        <w:rPr>
          <w:rFonts w:ascii="仿宋" w:eastAsia="仿宋" w:hAnsi="仿宋" w:hint="eastAsia"/>
          <w:color w:val="333333"/>
          <w:sz w:val="28"/>
        </w:rPr>
        <w:t>随着铁路建设的加速，</w:t>
      </w:r>
      <w:r>
        <w:rPr>
          <w:rFonts w:ascii="仿宋" w:eastAsia="仿宋" w:hAnsi="仿宋"/>
          <w:color w:val="333333"/>
          <w:sz w:val="28"/>
        </w:rPr>
        <w:t>我国</w:t>
      </w:r>
      <w:r>
        <w:rPr>
          <w:rFonts w:ascii="仿宋" w:eastAsia="仿宋" w:hAnsi="仿宋" w:hint="eastAsia"/>
          <w:color w:val="333333"/>
          <w:sz w:val="28"/>
        </w:rPr>
        <w:t>轨道</w:t>
      </w:r>
      <w:r>
        <w:rPr>
          <w:rFonts w:ascii="仿宋" w:eastAsia="仿宋" w:hAnsi="仿宋"/>
          <w:color w:val="333333"/>
          <w:sz w:val="28"/>
        </w:rPr>
        <w:t>交通</w:t>
      </w:r>
      <w:r w:rsidR="00737A14">
        <w:rPr>
          <w:rFonts w:ascii="仿宋" w:eastAsia="仿宋" w:hAnsi="仿宋" w:hint="eastAsia"/>
          <w:color w:val="333333"/>
          <w:sz w:val="28"/>
        </w:rPr>
        <w:t>装备</w:t>
      </w:r>
      <w:r>
        <w:rPr>
          <w:rFonts w:ascii="仿宋" w:eastAsia="仿宋" w:hAnsi="仿宋"/>
          <w:color w:val="333333"/>
          <w:sz w:val="28"/>
        </w:rPr>
        <w:t>市场</w:t>
      </w:r>
      <w:r>
        <w:rPr>
          <w:rFonts w:ascii="仿宋" w:eastAsia="仿宋" w:hAnsi="仿宋" w:hint="eastAsia"/>
          <w:color w:val="333333"/>
          <w:sz w:val="28"/>
        </w:rPr>
        <w:t>迎来</w:t>
      </w:r>
      <w:r>
        <w:rPr>
          <w:rFonts w:ascii="仿宋" w:eastAsia="仿宋" w:hAnsi="仿宋"/>
          <w:color w:val="333333"/>
          <w:sz w:val="28"/>
        </w:rPr>
        <w:t>了大发展，自</w:t>
      </w:r>
      <w:r w:rsidR="002B25C7">
        <w:rPr>
          <w:rFonts w:ascii="仿宋" w:eastAsia="仿宋" w:hAnsi="仿宋" w:hint="eastAsia"/>
          <w:color w:val="333333"/>
          <w:sz w:val="28"/>
        </w:rPr>
        <w:t>2005</w:t>
      </w:r>
      <w:r w:rsidR="00A13535">
        <w:rPr>
          <w:rFonts w:ascii="仿宋" w:eastAsia="仿宋" w:hAnsi="仿宋" w:hint="eastAsia"/>
          <w:color w:val="333333"/>
          <w:sz w:val="28"/>
        </w:rPr>
        <w:t>年</w:t>
      </w:r>
      <w:r w:rsidR="00A13535">
        <w:rPr>
          <w:rFonts w:ascii="仿宋" w:eastAsia="仿宋" w:hAnsi="仿宋"/>
          <w:color w:val="333333"/>
          <w:sz w:val="28"/>
        </w:rPr>
        <w:t>以来，</w:t>
      </w:r>
      <w:r w:rsidR="002B25C7">
        <w:rPr>
          <w:rFonts w:ascii="仿宋" w:eastAsia="仿宋" w:hAnsi="仿宋" w:hint="eastAsia"/>
          <w:color w:val="333333"/>
          <w:sz w:val="28"/>
        </w:rPr>
        <w:t>除</w:t>
      </w:r>
      <w:r w:rsidR="002B25C7">
        <w:rPr>
          <w:rFonts w:ascii="仿宋" w:eastAsia="仿宋" w:hAnsi="仿宋"/>
          <w:color w:val="333333"/>
          <w:sz w:val="28"/>
        </w:rPr>
        <w:t>个别</w:t>
      </w:r>
      <w:r w:rsidR="002B25C7">
        <w:rPr>
          <w:rFonts w:ascii="仿宋" w:eastAsia="仿宋" w:hAnsi="仿宋" w:hint="eastAsia"/>
          <w:color w:val="333333"/>
          <w:sz w:val="28"/>
        </w:rPr>
        <w:t>年份之外</w:t>
      </w:r>
      <w:r w:rsidR="00A13535">
        <w:rPr>
          <w:rFonts w:ascii="仿宋" w:eastAsia="仿宋" w:hAnsi="仿宋" w:hint="eastAsia"/>
          <w:color w:val="333333"/>
          <w:sz w:val="28"/>
        </w:rPr>
        <w:t>我国</w:t>
      </w:r>
      <w:r w:rsidR="00A13535">
        <w:rPr>
          <w:rFonts w:ascii="仿宋" w:eastAsia="仿宋" w:hAnsi="仿宋"/>
          <w:color w:val="333333"/>
          <w:sz w:val="28"/>
        </w:rPr>
        <w:t>铁路运输装备制造产业</w:t>
      </w:r>
      <w:r w:rsidR="002B25C7">
        <w:rPr>
          <w:rFonts w:ascii="仿宋" w:eastAsia="仿宋" w:hAnsi="仿宋" w:hint="eastAsia"/>
          <w:color w:val="333333"/>
          <w:sz w:val="28"/>
        </w:rPr>
        <w:t>营业收入</w:t>
      </w:r>
      <w:r w:rsidR="002B25C7">
        <w:rPr>
          <w:rFonts w:ascii="仿宋" w:eastAsia="仿宋" w:hAnsi="仿宋"/>
          <w:color w:val="333333"/>
          <w:sz w:val="28"/>
        </w:rPr>
        <w:t>增速</w:t>
      </w:r>
      <w:r w:rsidR="002B25C7">
        <w:rPr>
          <w:rFonts w:ascii="仿宋" w:eastAsia="仿宋" w:hAnsi="仿宋" w:hint="eastAsia"/>
          <w:color w:val="333333"/>
          <w:sz w:val="28"/>
        </w:rPr>
        <w:t>基本</w:t>
      </w:r>
      <w:r w:rsidR="002B25C7">
        <w:rPr>
          <w:rFonts w:ascii="仿宋" w:eastAsia="仿宋" w:hAnsi="仿宋"/>
          <w:color w:val="333333"/>
          <w:sz w:val="28"/>
        </w:rPr>
        <w:t>保持在</w:t>
      </w:r>
      <w:r w:rsidR="002B25C7">
        <w:rPr>
          <w:rFonts w:ascii="仿宋" w:eastAsia="仿宋" w:hAnsi="仿宋" w:hint="eastAsia"/>
          <w:color w:val="333333"/>
          <w:sz w:val="28"/>
        </w:rPr>
        <w:t>20</w:t>
      </w:r>
      <w:r w:rsidR="002B25C7">
        <w:rPr>
          <w:rFonts w:ascii="仿宋" w:eastAsia="仿宋" w:hAnsi="仿宋"/>
          <w:color w:val="333333"/>
          <w:sz w:val="28"/>
        </w:rPr>
        <w:t>%以上</w:t>
      </w:r>
      <w:r w:rsidR="00A13535">
        <w:rPr>
          <w:rFonts w:ascii="仿宋" w:eastAsia="仿宋" w:hAnsi="仿宋" w:hint="eastAsia"/>
          <w:color w:val="333333"/>
          <w:sz w:val="28"/>
        </w:rPr>
        <w:t>。</w:t>
      </w:r>
      <w:r w:rsidR="002B25C7">
        <w:rPr>
          <w:rFonts w:ascii="仿宋" w:eastAsia="仿宋" w:hAnsi="仿宋" w:hint="eastAsia"/>
          <w:color w:val="333333"/>
          <w:sz w:val="28"/>
        </w:rPr>
        <w:t>但受到</w:t>
      </w:r>
      <w:r w:rsidR="002B25C7">
        <w:rPr>
          <w:rFonts w:ascii="仿宋" w:eastAsia="仿宋" w:hAnsi="仿宋"/>
          <w:color w:val="333333"/>
          <w:sz w:val="28"/>
        </w:rPr>
        <w:t>多种因素影响，</w:t>
      </w:r>
      <w:r w:rsidR="000249E4">
        <w:rPr>
          <w:rFonts w:ascii="仿宋" w:eastAsia="仿宋" w:hAnsi="仿宋" w:hint="eastAsia"/>
          <w:color w:val="333333"/>
          <w:sz w:val="28"/>
        </w:rPr>
        <w:t>产业</w:t>
      </w:r>
      <w:r w:rsidR="000249E4">
        <w:rPr>
          <w:rFonts w:ascii="仿宋" w:eastAsia="仿宋" w:hAnsi="仿宋"/>
          <w:color w:val="333333"/>
          <w:sz w:val="28"/>
        </w:rPr>
        <w:t>高速</w:t>
      </w:r>
      <w:r w:rsidR="002B25C7">
        <w:rPr>
          <w:rFonts w:ascii="仿宋" w:eastAsia="仿宋" w:hAnsi="仿宋"/>
          <w:color w:val="333333"/>
          <w:sz w:val="28"/>
        </w:rPr>
        <w:t>增长势头</w:t>
      </w:r>
      <w:r w:rsidR="00737A14">
        <w:rPr>
          <w:rFonts w:ascii="仿宋" w:eastAsia="仿宋" w:hAnsi="仿宋" w:hint="eastAsia"/>
          <w:color w:val="333333"/>
          <w:sz w:val="28"/>
        </w:rPr>
        <w:t>在今年上半年大幅回落</w:t>
      </w:r>
      <w:r w:rsidR="00737A14">
        <w:rPr>
          <w:rFonts w:ascii="仿宋" w:eastAsia="仿宋" w:hAnsi="仿宋"/>
          <w:color w:val="333333"/>
          <w:sz w:val="28"/>
        </w:rPr>
        <w:t>(</w:t>
      </w:r>
      <w:r w:rsidR="00737A14">
        <w:rPr>
          <w:rFonts w:ascii="仿宋" w:eastAsia="仿宋" w:hAnsi="仿宋" w:hint="eastAsia"/>
          <w:color w:val="333333"/>
          <w:sz w:val="28"/>
        </w:rPr>
        <w:t>见图1)，从9月</w:t>
      </w:r>
      <w:r w:rsidR="00737A14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到明年存在较大波动风险，需引起重视。调研显示，国内轨道装备的</w:t>
      </w:r>
      <w:r w:rsidR="00480CA8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某</w:t>
      </w:r>
      <w:r w:rsidR="00737A14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重要企业</w:t>
      </w:r>
      <w:r w:rsidR="00480CA8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集团</w:t>
      </w:r>
      <w:r w:rsidR="00737A14" w:rsidRPr="0089668F">
        <w:rPr>
          <w:rFonts w:ascii="仿宋" w:eastAsia="仿宋" w:hAnsi="仿宋" w:hint="eastAsia"/>
          <w:color w:val="333333"/>
          <w:sz w:val="28"/>
        </w:rPr>
        <w:t>表示</w:t>
      </w:r>
      <w:r w:rsidR="00737A14">
        <w:rPr>
          <w:rFonts w:ascii="仿宋" w:eastAsia="仿宋" w:hAnsi="仿宋" w:hint="eastAsia"/>
          <w:color w:val="333333"/>
          <w:sz w:val="28"/>
        </w:rPr>
        <w:t>今年9月</w:t>
      </w:r>
      <w:r w:rsidR="00737A14">
        <w:rPr>
          <w:rFonts w:ascii="仿宋" w:eastAsia="仿宋" w:hAnsi="仿宋"/>
          <w:color w:val="333333"/>
          <w:sz w:val="28"/>
        </w:rPr>
        <w:t>之后</w:t>
      </w:r>
      <w:r w:rsidR="00737A14">
        <w:rPr>
          <w:rFonts w:ascii="仿宋" w:eastAsia="仿宋" w:hAnsi="仿宋" w:hint="eastAsia"/>
          <w:color w:val="333333"/>
          <w:sz w:val="28"/>
        </w:rPr>
        <w:t>一半以上的产能已无单</w:t>
      </w:r>
      <w:r w:rsidR="00737A14">
        <w:rPr>
          <w:rFonts w:ascii="仿宋" w:eastAsia="仿宋" w:hAnsi="仿宋"/>
          <w:color w:val="333333"/>
          <w:sz w:val="28"/>
        </w:rPr>
        <w:t>可</w:t>
      </w:r>
      <w:r w:rsidR="00737A14">
        <w:rPr>
          <w:rFonts w:ascii="仿宋" w:eastAsia="仿宋" w:hAnsi="仿宋" w:hint="eastAsia"/>
          <w:color w:val="333333"/>
          <w:sz w:val="28"/>
        </w:rPr>
        <w:t>产</w:t>
      </w:r>
      <w:r w:rsidR="00737A14">
        <w:rPr>
          <w:rFonts w:ascii="仿宋" w:eastAsia="仿宋" w:hAnsi="仿宋"/>
          <w:color w:val="333333"/>
          <w:sz w:val="28"/>
        </w:rPr>
        <w:t>，</w:t>
      </w:r>
      <w:r w:rsidR="00737A14">
        <w:rPr>
          <w:rFonts w:ascii="仿宋" w:eastAsia="仿宋" w:hAnsi="仿宋" w:hint="eastAsia"/>
          <w:color w:val="333333"/>
          <w:sz w:val="28"/>
        </w:rPr>
        <w:t>预计</w:t>
      </w:r>
      <w:r w:rsidR="00737A14">
        <w:rPr>
          <w:rFonts w:ascii="仿宋" w:eastAsia="仿宋" w:hAnsi="仿宋"/>
          <w:color w:val="333333"/>
          <w:sz w:val="28"/>
        </w:rPr>
        <w:t>明年还将持续订单不足，</w:t>
      </w:r>
      <w:r w:rsidR="00737A14">
        <w:rPr>
          <w:rFonts w:ascii="仿宋" w:eastAsia="仿宋" w:hAnsi="仿宋" w:hint="eastAsia"/>
          <w:color w:val="333333"/>
          <w:sz w:val="28"/>
        </w:rPr>
        <w:t>2017年</w:t>
      </w:r>
      <w:proofErr w:type="gramStart"/>
      <w:r w:rsidR="00737A14">
        <w:rPr>
          <w:rFonts w:ascii="仿宋" w:eastAsia="仿宋" w:hAnsi="仿宋" w:hint="eastAsia"/>
          <w:color w:val="333333"/>
          <w:sz w:val="28"/>
        </w:rPr>
        <w:t>营收很可能</w:t>
      </w:r>
      <w:proofErr w:type="gramEnd"/>
      <w:r w:rsidR="00737A14">
        <w:rPr>
          <w:rFonts w:ascii="仿宋" w:eastAsia="仿宋" w:hAnsi="仿宋" w:hint="eastAsia"/>
          <w:color w:val="333333"/>
          <w:sz w:val="28"/>
        </w:rPr>
        <w:t>相较于2016年</w:t>
      </w:r>
      <w:r w:rsidR="00737A14">
        <w:rPr>
          <w:rFonts w:ascii="仿宋" w:eastAsia="仿宋" w:hAnsi="仿宋"/>
          <w:color w:val="333333"/>
          <w:sz w:val="28"/>
        </w:rPr>
        <w:t>下降一半</w:t>
      </w:r>
      <w:r w:rsidR="00737A14" w:rsidRPr="0089668F">
        <w:rPr>
          <w:rFonts w:ascii="仿宋" w:eastAsia="仿宋" w:hAnsi="仿宋" w:hint="eastAsia"/>
          <w:color w:val="333333"/>
          <w:sz w:val="28"/>
        </w:rPr>
        <w:t>。</w:t>
      </w:r>
    </w:p>
    <w:p w:rsidR="00AD03FD" w:rsidRDefault="00AD03FD" w:rsidP="000249E4">
      <w:pPr>
        <w:spacing w:line="360" w:lineRule="auto"/>
        <w:ind w:firstLineChars="200" w:firstLine="420"/>
        <w:rPr>
          <w:rFonts w:ascii="仿宋" w:eastAsia="仿宋" w:hAnsi="仿宋"/>
          <w:color w:val="333333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351FBF" wp14:editId="560F944A">
            <wp:simplePos x="0" y="0"/>
            <wp:positionH relativeFrom="column">
              <wp:posOffset>590550</wp:posOffset>
            </wp:positionH>
            <wp:positionV relativeFrom="paragraph">
              <wp:posOffset>7621</wp:posOffset>
            </wp:positionV>
            <wp:extent cx="4133850" cy="2247900"/>
            <wp:effectExtent l="0" t="0" r="0" b="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3FD" w:rsidRDefault="00AD03FD" w:rsidP="000249E4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</w:rPr>
      </w:pPr>
    </w:p>
    <w:p w:rsidR="00AD03FD" w:rsidRDefault="00AD03FD" w:rsidP="000249E4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</w:rPr>
      </w:pPr>
    </w:p>
    <w:p w:rsidR="00AD03FD" w:rsidRDefault="00AD03FD" w:rsidP="000249E4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</w:rPr>
      </w:pPr>
    </w:p>
    <w:p w:rsidR="00AD03FD" w:rsidRDefault="00AD03FD" w:rsidP="000249E4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</w:rPr>
      </w:pPr>
    </w:p>
    <w:p w:rsidR="00AD03FD" w:rsidRDefault="00AD03FD" w:rsidP="000249E4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</w:rPr>
      </w:pPr>
    </w:p>
    <w:p w:rsidR="00AD03FD" w:rsidRPr="00FC2CDE" w:rsidRDefault="00AD03FD" w:rsidP="00AD03FD">
      <w:pPr>
        <w:spacing w:line="360" w:lineRule="auto"/>
        <w:jc w:val="left"/>
        <w:rPr>
          <w:rFonts w:ascii="仿宋" w:eastAsia="仿宋" w:hAnsi="仿宋"/>
          <w:color w:val="333333"/>
          <w:sz w:val="22"/>
          <w:szCs w:val="21"/>
          <w:shd w:val="clear" w:color="auto" w:fill="FFFFFF"/>
        </w:rPr>
      </w:pPr>
      <w:r w:rsidRPr="00FC2CDE"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来源：wind</w:t>
      </w:r>
      <w:r w:rsidRPr="00FC2CDE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       </w:t>
      </w:r>
      <w:r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   </w:t>
      </w:r>
      <w:r w:rsidRPr="00FC2CDE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 </w:t>
      </w:r>
      <w:r w:rsidRPr="00FC2CDE"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图</w:t>
      </w:r>
      <w:r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1</w:t>
      </w:r>
      <w:r w:rsidRPr="00FC2CDE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   </w:t>
      </w:r>
      <w:r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近几年</w:t>
      </w:r>
      <w:r w:rsidRPr="00FC2CDE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>铁路</w:t>
      </w:r>
      <w:r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运输</w:t>
      </w:r>
      <w:r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>设备制造</w:t>
      </w:r>
      <w:r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营收</w:t>
      </w:r>
      <w:r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>增速</w:t>
      </w:r>
    </w:p>
    <w:p w:rsidR="00AD03FD" w:rsidRPr="00AD03FD" w:rsidRDefault="00AD03FD" w:rsidP="000249E4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</w:rPr>
      </w:pPr>
    </w:p>
    <w:p w:rsidR="0097265D" w:rsidRPr="005C3485" w:rsidRDefault="00100C02" w:rsidP="000249E4">
      <w:pPr>
        <w:spacing w:line="360" w:lineRule="auto"/>
        <w:ind w:firstLineChars="200" w:firstLine="560"/>
        <w:rPr>
          <w:rFonts w:ascii="仿宋" w:eastAsia="仿宋" w:hAnsi="仿宋"/>
          <w:color w:val="333333"/>
          <w:sz w:val="28"/>
        </w:rPr>
      </w:pPr>
      <w:r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主要</w:t>
      </w:r>
      <w:r w:rsidR="005F2F42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有以下</w:t>
      </w:r>
      <w:r w:rsidR="005F2F42" w:rsidRPr="0089668F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影响因素</w:t>
      </w:r>
      <w:r w:rsidRPr="0089668F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。</w:t>
      </w:r>
      <w:r w:rsidR="005C3485" w:rsidRPr="005C3485">
        <w:rPr>
          <w:rFonts w:ascii="仿宋" w:eastAsia="仿宋" w:hAnsi="仿宋" w:hint="eastAsia"/>
          <w:b/>
          <w:color w:val="333333"/>
          <w:sz w:val="28"/>
          <w:szCs w:val="21"/>
          <w:shd w:val="clear" w:color="auto" w:fill="FFFFFF"/>
        </w:rPr>
        <w:t>第</w:t>
      </w:r>
      <w:r w:rsidR="005C3485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一</w:t>
      </w:r>
      <w:r w:rsid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，</w:t>
      </w:r>
      <w:r w:rsidR="005F2F4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从</w:t>
      </w:r>
      <w:r w:rsidR="005F2F42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总体来看，</w:t>
      </w:r>
      <w:r w:rsidR="00DC21AD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今明两年</w:t>
      </w:r>
      <w:r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铁路</w:t>
      </w:r>
      <w:r w:rsidR="00424CE1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新线</w:t>
      </w:r>
      <w:r w:rsidR="00424CE1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投产里程</w:t>
      </w:r>
      <w:r w:rsidR="00CF30B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数</w:t>
      </w:r>
      <w:r w:rsidR="00CF30B2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将</w:t>
      </w:r>
      <w:r w:rsidR="005F2F4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出现</w:t>
      </w:r>
      <w:r w:rsidR="005F2F42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回落</w:t>
      </w:r>
      <w:r w:rsidR="00CF30B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，</w:t>
      </w:r>
      <w:r w:rsidR="005F2F4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从而</w:t>
      </w:r>
      <w:r w:rsidR="00CF30B2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抑制车辆需求</w:t>
      </w:r>
      <w:r w:rsidR="009D02A3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。</w:t>
      </w:r>
      <w:r w:rsidR="00DC21AD" w:rsidRPr="005C3485">
        <w:rPr>
          <w:rFonts w:ascii="仿宋" w:eastAsia="仿宋" w:hAnsi="仿宋" w:hint="eastAsia"/>
          <w:color w:val="333333"/>
          <w:sz w:val="28"/>
        </w:rPr>
        <w:t>铁路投资一般是基建在前，车辆购置在后，逐渐达到动态均衡。</w:t>
      </w:r>
      <w:r w:rsidR="00CF30B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铁路</w:t>
      </w:r>
      <w:r w:rsidR="00CF30B2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项目建设周期约3-5</w:t>
      </w:r>
      <w:r w:rsidR="00CF30B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年</w:t>
      </w:r>
      <w:r w:rsidR="00CF30B2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左右</w:t>
      </w:r>
      <w:r w:rsidR="00CF30B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，周期</w:t>
      </w:r>
      <w:r w:rsidR="00CF30B2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最后一</w:t>
      </w:r>
      <w:r w:rsidR="00CF30B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至</w:t>
      </w:r>
      <w:r w:rsidR="00CF30B2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两年集中购置车辆</w:t>
      </w:r>
      <w:r w:rsidR="00CF30B2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。</w:t>
      </w:r>
      <w:r w:rsidR="009D02A3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由于</w:t>
      </w:r>
      <w:r w:rsidR="00424CE1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2011</w:t>
      </w:r>
      <w:r w:rsidR="00424CE1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-2012</w:t>
      </w:r>
      <w:r w:rsidR="00424CE1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年铁路固定</w:t>
      </w:r>
      <w:r w:rsidR="00424CE1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资产投</w:t>
      </w:r>
      <w:r w:rsidR="00424CE1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lastRenderedPageBreak/>
        <w:t>资</w:t>
      </w:r>
      <w:r w:rsidR="00424CE1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出现</w:t>
      </w:r>
      <w:r w:rsidR="00424CE1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较大幅度下滑</w:t>
      </w:r>
      <w:r w:rsidR="00424CE1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（</w:t>
      </w:r>
      <w:r w:rsidR="00424CE1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见图</w:t>
      </w:r>
      <w:r w:rsidR="00AD03FD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2</w:t>
      </w:r>
      <w:r w:rsidR="00424CE1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）</w:t>
      </w:r>
      <w:r w:rsidR="00424CE1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，</w:t>
      </w:r>
      <w:r w:rsidR="00237B30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因此</w:t>
      </w:r>
      <w:r w:rsidR="00424CE1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2016年</w:t>
      </w:r>
      <w:r w:rsidR="00882156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以及2017年</w:t>
      </w:r>
      <w:r w:rsidR="00424CE1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新开通</w:t>
      </w:r>
      <w:r w:rsidR="00424CE1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里程</w:t>
      </w:r>
      <w:r w:rsidR="009D02A3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将减少</w:t>
      </w:r>
      <w:r w:rsidR="0097265D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(见</w:t>
      </w:r>
      <w:r w:rsidR="0097265D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图</w:t>
      </w:r>
      <w:r w:rsidR="00AD03FD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3</w:t>
      </w:r>
      <w:r w:rsidR="0097265D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)</w:t>
      </w:r>
      <w:r w:rsidR="00424CE1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，</w:t>
      </w:r>
      <w:r w:rsidR="00FB73FD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铁总表示</w:t>
      </w:r>
      <w:r w:rsidR="00BA3BF6" w:rsidRPr="005C3485">
        <w:rPr>
          <w:rFonts w:ascii="仿宋" w:eastAsia="仿宋" w:hAnsi="仿宋" w:hint="eastAsia"/>
          <w:color w:val="333333"/>
          <w:sz w:val="28"/>
        </w:rPr>
        <w:t>2016年铁路新线</w:t>
      </w:r>
      <w:r w:rsidR="00FB73FD" w:rsidRPr="005C3485">
        <w:rPr>
          <w:rFonts w:ascii="仿宋" w:eastAsia="仿宋" w:hAnsi="仿宋" w:hint="eastAsia"/>
          <w:color w:val="333333"/>
          <w:sz w:val="28"/>
        </w:rPr>
        <w:t>计划投产</w:t>
      </w:r>
      <w:r w:rsidR="00BA3BF6" w:rsidRPr="005C3485">
        <w:rPr>
          <w:rFonts w:ascii="仿宋" w:eastAsia="仿宋" w:hAnsi="仿宋" w:hint="eastAsia"/>
          <w:color w:val="333333"/>
          <w:sz w:val="28"/>
        </w:rPr>
        <w:t>3200余公里，是自2011年以来铁路投产里程最少的一年，较2015年下降66.43%。</w:t>
      </w:r>
      <w:r w:rsidR="001F429A" w:rsidRPr="005C3485">
        <w:rPr>
          <w:rFonts w:ascii="仿宋" w:eastAsia="仿宋" w:hAnsi="仿宋" w:hint="eastAsia"/>
          <w:color w:val="333333"/>
          <w:sz w:val="28"/>
        </w:rPr>
        <w:t>新线投产里程</w:t>
      </w:r>
      <w:r w:rsidR="001F429A" w:rsidRPr="005C3485">
        <w:rPr>
          <w:rFonts w:ascii="仿宋" w:eastAsia="仿宋" w:hAnsi="仿宋"/>
          <w:color w:val="333333"/>
          <w:sz w:val="28"/>
        </w:rPr>
        <w:t>数锐减</w:t>
      </w:r>
      <w:r w:rsidR="00FB73FD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对普客</w:t>
      </w:r>
      <w:r w:rsidR="00FB73FD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、</w:t>
      </w:r>
      <w:r w:rsidR="00FB73FD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货车</w:t>
      </w:r>
      <w:r w:rsidR="00FB73FD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、动车组</w:t>
      </w:r>
      <w:r w:rsidR="00FB73FD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等</w:t>
      </w:r>
      <w:r w:rsidR="00FB73FD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铁路</w:t>
      </w:r>
      <w:r w:rsidR="00FB73FD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车辆新增</w:t>
      </w:r>
      <w:r w:rsidR="00FB73FD" w:rsidRPr="005C3485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需求产生负面影响。</w:t>
      </w:r>
      <w:r w:rsidR="001F429A" w:rsidRPr="005C3485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如</w:t>
      </w:r>
      <w:r w:rsidR="00FB73FD" w:rsidRPr="005C3485">
        <w:rPr>
          <w:rFonts w:ascii="仿宋" w:eastAsia="仿宋" w:hAnsi="仿宋" w:hint="eastAsia"/>
          <w:color w:val="333333"/>
          <w:sz w:val="28"/>
        </w:rPr>
        <w:t>铁总</w:t>
      </w:r>
      <w:r w:rsidR="001F429A" w:rsidRPr="005C3485">
        <w:rPr>
          <w:rFonts w:ascii="仿宋" w:eastAsia="仿宋" w:hAnsi="仿宋" w:hint="eastAsia"/>
          <w:color w:val="333333"/>
          <w:sz w:val="28"/>
        </w:rPr>
        <w:t>已</w:t>
      </w:r>
      <w:r w:rsidR="00FB73FD" w:rsidRPr="005C3485">
        <w:rPr>
          <w:rFonts w:ascii="仿宋" w:eastAsia="仿宋" w:hAnsi="仿宋"/>
          <w:color w:val="333333"/>
          <w:sz w:val="28"/>
        </w:rPr>
        <w:t>表示</w:t>
      </w:r>
      <w:r w:rsidR="00FB73FD" w:rsidRPr="005C3485">
        <w:rPr>
          <w:rFonts w:ascii="仿宋" w:eastAsia="仿宋" w:hAnsi="仿宋" w:hint="eastAsia"/>
          <w:color w:val="333333"/>
          <w:sz w:val="28"/>
        </w:rPr>
        <w:t>2016年车辆</w:t>
      </w:r>
      <w:r w:rsidR="00FB73FD" w:rsidRPr="005C3485">
        <w:rPr>
          <w:rFonts w:ascii="仿宋" w:eastAsia="仿宋" w:hAnsi="仿宋"/>
          <w:color w:val="333333"/>
          <w:sz w:val="28"/>
        </w:rPr>
        <w:t>购置</w:t>
      </w:r>
      <w:r w:rsidR="00E84965" w:rsidRPr="005C3485">
        <w:rPr>
          <w:rFonts w:ascii="仿宋" w:eastAsia="仿宋" w:hAnsi="仿宋" w:hint="eastAsia"/>
          <w:color w:val="333333"/>
          <w:sz w:val="28"/>
        </w:rPr>
        <w:t>投资计划和去</w:t>
      </w:r>
      <w:r w:rsidR="00FB73FD" w:rsidRPr="005C3485">
        <w:rPr>
          <w:rFonts w:ascii="仿宋" w:eastAsia="仿宋" w:hAnsi="仿宋" w:hint="eastAsia"/>
          <w:color w:val="333333"/>
          <w:sz w:val="28"/>
        </w:rPr>
        <w:t>年相比</w:t>
      </w:r>
      <w:r w:rsidR="00E84965" w:rsidRPr="005C3485">
        <w:rPr>
          <w:rFonts w:ascii="仿宋" w:eastAsia="仿宋" w:hAnsi="仿宋" w:hint="eastAsia"/>
          <w:color w:val="333333"/>
          <w:sz w:val="28"/>
        </w:rPr>
        <w:t>下降500亿元,降幅</w:t>
      </w:r>
      <w:r w:rsidR="00E84965" w:rsidRPr="005C3485">
        <w:rPr>
          <w:rFonts w:ascii="仿宋" w:eastAsia="仿宋" w:hAnsi="仿宋"/>
          <w:color w:val="333333"/>
          <w:sz w:val="28"/>
        </w:rPr>
        <w:t>超过</w:t>
      </w:r>
      <w:r w:rsidR="00E84965" w:rsidRPr="005C3485">
        <w:rPr>
          <w:rFonts w:ascii="仿宋" w:eastAsia="仿宋" w:hAnsi="仿宋" w:hint="eastAsia"/>
          <w:color w:val="333333"/>
          <w:sz w:val="28"/>
        </w:rPr>
        <w:t>三成</w:t>
      </w:r>
      <w:r w:rsidR="00E84965" w:rsidRPr="005C3485">
        <w:rPr>
          <w:rFonts w:ascii="仿宋" w:eastAsia="仿宋" w:hAnsi="仿宋"/>
          <w:color w:val="333333"/>
          <w:sz w:val="28"/>
        </w:rPr>
        <w:t>，</w:t>
      </w:r>
      <w:r w:rsidR="00665E0D" w:rsidRPr="005C3485">
        <w:rPr>
          <w:rFonts w:ascii="仿宋" w:eastAsia="仿宋" w:hAnsi="仿宋" w:hint="eastAsia"/>
          <w:color w:val="333333"/>
          <w:sz w:val="28"/>
        </w:rPr>
        <w:t>其投资下滑缺口</w:t>
      </w:r>
      <w:r w:rsidR="00E84965" w:rsidRPr="005C3485">
        <w:rPr>
          <w:rFonts w:ascii="仿宋" w:eastAsia="仿宋" w:hAnsi="仿宋" w:hint="eastAsia"/>
          <w:color w:val="333333"/>
          <w:sz w:val="28"/>
        </w:rPr>
        <w:t>占2015年铁路运输设备制造</w:t>
      </w:r>
      <w:r w:rsidR="00E84965" w:rsidRPr="005C3485">
        <w:rPr>
          <w:rFonts w:ascii="仿宋" w:eastAsia="仿宋" w:hAnsi="仿宋"/>
          <w:color w:val="333333"/>
          <w:sz w:val="28"/>
        </w:rPr>
        <w:t>营收的</w:t>
      </w:r>
      <w:r w:rsidR="00E84965" w:rsidRPr="005C3485">
        <w:rPr>
          <w:rFonts w:ascii="仿宋" w:eastAsia="仿宋" w:hAnsi="仿宋" w:hint="eastAsia"/>
          <w:color w:val="333333"/>
          <w:sz w:val="28"/>
        </w:rPr>
        <w:t>11</w:t>
      </w:r>
      <w:r w:rsidR="00E84965" w:rsidRPr="005C3485">
        <w:rPr>
          <w:rFonts w:ascii="仿宋" w:eastAsia="仿宋" w:hAnsi="仿宋"/>
          <w:color w:val="333333"/>
          <w:sz w:val="28"/>
        </w:rPr>
        <w:t>%</w:t>
      </w:r>
      <w:r w:rsidR="00E84965" w:rsidRPr="005C3485">
        <w:rPr>
          <w:rFonts w:ascii="仿宋" w:eastAsia="仿宋" w:hAnsi="仿宋" w:hint="eastAsia"/>
          <w:color w:val="333333"/>
          <w:sz w:val="28"/>
        </w:rPr>
        <w:t>，</w:t>
      </w:r>
      <w:r w:rsidR="00665E0D" w:rsidRPr="005C3485">
        <w:rPr>
          <w:rFonts w:ascii="仿宋" w:eastAsia="仿宋" w:hAnsi="仿宋"/>
          <w:color w:val="333333"/>
          <w:sz w:val="28"/>
        </w:rPr>
        <w:t>对</w:t>
      </w:r>
      <w:r w:rsidR="00E84965" w:rsidRPr="005C3485">
        <w:rPr>
          <w:rFonts w:ascii="仿宋" w:eastAsia="仿宋" w:hAnsi="仿宋"/>
          <w:color w:val="333333"/>
          <w:sz w:val="28"/>
        </w:rPr>
        <w:t>产业</w:t>
      </w:r>
      <w:r w:rsidR="00665E0D" w:rsidRPr="005C3485">
        <w:rPr>
          <w:rFonts w:ascii="仿宋" w:eastAsia="仿宋" w:hAnsi="仿宋" w:hint="eastAsia"/>
          <w:color w:val="333333"/>
          <w:sz w:val="28"/>
        </w:rPr>
        <w:t>增长</w:t>
      </w:r>
      <w:r w:rsidR="00665E0D" w:rsidRPr="005C3485">
        <w:rPr>
          <w:rFonts w:ascii="仿宋" w:eastAsia="仿宋" w:hAnsi="仿宋"/>
          <w:color w:val="333333"/>
          <w:sz w:val="28"/>
        </w:rPr>
        <w:t>负面作用</w:t>
      </w:r>
      <w:r w:rsidR="00665E0D" w:rsidRPr="005C3485">
        <w:rPr>
          <w:rFonts w:ascii="仿宋" w:eastAsia="仿宋" w:hAnsi="仿宋" w:hint="eastAsia"/>
          <w:color w:val="333333"/>
          <w:sz w:val="28"/>
        </w:rPr>
        <w:t>显著</w:t>
      </w:r>
      <w:r w:rsidR="00E84965" w:rsidRPr="005C3485">
        <w:rPr>
          <w:rFonts w:ascii="仿宋" w:eastAsia="仿宋" w:hAnsi="仿宋"/>
          <w:color w:val="333333"/>
          <w:sz w:val="28"/>
        </w:rPr>
        <w:t>。</w:t>
      </w:r>
    </w:p>
    <w:p w:rsidR="005C3485" w:rsidRPr="005C3485" w:rsidRDefault="005C3485" w:rsidP="005C3485"/>
    <w:p w:rsidR="00BD3B37" w:rsidRPr="00E84965" w:rsidRDefault="00BD3B37" w:rsidP="0097265D">
      <w:pPr>
        <w:spacing w:line="360" w:lineRule="auto"/>
        <w:ind w:firstLineChars="200" w:firstLine="560"/>
        <w:jc w:val="left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1F429A" w:rsidRPr="0089668F" w:rsidRDefault="00AC3147" w:rsidP="0097265D">
      <w:pPr>
        <w:spacing w:line="360" w:lineRule="auto"/>
        <w:ind w:firstLineChars="200" w:firstLine="560"/>
        <w:jc w:val="left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  <w:r w:rsidRPr="00AC3147">
        <w:rPr>
          <w:rFonts w:ascii="仿宋" w:eastAsia="仿宋" w:hAnsi="仿宋"/>
          <w:noProof/>
          <w:color w:val="333333"/>
          <w:sz w:val="28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829878" wp14:editId="2A1FF2F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686050" cy="1404620"/>
                <wp:effectExtent l="0" t="0" r="19050" b="2540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47" w:rsidRDefault="00AC3147" w:rsidP="00AC3147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铁路固定</w:t>
                            </w:r>
                            <w:r>
                              <w:t>投资完成额及</w:t>
                            </w:r>
                            <w:r>
                              <w:rPr>
                                <w:rFonts w:hint="eastAsia"/>
                              </w:rPr>
                              <w:t>同比</w:t>
                            </w:r>
                            <w:r>
                              <w:t>增速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82987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.75pt;width:211.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" strokecolor="white [3212]">
                <v:textbox style="mso-fit-shape-to-text:t">
                  <w:txbxContent>
                    <w:p w:rsidR="00AC3147" w:rsidRDefault="00AC3147" w:rsidP="00AC3147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铁路固定</w:t>
                      </w:r>
                      <w:r>
                        <w:t>投资完成额及</w:t>
                      </w:r>
                      <w:r>
                        <w:rPr>
                          <w:rFonts w:hint="eastAsia"/>
                        </w:rPr>
                        <w:t>同比</w:t>
                      </w:r>
                      <w:r>
                        <w:t>增速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29A" w:rsidRPr="0089668F">
        <w:rPr>
          <w:rFonts w:ascii="仿宋" w:eastAsia="仿宋" w:hAnsi="仿宋" w:hint="eastAsia"/>
          <w:noProof/>
          <w:color w:val="333333"/>
          <w:sz w:val="28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E43B9B4" wp14:editId="5737EAC8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274310" cy="2724150"/>
            <wp:effectExtent l="0" t="0" r="2540" b="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29A" w:rsidRDefault="001F429A" w:rsidP="0089668F">
      <w:pPr>
        <w:spacing w:line="360" w:lineRule="auto"/>
        <w:jc w:val="left"/>
        <w:rPr>
          <w:rFonts w:ascii="仿宋" w:eastAsia="仿宋" w:hAnsi="仿宋"/>
          <w:color w:val="333333"/>
          <w:sz w:val="24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jc w:val="left"/>
        <w:rPr>
          <w:rFonts w:ascii="仿宋" w:eastAsia="仿宋" w:hAnsi="仿宋"/>
          <w:color w:val="333333"/>
          <w:sz w:val="24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jc w:val="left"/>
        <w:rPr>
          <w:rFonts w:ascii="仿宋" w:eastAsia="仿宋" w:hAnsi="仿宋"/>
          <w:color w:val="333333"/>
          <w:sz w:val="24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jc w:val="left"/>
        <w:rPr>
          <w:rFonts w:ascii="仿宋" w:eastAsia="仿宋" w:hAnsi="仿宋"/>
          <w:color w:val="333333"/>
          <w:sz w:val="24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jc w:val="left"/>
        <w:rPr>
          <w:rFonts w:ascii="仿宋" w:eastAsia="仿宋" w:hAnsi="仿宋"/>
          <w:color w:val="333333"/>
          <w:sz w:val="24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jc w:val="left"/>
        <w:rPr>
          <w:rFonts w:ascii="仿宋" w:eastAsia="仿宋" w:hAnsi="仿宋"/>
          <w:color w:val="333333"/>
          <w:sz w:val="24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jc w:val="left"/>
        <w:rPr>
          <w:rFonts w:ascii="仿宋" w:eastAsia="仿宋" w:hAnsi="仿宋"/>
          <w:color w:val="333333"/>
          <w:sz w:val="24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jc w:val="left"/>
        <w:rPr>
          <w:rFonts w:ascii="仿宋" w:eastAsia="仿宋" w:hAnsi="仿宋"/>
          <w:color w:val="333333"/>
          <w:sz w:val="24"/>
          <w:szCs w:val="21"/>
          <w:shd w:val="clear" w:color="auto" w:fill="FFFFFF"/>
        </w:rPr>
      </w:pPr>
    </w:p>
    <w:p w:rsidR="005F2F42" w:rsidRPr="00FC2CDE" w:rsidRDefault="00D77CDC" w:rsidP="0089668F">
      <w:pPr>
        <w:spacing w:line="360" w:lineRule="auto"/>
        <w:jc w:val="left"/>
        <w:rPr>
          <w:rFonts w:ascii="仿宋" w:eastAsia="仿宋" w:hAnsi="仿宋"/>
          <w:color w:val="333333"/>
          <w:sz w:val="22"/>
          <w:szCs w:val="21"/>
          <w:shd w:val="clear" w:color="auto" w:fill="FFFFFF"/>
        </w:rPr>
      </w:pPr>
      <w:r w:rsidRPr="00FC2CDE"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来源：wind</w:t>
      </w:r>
      <w:r w:rsidR="0089668F" w:rsidRPr="00FC2CDE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       </w:t>
      </w:r>
      <w:r w:rsidR="001F429A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   </w:t>
      </w:r>
      <w:r w:rsidR="0089668F" w:rsidRPr="00FC2CDE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 </w:t>
      </w:r>
      <w:r w:rsidR="005F2F42" w:rsidRPr="00FC2CDE"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图</w:t>
      </w:r>
      <w:r w:rsidR="00AD03FD"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2</w:t>
      </w:r>
      <w:r w:rsidR="005F2F42" w:rsidRPr="00FC2CDE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   铁路</w:t>
      </w:r>
      <w:proofErr w:type="gramStart"/>
      <w:r w:rsidR="005F2F42" w:rsidRPr="00FC2CDE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>固投完成</w:t>
      </w:r>
      <w:proofErr w:type="gramEnd"/>
      <w:r w:rsidR="005F2F42" w:rsidRPr="00FC2CDE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>额与同比增速</w:t>
      </w:r>
    </w:p>
    <w:p w:rsidR="00AD03FD" w:rsidRDefault="00AD03FD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B120E9" w:rsidRDefault="00B120E9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B120E9" w:rsidRDefault="00B120E9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B120E9" w:rsidRDefault="00B120E9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B120E9" w:rsidRDefault="00B120E9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AD03FD" w:rsidRDefault="00AD03FD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5F2F42" w:rsidRDefault="001F429A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  <w:r>
        <w:rPr>
          <w:rFonts w:ascii="仿宋" w:eastAsia="仿宋" w:hAnsi="仿宋"/>
          <w:b/>
          <w:noProof/>
          <w:color w:val="333333"/>
          <w:sz w:val="28"/>
          <w:szCs w:val="21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1ED2FC7C" wp14:editId="1F2CF1F9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5274310" cy="2400300"/>
            <wp:effectExtent l="0" t="0" r="2540" b="0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29A" w:rsidRDefault="00AC3147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  <w:r w:rsidRPr="00AC3147">
        <w:rPr>
          <w:rFonts w:ascii="仿宋" w:eastAsia="仿宋" w:hAnsi="仿宋"/>
          <w:noProof/>
          <w:color w:val="333333"/>
          <w:sz w:val="28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FD196C" wp14:editId="0AC53E99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2686050" cy="1404620"/>
                <wp:effectExtent l="0" t="0" r="19050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47" w:rsidRDefault="00AC3147">
                            <w:r>
                              <w:rPr>
                                <w:rFonts w:hint="eastAsia"/>
                              </w:rPr>
                              <w:t>铁路固定</w:t>
                            </w:r>
                            <w:r>
                              <w:t>投资完成额及投产新线里程数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AFD196C" id="_x0000_s1027" type="#_x0000_t202" style="position:absolute;left:0;text-align:left;margin-left:108pt;margin-top:.75pt;width:21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" strokecolor="white [3212]">
                <v:textbox style="mso-fit-shape-to-text:t">
                  <w:txbxContent>
                    <w:p w:rsidR="00AC3147" w:rsidRDefault="00AC3147">
                      <w:r>
                        <w:rPr>
                          <w:rFonts w:hint="eastAsia"/>
                        </w:rPr>
                        <w:t>铁路固定</w:t>
                      </w:r>
                      <w:r>
                        <w:t>投资完成额及投产新线里程数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429A" w:rsidRDefault="001F429A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1F429A" w:rsidRDefault="001F429A" w:rsidP="0089668F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</w:p>
    <w:p w:rsidR="00FB73FD" w:rsidRPr="00FB73FD" w:rsidRDefault="00FB73FD" w:rsidP="001F429A">
      <w:pPr>
        <w:spacing w:line="360" w:lineRule="auto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来源:</w:t>
      </w:r>
      <w:r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wind          </w:t>
      </w:r>
      <w:r w:rsidR="001F429A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 xml:space="preserve"> </w:t>
      </w:r>
      <w:r w:rsidRPr="00FB73FD"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图</w:t>
      </w:r>
      <w:r w:rsidR="00AD03FD"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3</w:t>
      </w:r>
      <w:r w:rsidRPr="00FB73FD"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 xml:space="preserve"> 铁路</w:t>
      </w:r>
      <w:proofErr w:type="gramStart"/>
      <w:r w:rsidRPr="00FB73FD">
        <w:rPr>
          <w:rFonts w:ascii="仿宋" w:eastAsia="仿宋" w:hAnsi="仿宋" w:hint="eastAsia"/>
          <w:color w:val="333333"/>
          <w:sz w:val="24"/>
          <w:szCs w:val="21"/>
          <w:shd w:val="clear" w:color="auto" w:fill="FFFFFF"/>
        </w:rPr>
        <w:t>固投</w:t>
      </w:r>
      <w:r w:rsidRPr="00FB73FD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>完成</w:t>
      </w:r>
      <w:proofErr w:type="gramEnd"/>
      <w:r w:rsidRPr="00FB73FD">
        <w:rPr>
          <w:rFonts w:ascii="仿宋" w:eastAsia="仿宋" w:hAnsi="仿宋"/>
          <w:color w:val="333333"/>
          <w:sz w:val="24"/>
          <w:szCs w:val="21"/>
          <w:shd w:val="clear" w:color="auto" w:fill="FFFFFF"/>
        </w:rPr>
        <w:t>额及铁路投产新线</w:t>
      </w:r>
    </w:p>
    <w:p w:rsidR="007E3F44" w:rsidRPr="0089668F" w:rsidRDefault="006750AE" w:rsidP="0089668F">
      <w:pPr>
        <w:spacing w:line="360" w:lineRule="auto"/>
        <w:ind w:firstLineChars="200" w:firstLine="562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8"/>
          <w:szCs w:val="21"/>
          <w:shd w:val="clear" w:color="auto" w:fill="FFFFFF"/>
        </w:rPr>
        <w:t>第二</w:t>
      </w:r>
      <w:r w:rsidR="00D77CDC" w:rsidRPr="0089668F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，</w:t>
      </w:r>
      <w:r w:rsidR="00D77CDC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轨道</w:t>
      </w:r>
      <w:r w:rsidR="00D77CDC" w:rsidRPr="0089668F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交通装备</w:t>
      </w:r>
      <w:r w:rsidR="00D77CDC" w:rsidRPr="0089668F">
        <w:rPr>
          <w:rFonts w:ascii="仿宋" w:eastAsia="仿宋" w:hAnsi="仿宋" w:hint="eastAsia"/>
          <w:b/>
          <w:color w:val="333333"/>
          <w:sz w:val="28"/>
          <w:szCs w:val="21"/>
          <w:shd w:val="clear" w:color="auto" w:fill="FFFFFF"/>
        </w:rPr>
        <w:t>细分</w:t>
      </w:r>
      <w:r w:rsidR="00D77CDC" w:rsidRPr="0089668F">
        <w:rPr>
          <w:rFonts w:ascii="仿宋" w:eastAsia="仿宋" w:hAnsi="仿宋"/>
          <w:b/>
          <w:color w:val="333333"/>
          <w:sz w:val="28"/>
          <w:szCs w:val="21"/>
          <w:shd w:val="clear" w:color="auto" w:fill="FFFFFF"/>
        </w:rPr>
        <w:t>领域</w:t>
      </w:r>
      <w:r w:rsidR="00D77CDC" w:rsidRPr="0089668F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面临</w:t>
      </w:r>
      <w:r w:rsidR="00D77CDC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不同增长风险</w:t>
      </w:r>
      <w:r w:rsidR="00D77CDC" w:rsidRPr="0089668F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。</w:t>
      </w:r>
      <w:r w:rsidR="00D77CDC" w:rsidRPr="0089668F">
        <w:rPr>
          <w:rFonts w:ascii="仿宋" w:eastAsia="仿宋" w:hAnsi="仿宋" w:hint="eastAsia"/>
          <w:b/>
          <w:color w:val="333333"/>
          <w:sz w:val="28"/>
          <w:szCs w:val="21"/>
          <w:shd w:val="clear" w:color="auto" w:fill="FFFFFF"/>
        </w:rPr>
        <w:t>一是</w:t>
      </w:r>
      <w:r w:rsidR="00D77CDC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动车组提前透支需求。</w:t>
      </w:r>
      <w:r w:rsidR="00D77CDC" w:rsidRPr="0089668F">
        <w:rPr>
          <w:rFonts w:ascii="仿宋" w:eastAsia="仿宋" w:hAnsi="仿宋" w:hint="eastAsia"/>
          <w:color w:val="333333"/>
          <w:sz w:val="28"/>
        </w:rPr>
        <w:t>2015年铁总共招标动车组418列，总价接近800亿元，订单额打破历史记录，提前释放了需求，导致今年增长乏力。</w:t>
      </w:r>
      <w:r w:rsidR="00D77CDC" w:rsidRPr="0089668F">
        <w:rPr>
          <w:rFonts w:ascii="仿宋" w:eastAsia="仿宋" w:hAnsi="仿宋" w:hint="eastAsia"/>
          <w:b/>
          <w:color w:val="333333"/>
          <w:sz w:val="28"/>
        </w:rPr>
        <w:t>二是</w:t>
      </w:r>
      <w:r w:rsidR="00A00FD0" w:rsidRPr="0089668F">
        <w:rPr>
          <w:rFonts w:ascii="仿宋" w:eastAsia="仿宋" w:hAnsi="仿宋" w:hint="eastAsia"/>
          <w:color w:val="333333"/>
          <w:sz w:val="28"/>
        </w:rPr>
        <w:t>货运形势低迷影响</w:t>
      </w:r>
      <w:r w:rsidR="00424CE1" w:rsidRPr="0089668F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货车</w:t>
      </w:r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市场需求。</w:t>
      </w:r>
      <w:r w:rsidR="007E3F44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当前铁路货运整体运输形势严峻。自2013年3月以来，货运量已经连续下滑3年，尤其自2015年以来，下滑幅度逐月递增。</w:t>
      </w:r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因货运形势低迷，截止到2015年6月全路货车闲置近11万辆，2.5万辆货车封存。铁</w:t>
      </w:r>
      <w:proofErr w:type="gramStart"/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总对于</w:t>
      </w:r>
      <w:proofErr w:type="gramEnd"/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新造货车的需求已经降至历史最低点且短期难以恢复。</w:t>
      </w:r>
      <w:r w:rsidR="00A00FD0" w:rsidRPr="0089668F">
        <w:rPr>
          <w:rFonts w:ascii="仿宋" w:eastAsia="仿宋" w:hAnsi="仿宋" w:hint="eastAsia"/>
          <w:b/>
          <w:color w:val="333333"/>
          <w:sz w:val="28"/>
          <w:szCs w:val="21"/>
          <w:shd w:val="clear" w:color="auto" w:fill="FFFFFF"/>
        </w:rPr>
        <w:t>三是</w:t>
      </w:r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普通客车受动车组替代作用影响需求下滑</w:t>
      </w:r>
      <w:r w:rsidR="007E3F44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，大量普客列车因动车组开行而停开。2015</w:t>
      </w:r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年</w:t>
      </w:r>
      <w:r w:rsidR="007E3F44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铁总采购普通客车1143辆</w:t>
      </w:r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，比2012年的2700辆降幅超过一半，2016年普客新增订单疲软还将继续</w:t>
      </w:r>
      <w:r w:rsidR="007E3F44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。</w:t>
      </w:r>
      <w:r w:rsidR="00A00FD0" w:rsidRPr="0089668F">
        <w:rPr>
          <w:rFonts w:ascii="仿宋" w:eastAsia="仿宋" w:hAnsi="仿宋" w:hint="eastAsia"/>
          <w:b/>
          <w:color w:val="333333"/>
          <w:sz w:val="28"/>
          <w:szCs w:val="21"/>
          <w:shd w:val="clear" w:color="auto" w:fill="FFFFFF"/>
        </w:rPr>
        <w:t>四是</w:t>
      </w:r>
      <w:r w:rsidR="007E3F44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货</w:t>
      </w:r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车与普通客车采购量下降，带动相</w:t>
      </w:r>
      <w:r w:rsidR="007E3F44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应的牵引机车需求下降。</w:t>
      </w:r>
    </w:p>
    <w:p w:rsidR="0089668F" w:rsidRPr="0089668F" w:rsidRDefault="006750AE" w:rsidP="0089668F">
      <w:pPr>
        <w:spacing w:line="360" w:lineRule="auto"/>
        <w:ind w:firstLineChars="200" w:firstLine="562"/>
        <w:rPr>
          <w:rFonts w:ascii="仿宋" w:eastAsia="仿宋" w:hAnsi="仿宋"/>
          <w:color w:val="333333"/>
          <w:sz w:val="28"/>
          <w:szCs w:val="21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8"/>
          <w:szCs w:val="21"/>
          <w:shd w:val="clear" w:color="auto" w:fill="FFFFFF"/>
        </w:rPr>
        <w:t>第三</w:t>
      </w:r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，</w:t>
      </w:r>
      <w:r w:rsidR="002F7349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海外市场</w:t>
      </w:r>
      <w:proofErr w:type="gramStart"/>
      <w:r w:rsidR="002F7349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及城轨</w:t>
      </w:r>
      <w:r w:rsidR="00074E87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地铁</w:t>
      </w:r>
      <w:proofErr w:type="gramEnd"/>
      <w:r w:rsidR="00A00FD0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市场增长迅猛，</w:t>
      </w:r>
      <w:r w:rsidR="002F7349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但</w:t>
      </w:r>
      <w:r w:rsidR="00074E87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目前</w:t>
      </w:r>
      <w:r w:rsidR="0089668F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不足以支撑轨道</w:t>
      </w:r>
      <w:r w:rsid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装备</w:t>
      </w:r>
      <w:r w:rsidR="0089668F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产业</w:t>
      </w:r>
      <w:r w:rsidR="00074E87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整体</w:t>
      </w:r>
      <w:r w:rsidR="00074E87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性增长</w:t>
      </w:r>
      <w:r w:rsidR="0089668F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。</w:t>
      </w:r>
      <w:r w:rsidR="00C41EB0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近年来我国铁路装备</w:t>
      </w:r>
      <w:r w:rsidR="0089668F" w:rsidRP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加快海外</w:t>
      </w:r>
      <w:r w:rsidR="00074E87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业务布局，</w:t>
      </w:r>
      <w:r w:rsidR="001D3D86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已</w:t>
      </w:r>
      <w:r w:rsidR="001D3D86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lastRenderedPageBreak/>
        <w:t>有</w:t>
      </w:r>
      <w:r w:rsidR="001D3D86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多项</w:t>
      </w:r>
      <w:r w:rsidR="00C41EB0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产品</w:t>
      </w:r>
      <w:r w:rsidR="001D3D86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走出国门</w:t>
      </w:r>
      <w:r w:rsidR="001D3D86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。此外，随着城市群(圈)和公共基础设施建设的推进，</w:t>
      </w:r>
      <w:r w:rsidR="00C41EB0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城市轨道和地铁需求也</w:t>
      </w:r>
      <w:r w:rsidR="001D3D86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迎来高速增长。</w:t>
      </w:r>
      <w:r w:rsidR="001D3D86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以</w:t>
      </w:r>
      <w:r w:rsidR="00BA54C3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中</w:t>
      </w:r>
      <w:proofErr w:type="gramStart"/>
      <w:r w:rsidR="00BA54C3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车</w:t>
      </w:r>
      <w:r w:rsidR="00C41EB0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集团</w:t>
      </w:r>
      <w:proofErr w:type="gramEnd"/>
      <w:r w:rsidR="001D3D86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为例</w:t>
      </w:r>
      <w:r w:rsidR="001D3D86">
        <w:rPr>
          <w:rFonts w:ascii="仿宋" w:eastAsia="仿宋" w:hAnsi="仿宋"/>
          <w:color w:val="333333"/>
          <w:sz w:val="28"/>
          <w:szCs w:val="21"/>
          <w:shd w:val="clear" w:color="auto" w:fill="FFFFFF"/>
        </w:rPr>
        <w:t>，</w:t>
      </w:r>
      <w:r w:rsidR="0089668F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2015</w:t>
      </w:r>
      <w:r w:rsidR="00074E87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实现出口额265亿元，同比增长67%。实现</w:t>
      </w:r>
      <w:proofErr w:type="gramStart"/>
      <w:r w:rsidR="00074E87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城轨业务</w:t>
      </w:r>
      <w:proofErr w:type="gramEnd"/>
      <w:r w:rsidR="00074E87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246亿元，同比增长36%。但两个市场加总起来只占到中车营收总额的五分之一</w:t>
      </w:r>
      <w:r w:rsidR="00BA54C3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（含重合部分）</w:t>
      </w:r>
      <w:r w:rsidR="00074E87">
        <w:rPr>
          <w:rFonts w:ascii="仿宋" w:eastAsia="仿宋" w:hAnsi="仿宋" w:hint="eastAsia"/>
          <w:color w:val="333333"/>
          <w:sz w:val="28"/>
          <w:szCs w:val="21"/>
          <w:shd w:val="clear" w:color="auto" w:fill="FFFFFF"/>
        </w:rPr>
        <w:t>，在短期内难以起到决定性支撑作用。</w:t>
      </w:r>
      <w:bookmarkStart w:id="0" w:name="_GoBack"/>
      <w:bookmarkEnd w:id="0"/>
    </w:p>
    <w:sectPr w:rsidR="0089668F" w:rsidRPr="0089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7A" w:rsidRDefault="0008067A"/>
  </w:endnote>
  <w:endnote w:type="continuationSeparator" w:id="0">
    <w:p w:rsidR="0008067A" w:rsidRDefault="00080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7A" w:rsidRDefault="0008067A"/>
  </w:footnote>
  <w:footnote w:type="continuationSeparator" w:id="0">
    <w:p w:rsidR="0008067A" w:rsidRDefault="000806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B65"/>
    <w:multiLevelType w:val="hybridMultilevel"/>
    <w:tmpl w:val="75D61430"/>
    <w:lvl w:ilvl="0" w:tplc="2742667E">
      <w:start w:val="1"/>
      <w:numFmt w:val="japaneseCounting"/>
      <w:lvlText w:val="第%1，"/>
      <w:lvlJc w:val="left"/>
      <w:pPr>
        <w:ind w:left="135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D916D5"/>
    <w:multiLevelType w:val="hybridMultilevel"/>
    <w:tmpl w:val="81700E42"/>
    <w:lvl w:ilvl="0" w:tplc="42144EB6">
      <w:start w:val="1"/>
      <w:numFmt w:val="japaneseCounting"/>
      <w:lvlText w:val="第%1，"/>
      <w:lvlJc w:val="left"/>
      <w:pPr>
        <w:ind w:left="140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DA4C08"/>
    <w:multiLevelType w:val="hybridMultilevel"/>
    <w:tmpl w:val="1EBA3B94"/>
    <w:lvl w:ilvl="0" w:tplc="C85CF9CE">
      <w:start w:val="1"/>
      <w:numFmt w:val="japaneseCounting"/>
      <w:lvlText w:val="第%1，"/>
      <w:lvlJc w:val="left"/>
      <w:pPr>
        <w:ind w:left="825" w:hanging="8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B9"/>
    <w:rsid w:val="000249E4"/>
    <w:rsid w:val="000733F9"/>
    <w:rsid w:val="00074E87"/>
    <w:rsid w:val="0008067A"/>
    <w:rsid w:val="00100C02"/>
    <w:rsid w:val="00170EFE"/>
    <w:rsid w:val="001A16B6"/>
    <w:rsid w:val="001D3D86"/>
    <w:rsid w:val="001E0EB9"/>
    <w:rsid w:val="001F429A"/>
    <w:rsid w:val="001F64BC"/>
    <w:rsid w:val="002350D3"/>
    <w:rsid w:val="00237B30"/>
    <w:rsid w:val="00243D32"/>
    <w:rsid w:val="002960E9"/>
    <w:rsid w:val="002B25C7"/>
    <w:rsid w:val="002F0DF4"/>
    <w:rsid w:val="002F7349"/>
    <w:rsid w:val="003318BC"/>
    <w:rsid w:val="00361527"/>
    <w:rsid w:val="00424CE1"/>
    <w:rsid w:val="004422FD"/>
    <w:rsid w:val="004434D9"/>
    <w:rsid w:val="00445550"/>
    <w:rsid w:val="00450BF7"/>
    <w:rsid w:val="00455A29"/>
    <w:rsid w:val="004808C4"/>
    <w:rsid w:val="00480CA8"/>
    <w:rsid w:val="004819BB"/>
    <w:rsid w:val="004A1985"/>
    <w:rsid w:val="004A1DD7"/>
    <w:rsid w:val="004A230F"/>
    <w:rsid w:val="004C5C64"/>
    <w:rsid w:val="004F2845"/>
    <w:rsid w:val="00537B97"/>
    <w:rsid w:val="005452BD"/>
    <w:rsid w:val="00587FD1"/>
    <w:rsid w:val="005C3485"/>
    <w:rsid w:val="005F2F42"/>
    <w:rsid w:val="0064034A"/>
    <w:rsid w:val="006520D3"/>
    <w:rsid w:val="00665E0D"/>
    <w:rsid w:val="006750AE"/>
    <w:rsid w:val="00675FBE"/>
    <w:rsid w:val="00695F69"/>
    <w:rsid w:val="006A363D"/>
    <w:rsid w:val="006B1409"/>
    <w:rsid w:val="006C506D"/>
    <w:rsid w:val="006E4FEF"/>
    <w:rsid w:val="00703B90"/>
    <w:rsid w:val="00737A14"/>
    <w:rsid w:val="00756850"/>
    <w:rsid w:val="007B1521"/>
    <w:rsid w:val="007E3F44"/>
    <w:rsid w:val="0083523A"/>
    <w:rsid w:val="00882156"/>
    <w:rsid w:val="0089668F"/>
    <w:rsid w:val="008D3975"/>
    <w:rsid w:val="008E4117"/>
    <w:rsid w:val="00902CA9"/>
    <w:rsid w:val="0097265D"/>
    <w:rsid w:val="00977070"/>
    <w:rsid w:val="00985C49"/>
    <w:rsid w:val="009B4A51"/>
    <w:rsid w:val="009D02A3"/>
    <w:rsid w:val="00A00FD0"/>
    <w:rsid w:val="00A13535"/>
    <w:rsid w:val="00AA42C1"/>
    <w:rsid w:val="00AC3147"/>
    <w:rsid w:val="00AD03FD"/>
    <w:rsid w:val="00B120E9"/>
    <w:rsid w:val="00B66095"/>
    <w:rsid w:val="00BA3BF6"/>
    <w:rsid w:val="00BA54C3"/>
    <w:rsid w:val="00BC24F3"/>
    <w:rsid w:val="00BD3B37"/>
    <w:rsid w:val="00BE731F"/>
    <w:rsid w:val="00C41EB0"/>
    <w:rsid w:val="00C52768"/>
    <w:rsid w:val="00CF30B2"/>
    <w:rsid w:val="00D43097"/>
    <w:rsid w:val="00D77CDC"/>
    <w:rsid w:val="00DC21AD"/>
    <w:rsid w:val="00E84965"/>
    <w:rsid w:val="00E93F2E"/>
    <w:rsid w:val="00ED75E7"/>
    <w:rsid w:val="00EE5455"/>
    <w:rsid w:val="00F25095"/>
    <w:rsid w:val="00F639BD"/>
    <w:rsid w:val="00FB52F9"/>
    <w:rsid w:val="00FB73FD"/>
    <w:rsid w:val="00FC2CDE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E73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E731F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E731F"/>
    <w:rPr>
      <w:b/>
      <w:bCs/>
    </w:rPr>
  </w:style>
  <w:style w:type="paragraph" w:styleId="a4">
    <w:name w:val="Normal (Web)"/>
    <w:basedOn w:val="a"/>
    <w:uiPriority w:val="99"/>
    <w:semiHidden/>
    <w:unhideWhenUsed/>
    <w:rsid w:val="005F2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318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E73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E731F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E731F"/>
    <w:rPr>
      <w:b/>
      <w:bCs/>
    </w:rPr>
  </w:style>
  <w:style w:type="paragraph" w:styleId="a4">
    <w:name w:val="Normal (Web)"/>
    <w:basedOn w:val="a"/>
    <w:uiPriority w:val="99"/>
    <w:semiHidden/>
    <w:unhideWhenUsed/>
    <w:rsid w:val="005F2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318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AppData\Roaming\Foxmail7\Temp-5284-20160822083251\&#38081;&#36335;&#36816;&#36755;&#35774;&#22791;&#21046;&#36896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050" b="0"/>
              <a:t>近几年铁路运输设备制造营收增速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20.8%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20.3%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2.8%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Sheet1!$G$162:$G$164</c:f>
              <c:strCache>
                <c:ptCount val="3"/>
                <c:pt idx="0">
                  <c:v>2014</c:v>
                </c:pt>
                <c:pt idx="1">
                  <c:v>2015</c:v>
                </c:pt>
                <c:pt idx="2">
                  <c:v>2016上半年</c:v>
                </c:pt>
              </c:strCache>
            </c:strRef>
          </c:cat>
          <c:val>
            <c:numRef>
              <c:f>Sheet1!$H$162:$H$164</c:f>
              <c:numCache>
                <c:formatCode>###,###,###,###,##0.00_ </c:formatCode>
                <c:ptCount val="3"/>
                <c:pt idx="0">
                  <c:v>0.20772699999999999</c:v>
                </c:pt>
                <c:pt idx="1">
                  <c:v>0.20300000000000001</c:v>
                </c:pt>
                <c:pt idx="2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-27"/>
        <c:axId val="173313408"/>
        <c:axId val="173323392"/>
      </c:barChart>
      <c:catAx>
        <c:axId val="17331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3323392"/>
        <c:crosses val="autoZero"/>
        <c:auto val="1"/>
        <c:lblAlgn val="ctr"/>
        <c:lblOffset val="100"/>
        <c:noMultiLvlLbl val="0"/>
      </c:catAx>
      <c:valAx>
        <c:axId val="173323392"/>
        <c:scaling>
          <c:orientation val="minMax"/>
        </c:scaling>
        <c:delete val="1"/>
        <c:axPos val="l"/>
        <c:numFmt formatCode="###,###,###,###,##0.00_ " sourceLinked="1"/>
        <c:majorTickMark val="none"/>
        <c:minorTickMark val="none"/>
        <c:tickLblPos val="nextTo"/>
        <c:crossAx val="17331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675256099850031E-2"/>
          <c:y val="8.8578088578088576E-2"/>
          <c:w val="0.85050973492267234"/>
          <c:h val="0.68362828772277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铁路运输业固投完成额（亿元）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Sheet1!$A$2:$A$15</c:f>
              <c:numCache>
                <c:formatCode>General</c:formatCode>
                <c:ptCount val="14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963</c:v>
                </c:pt>
                <c:pt idx="1">
                  <c:v>860</c:v>
                </c:pt>
                <c:pt idx="2">
                  <c:v>901</c:v>
                </c:pt>
                <c:pt idx="3">
                  <c:v>1364</c:v>
                </c:pt>
                <c:pt idx="4">
                  <c:v>2088</c:v>
                </c:pt>
                <c:pt idx="5">
                  <c:v>2521</c:v>
                </c:pt>
                <c:pt idx="6">
                  <c:v>4168</c:v>
                </c:pt>
                <c:pt idx="7">
                  <c:v>7013</c:v>
                </c:pt>
                <c:pt idx="8">
                  <c:v>8427</c:v>
                </c:pt>
                <c:pt idx="9">
                  <c:v>5906</c:v>
                </c:pt>
                <c:pt idx="10">
                  <c:v>6056</c:v>
                </c:pt>
                <c:pt idx="11">
                  <c:v>6657</c:v>
                </c:pt>
                <c:pt idx="12">
                  <c:v>8088</c:v>
                </c:pt>
                <c:pt idx="13">
                  <c:v>8238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36-4C9E-9962-E393FE8226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overlap val="-27"/>
        <c:axId val="161896320"/>
        <c:axId val="161897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tx>
                <c:rich>
                  <a:bodyPr/>
                  <a:lstStyle/>
                  <a:p>
                    <a:r>
                      <a:rPr lang="en-US" altLang="zh-CN"/>
                      <a:t>-30%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36-4C9E-9962-E393FE822663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altLang="zh-CN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936-4C9E-9962-E393FE822663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Sheet1!$A$2:$A$15</c:f>
              <c:numCache>
                <c:formatCode>General</c:formatCode>
                <c:ptCount val="14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0</c:v>
                </c:pt>
                <c:pt idx="1">
                  <c:v>-0.10695742471443404</c:v>
                </c:pt>
                <c:pt idx="2">
                  <c:v>4.7674418604651159E-2</c:v>
                </c:pt>
                <c:pt idx="3">
                  <c:v>0.51387347391786897</c:v>
                </c:pt>
                <c:pt idx="4">
                  <c:v>0.53079178885630496</c:v>
                </c:pt>
                <c:pt idx="5">
                  <c:v>0.20737547892720309</c:v>
                </c:pt>
                <c:pt idx="6">
                  <c:v>0.65331217770725902</c:v>
                </c:pt>
                <c:pt idx="7">
                  <c:v>0.68258157389635321</c:v>
                </c:pt>
                <c:pt idx="8">
                  <c:v>0.20162555254527303</c:v>
                </c:pt>
                <c:pt idx="9">
                  <c:v>-0.2991574700367865</c:v>
                </c:pt>
                <c:pt idx="10">
                  <c:v>2.539790044023027E-2</c:v>
                </c:pt>
                <c:pt idx="11">
                  <c:v>9.9240422721268207E-2</c:v>
                </c:pt>
                <c:pt idx="12">
                  <c:v>0.21496169445696256</c:v>
                </c:pt>
                <c:pt idx="13">
                  <c:v>1.8545994065281901E-2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936-4C9E-9962-E393FE8226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913472"/>
        <c:axId val="161911936"/>
      </c:lineChart>
      <c:catAx>
        <c:axId val="16189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1897856"/>
        <c:crosses val="autoZero"/>
        <c:auto val="1"/>
        <c:lblAlgn val="ctr"/>
        <c:lblOffset val="100"/>
        <c:noMultiLvlLbl val="0"/>
      </c:catAx>
      <c:valAx>
        <c:axId val="161897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1896320"/>
        <c:crosses val="autoZero"/>
        <c:crossBetween val="between"/>
      </c:valAx>
      <c:valAx>
        <c:axId val="16191193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1913472"/>
        <c:crosses val="max"/>
        <c:crossBetween val="between"/>
      </c:valAx>
      <c:catAx>
        <c:axId val="161913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19119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铁路固定资产完成额（亿元）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94F2880-1BB6-4860-8A20-D0F31109DE03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亿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D45ABF3-6029-4DD5-9DE8-1ADEA7CB5ED5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亿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C24711A-682F-475B-B648-A6DB3EC44CB0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亿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18252F0-83BE-4BAE-8B4B-27857F825F2B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亿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2D49CC5-B486-4E47-9762-B3DC5F3E2B4D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亿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2016E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4168</c:v>
                </c:pt>
                <c:pt idx="1">
                  <c:v>7013</c:v>
                </c:pt>
                <c:pt idx="2">
                  <c:v>8427</c:v>
                </c:pt>
                <c:pt idx="3">
                  <c:v>5906</c:v>
                </c:pt>
                <c:pt idx="4">
                  <c:v>6340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铁路投产新线（公里）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7.2236937153864677E-3"/>
                  <c:y val="0.19487179487179487"/>
                </c:manualLayout>
              </c:layout>
              <c:tx>
                <c:rich>
                  <a:bodyPr/>
                  <a:lstStyle/>
                  <a:p>
                    <a:fld id="{2EE1B4A7-70C3-4541-813E-57853D248DBE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公里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"/>
                  <c:y val="1.0256410256410256E-2"/>
                </c:manualLayout>
              </c:layout>
              <c:tx>
                <c:rich>
                  <a:bodyPr/>
                  <a:lstStyle/>
                  <a:p>
                    <a:fld id="{88D4C877-092E-486F-981C-28F3704419BF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公里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4FDCDA9-11A5-4758-AEF2-E7F6D9FF3766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公里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57740D65-1E6C-4A39-8457-FA7DD76378FB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公里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B88892D3-D83F-42BF-920E-3667693F483B}" type="VALUE">
                      <a:rPr lang="en-US" altLang="zh-CN"/>
                      <a:pPr/>
                      <a:t>[值]</a:t>
                    </a:fld>
                    <a:r>
                      <a:rPr lang="zh-CN" altLang="en-US"/>
                      <a:t>公里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2016E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4">
                  <c:v>5382</c:v>
                </c:pt>
                <c:pt idx="5">
                  <c:v>5586</c:v>
                </c:pt>
                <c:pt idx="6">
                  <c:v>8427</c:v>
                </c:pt>
                <c:pt idx="7">
                  <c:v>9531</c:v>
                </c:pt>
                <c:pt idx="8">
                  <c:v>3200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669824"/>
        <c:axId val="174671360"/>
      </c:barChart>
      <c:catAx>
        <c:axId val="17466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4671360"/>
        <c:crosses val="autoZero"/>
        <c:auto val="1"/>
        <c:lblAlgn val="ctr"/>
        <c:lblOffset val="100"/>
        <c:noMultiLvlLbl val="0"/>
      </c:catAx>
      <c:valAx>
        <c:axId val="174671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466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083D-3807-4F9B-866B-E9CE95EC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>Lenovo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ll</cp:lastModifiedBy>
  <cp:revision>4</cp:revision>
  <dcterms:created xsi:type="dcterms:W3CDTF">2016-11-04T09:03:00Z</dcterms:created>
  <dcterms:modified xsi:type="dcterms:W3CDTF">2016-11-04T09:05:00Z</dcterms:modified>
</cp:coreProperties>
</file>