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24" w:rsidRPr="00582724" w:rsidRDefault="00582724" w:rsidP="00582724">
      <w:pPr>
        <w:spacing w:line="360" w:lineRule="auto"/>
        <w:ind w:firstLineChars="200" w:firstLine="440"/>
        <w:jc w:val="center"/>
        <w:rPr>
          <w:rFonts w:ascii="仿宋_GB2312" w:eastAsia="仿宋_GB2312"/>
          <w:sz w:val="22"/>
        </w:rPr>
      </w:pPr>
    </w:p>
    <w:p w:rsidR="00FB4A6B" w:rsidRPr="00582724" w:rsidRDefault="00F44691" w:rsidP="00582724">
      <w:pPr>
        <w:spacing w:line="360" w:lineRule="auto"/>
        <w:jc w:val="center"/>
        <w:rPr>
          <w:rFonts w:ascii="黑体" w:eastAsia="黑体" w:hAnsi="黑体"/>
          <w:sz w:val="22"/>
        </w:rPr>
      </w:pPr>
      <w:r w:rsidRPr="00582724">
        <w:rPr>
          <w:rFonts w:ascii="黑体" w:eastAsia="黑体" w:hAnsi="黑体" w:hint="eastAsia"/>
          <w:sz w:val="28"/>
        </w:rPr>
        <w:t>201</w:t>
      </w:r>
      <w:r w:rsidR="002A390E">
        <w:rPr>
          <w:rFonts w:ascii="黑体" w:eastAsia="黑体" w:hAnsi="黑体" w:hint="eastAsia"/>
          <w:sz w:val="28"/>
        </w:rPr>
        <w:t>6</w:t>
      </w:r>
      <w:r w:rsidRPr="00582724">
        <w:rPr>
          <w:rFonts w:ascii="黑体" w:eastAsia="黑体" w:hAnsi="黑体" w:hint="eastAsia"/>
          <w:sz w:val="28"/>
        </w:rPr>
        <w:t>年</w:t>
      </w:r>
      <w:r w:rsidR="002A390E">
        <w:rPr>
          <w:rFonts w:ascii="黑体" w:eastAsia="黑体" w:hAnsi="黑体" w:hint="eastAsia"/>
          <w:sz w:val="28"/>
        </w:rPr>
        <w:t>一</w:t>
      </w:r>
      <w:r w:rsidR="00EB7639" w:rsidRPr="00582724">
        <w:rPr>
          <w:rFonts w:ascii="黑体" w:eastAsia="黑体" w:hAnsi="黑体" w:hint="eastAsia"/>
          <w:sz w:val="28"/>
        </w:rPr>
        <w:t>季度</w:t>
      </w:r>
      <w:r w:rsidRPr="00582724">
        <w:rPr>
          <w:rFonts w:ascii="黑体" w:eastAsia="黑体" w:hAnsi="黑体" w:hint="eastAsia"/>
          <w:sz w:val="28"/>
        </w:rPr>
        <w:t>战略性新兴产业</w:t>
      </w:r>
      <w:r w:rsidR="00DB0792">
        <w:rPr>
          <w:rFonts w:ascii="黑体" w:eastAsia="黑体" w:hAnsi="黑体" w:hint="eastAsia"/>
          <w:sz w:val="28"/>
        </w:rPr>
        <w:t>总体</w:t>
      </w:r>
      <w:r w:rsidRPr="00582724">
        <w:rPr>
          <w:rFonts w:ascii="黑体" w:eastAsia="黑体" w:hAnsi="黑体" w:hint="eastAsia"/>
          <w:sz w:val="28"/>
        </w:rPr>
        <w:t>景气指数</w:t>
      </w:r>
      <w:r w:rsidR="00391F9E">
        <w:rPr>
          <w:rFonts w:ascii="黑体" w:eastAsia="黑体" w:hAnsi="黑体" w:hint="eastAsia"/>
          <w:sz w:val="28"/>
        </w:rPr>
        <w:t>持续下降</w:t>
      </w:r>
    </w:p>
    <w:p w:rsidR="00F44691" w:rsidRPr="00582724" w:rsidRDefault="00F44691" w:rsidP="00582724">
      <w:pPr>
        <w:spacing w:line="360" w:lineRule="auto"/>
        <w:ind w:firstLineChars="200" w:firstLine="440"/>
        <w:rPr>
          <w:rFonts w:ascii="仿宋_GB2312" w:eastAsia="仿宋_GB2312"/>
          <w:sz w:val="22"/>
        </w:rPr>
      </w:pPr>
    </w:p>
    <w:p w:rsidR="00F44691" w:rsidRPr="00C63714" w:rsidRDefault="00F44691" w:rsidP="00582724">
      <w:pPr>
        <w:spacing w:line="360" w:lineRule="auto"/>
        <w:ind w:firstLineChars="200" w:firstLine="442"/>
        <w:rPr>
          <w:rFonts w:ascii="仿宋_GB2312" w:eastAsia="仿宋_GB2312"/>
          <w:b/>
          <w:sz w:val="22"/>
        </w:rPr>
      </w:pPr>
      <w:r w:rsidRPr="00C63714">
        <w:rPr>
          <w:rFonts w:ascii="仿宋_GB2312" w:eastAsia="仿宋_GB2312" w:hint="eastAsia"/>
          <w:b/>
          <w:sz w:val="22"/>
        </w:rPr>
        <w:t>一、总体情况</w:t>
      </w:r>
    </w:p>
    <w:p w:rsidR="00C63714" w:rsidRDefault="00C63714" w:rsidP="00582724">
      <w:pPr>
        <w:spacing w:line="360" w:lineRule="auto"/>
        <w:ind w:firstLineChars="200" w:firstLine="440"/>
        <w:rPr>
          <w:rFonts w:ascii="仿宋_GB2312" w:eastAsia="仿宋_GB2312"/>
          <w:sz w:val="22"/>
        </w:rPr>
      </w:pPr>
      <w:r>
        <w:rPr>
          <w:rFonts w:ascii="仿宋_GB2312" w:eastAsia="仿宋_GB2312" w:hint="eastAsia"/>
          <w:sz w:val="22"/>
        </w:rPr>
        <w:t>2016年一</w:t>
      </w:r>
      <w:r w:rsidR="00B11D43" w:rsidRPr="00C63714">
        <w:rPr>
          <w:rFonts w:ascii="仿宋_GB2312" w:eastAsia="仿宋_GB2312" w:hint="eastAsia"/>
          <w:sz w:val="22"/>
        </w:rPr>
        <w:t>季度</w:t>
      </w:r>
      <w:r w:rsidR="007359D7">
        <w:rPr>
          <w:rFonts w:ascii="仿宋_GB2312" w:eastAsia="仿宋_GB2312" w:hint="eastAsia"/>
          <w:sz w:val="22"/>
        </w:rPr>
        <w:t>，</w:t>
      </w:r>
      <w:r w:rsidR="00A51344" w:rsidRPr="00C63714">
        <w:rPr>
          <w:rFonts w:ascii="仿宋_GB2312" w:eastAsia="仿宋_GB2312" w:hint="eastAsia"/>
          <w:sz w:val="22"/>
        </w:rPr>
        <w:t>战略性新兴产业景气指数</w:t>
      </w:r>
      <w:r>
        <w:rPr>
          <w:rFonts w:ascii="仿宋_GB2312" w:eastAsia="仿宋_GB2312" w:hint="eastAsia"/>
          <w:sz w:val="22"/>
        </w:rPr>
        <w:t>依旧</w:t>
      </w:r>
      <w:r w:rsidR="00A51344" w:rsidRPr="00C63714">
        <w:rPr>
          <w:rFonts w:ascii="仿宋_GB2312" w:eastAsia="仿宋_GB2312" w:hint="eastAsia"/>
          <w:sz w:val="22"/>
        </w:rPr>
        <w:t>延续下滑态势，行业景气指数</w:t>
      </w:r>
      <w:r w:rsidR="00E770EF">
        <w:rPr>
          <w:rFonts w:ascii="仿宋_GB2312" w:eastAsia="仿宋_GB2312" w:hint="eastAsia"/>
          <w:sz w:val="22"/>
        </w:rPr>
        <w:t>由2015年四季度的141.1</w:t>
      </w:r>
      <w:r w:rsidR="00A51344" w:rsidRPr="00C63714">
        <w:rPr>
          <w:rFonts w:ascii="仿宋_GB2312" w:eastAsia="仿宋_GB2312" w:hint="eastAsia"/>
          <w:sz w:val="22"/>
        </w:rPr>
        <w:t>下探到</w:t>
      </w:r>
      <w:r>
        <w:rPr>
          <w:rFonts w:ascii="仿宋_GB2312" w:eastAsia="仿宋_GB2312" w:hint="eastAsia"/>
          <w:sz w:val="22"/>
        </w:rPr>
        <w:t>138.5</w:t>
      </w:r>
      <w:r w:rsidR="002E471A" w:rsidRPr="00C63714">
        <w:rPr>
          <w:rFonts w:ascii="仿宋_GB2312" w:eastAsia="仿宋_GB2312" w:hint="eastAsia"/>
          <w:sz w:val="22"/>
        </w:rPr>
        <w:t>（见图1）</w:t>
      </w:r>
      <w:r w:rsidR="00A51344" w:rsidRPr="00C63714">
        <w:rPr>
          <w:rFonts w:ascii="仿宋_GB2312" w:eastAsia="仿宋_GB2312" w:hint="eastAsia"/>
          <w:sz w:val="22"/>
        </w:rPr>
        <w:t>，</w:t>
      </w:r>
      <w:r>
        <w:rPr>
          <w:rFonts w:ascii="仿宋_GB2312" w:eastAsia="仿宋_GB2312" w:hint="eastAsia"/>
          <w:sz w:val="22"/>
        </w:rPr>
        <w:t>为</w:t>
      </w:r>
      <w:r w:rsidR="005B058A">
        <w:rPr>
          <w:rFonts w:ascii="仿宋_GB2312" w:eastAsia="仿宋_GB2312" w:hint="eastAsia"/>
          <w:sz w:val="22"/>
        </w:rPr>
        <w:t>2014年</w:t>
      </w:r>
      <w:r w:rsidR="004C799E">
        <w:rPr>
          <w:rFonts w:ascii="仿宋_GB2312" w:eastAsia="仿宋_GB2312" w:hint="eastAsia"/>
          <w:sz w:val="22"/>
        </w:rPr>
        <w:t>以来</w:t>
      </w:r>
      <w:r>
        <w:rPr>
          <w:rFonts w:ascii="仿宋_GB2312" w:eastAsia="仿宋_GB2312" w:hint="eastAsia"/>
          <w:sz w:val="22"/>
        </w:rPr>
        <w:t>的</w:t>
      </w:r>
      <w:r w:rsidR="002E471A" w:rsidRPr="00C63714">
        <w:rPr>
          <w:rFonts w:ascii="仿宋_GB2312" w:eastAsia="仿宋_GB2312" w:hint="eastAsia"/>
          <w:sz w:val="22"/>
        </w:rPr>
        <w:t>最低点。</w:t>
      </w:r>
      <w:r w:rsidR="00A51344" w:rsidRPr="00C63714">
        <w:rPr>
          <w:rFonts w:ascii="仿宋_GB2312" w:eastAsia="仿宋_GB2312" w:hint="eastAsia"/>
          <w:sz w:val="22"/>
        </w:rPr>
        <w:t>企业家信心指数</w:t>
      </w:r>
      <w:r w:rsidR="002E471A" w:rsidRPr="00C63714">
        <w:rPr>
          <w:rFonts w:ascii="仿宋_GB2312" w:eastAsia="仿宋_GB2312" w:hint="eastAsia"/>
          <w:sz w:val="22"/>
        </w:rPr>
        <w:t>则</w:t>
      </w:r>
      <w:r w:rsidR="00A56281">
        <w:rPr>
          <w:rFonts w:ascii="仿宋_GB2312" w:eastAsia="仿宋_GB2312" w:hint="eastAsia"/>
          <w:sz w:val="22"/>
        </w:rPr>
        <w:t>保持上扬</w:t>
      </w:r>
      <w:r w:rsidR="00A51344" w:rsidRPr="00C63714">
        <w:rPr>
          <w:rFonts w:ascii="仿宋_GB2312" w:eastAsia="仿宋_GB2312" w:hint="eastAsia"/>
          <w:sz w:val="22"/>
        </w:rPr>
        <w:t>，</w:t>
      </w:r>
      <w:r w:rsidR="00E770EF">
        <w:rPr>
          <w:rFonts w:ascii="仿宋_GB2312" w:eastAsia="仿宋_GB2312" w:hint="eastAsia"/>
          <w:sz w:val="22"/>
        </w:rPr>
        <w:t>由上季度的140.3上升</w:t>
      </w:r>
      <w:r w:rsidR="00015A15" w:rsidRPr="00C63714">
        <w:rPr>
          <w:rFonts w:ascii="仿宋_GB2312" w:eastAsia="仿宋_GB2312" w:hint="eastAsia"/>
          <w:sz w:val="22"/>
        </w:rPr>
        <w:t>为</w:t>
      </w:r>
      <w:r>
        <w:rPr>
          <w:rFonts w:ascii="仿宋_GB2312" w:eastAsia="仿宋_GB2312" w:hint="eastAsia"/>
          <w:sz w:val="22"/>
        </w:rPr>
        <w:t>144.8</w:t>
      </w:r>
      <w:r w:rsidR="002E471A" w:rsidRPr="00C63714">
        <w:rPr>
          <w:rFonts w:ascii="仿宋_GB2312" w:eastAsia="仿宋_GB2312" w:hint="eastAsia"/>
          <w:sz w:val="22"/>
        </w:rPr>
        <w:t>，</w:t>
      </w:r>
      <w:r w:rsidR="00E770EF">
        <w:rPr>
          <w:rFonts w:ascii="仿宋_GB2312" w:eastAsia="仿宋_GB2312" w:hint="eastAsia"/>
          <w:sz w:val="22"/>
        </w:rPr>
        <w:t>但企业家信心指数略低于去年</w:t>
      </w:r>
      <w:bookmarkStart w:id="0" w:name="_GoBack"/>
      <w:bookmarkEnd w:id="0"/>
      <w:r w:rsidR="00E770EF">
        <w:rPr>
          <w:rFonts w:ascii="仿宋_GB2312" w:eastAsia="仿宋_GB2312" w:hint="eastAsia"/>
          <w:sz w:val="22"/>
        </w:rPr>
        <w:t>同期。</w:t>
      </w:r>
    </w:p>
    <w:p w:rsidR="00FE309E" w:rsidRDefault="00117EF8" w:rsidP="0016368A">
      <w:pPr>
        <w:spacing w:line="360" w:lineRule="auto"/>
        <w:ind w:firstLineChars="200" w:firstLine="440"/>
        <w:rPr>
          <w:rFonts w:ascii="仿宋_GB2312" w:eastAsia="仿宋_GB2312"/>
          <w:sz w:val="22"/>
        </w:rPr>
      </w:pPr>
      <w:r>
        <w:rPr>
          <w:rFonts w:ascii="仿宋_GB2312" w:eastAsia="仿宋_GB2312" w:hint="eastAsia"/>
          <w:sz w:val="22"/>
        </w:rPr>
        <w:t>从走势情况来看，本季度企业家信心指数和行业景气指数继续延续上季度的走势不一致态势，且二者的差值扩大。</w:t>
      </w:r>
      <w:r w:rsidR="00434C8E">
        <w:rPr>
          <w:rFonts w:ascii="仿宋_GB2312" w:eastAsia="仿宋_GB2312" w:hint="eastAsia"/>
          <w:sz w:val="22"/>
        </w:rPr>
        <w:t>企业家普遍认为行业整体景气下滑，但对自身企业发展的信心却有增无减，估计同参与调查的企业竞争实力较强有关。从总体来看，二者均处于较为景气区间。</w:t>
      </w:r>
    </w:p>
    <w:p w:rsidR="00DF3791" w:rsidRDefault="00DF3791" w:rsidP="0016368A">
      <w:pPr>
        <w:spacing w:line="360" w:lineRule="auto"/>
        <w:ind w:firstLineChars="200" w:firstLine="440"/>
        <w:rPr>
          <w:rFonts w:ascii="仿宋_GB2312" w:eastAsia="仿宋_GB2312"/>
          <w:sz w:val="22"/>
        </w:rPr>
      </w:pPr>
    </w:p>
    <w:p w:rsidR="00E770EF" w:rsidRPr="00F47708" w:rsidRDefault="00E770EF" w:rsidP="00E770EF">
      <w:pPr>
        <w:spacing w:line="360" w:lineRule="auto"/>
        <w:ind w:firstLineChars="67" w:firstLine="141"/>
        <w:rPr>
          <w:rFonts w:ascii="仿宋_GB2312" w:eastAsia="仿宋_GB2312"/>
          <w:sz w:val="22"/>
          <w:highlight w:val="lightGray"/>
        </w:rPr>
      </w:pPr>
      <w:r>
        <w:rPr>
          <w:noProof/>
        </w:rPr>
        <w:drawing>
          <wp:inline distT="0" distB="0" distL="0" distR="0" wp14:anchorId="70DE517A" wp14:editId="5BBD8D33">
            <wp:extent cx="5076825" cy="2743200"/>
            <wp:effectExtent l="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37AB8" w:rsidRPr="00E770EF" w:rsidRDefault="00537AB8" w:rsidP="00537AB8">
      <w:pPr>
        <w:spacing w:line="360" w:lineRule="auto"/>
        <w:jc w:val="center"/>
        <w:rPr>
          <w:rFonts w:asciiTheme="minorEastAsia" w:hAnsiTheme="minorEastAsia"/>
          <w:sz w:val="22"/>
        </w:rPr>
      </w:pPr>
      <w:r w:rsidRPr="00E770EF">
        <w:rPr>
          <w:rFonts w:asciiTheme="minorEastAsia" w:hAnsiTheme="minorEastAsia" w:hint="eastAsia"/>
          <w:sz w:val="20"/>
        </w:rPr>
        <w:t xml:space="preserve">图1 </w:t>
      </w:r>
      <w:r w:rsidR="005B6FC9" w:rsidRPr="00E770EF">
        <w:rPr>
          <w:rFonts w:asciiTheme="minorEastAsia" w:hAnsiTheme="minorEastAsia" w:hint="eastAsia"/>
          <w:sz w:val="20"/>
        </w:rPr>
        <w:t>2014年以来战略性新兴产业</w:t>
      </w:r>
      <w:r w:rsidRPr="00E770EF">
        <w:rPr>
          <w:rFonts w:asciiTheme="minorEastAsia" w:hAnsiTheme="minorEastAsia" w:hint="eastAsia"/>
          <w:sz w:val="20"/>
        </w:rPr>
        <w:t>企业家信心指数和行业景气指数时间序列</w:t>
      </w:r>
    </w:p>
    <w:p w:rsidR="006B18CD" w:rsidRPr="00F47708" w:rsidRDefault="006B18CD" w:rsidP="00582724">
      <w:pPr>
        <w:spacing w:line="360" w:lineRule="auto"/>
        <w:ind w:firstLineChars="200" w:firstLine="440"/>
        <w:rPr>
          <w:rFonts w:ascii="仿宋_GB2312" w:eastAsia="仿宋_GB2312"/>
          <w:sz w:val="22"/>
          <w:highlight w:val="lightGray"/>
        </w:rPr>
      </w:pPr>
    </w:p>
    <w:p w:rsidR="006B18CD" w:rsidRDefault="00EB7639" w:rsidP="00582724">
      <w:pPr>
        <w:spacing w:line="360" w:lineRule="auto"/>
        <w:ind w:firstLineChars="200" w:firstLine="440"/>
        <w:rPr>
          <w:rFonts w:ascii="仿宋_GB2312" w:eastAsia="仿宋_GB2312"/>
          <w:sz w:val="22"/>
        </w:rPr>
      </w:pPr>
      <w:r w:rsidRPr="00334887">
        <w:rPr>
          <w:rFonts w:ascii="仿宋_GB2312" w:eastAsia="仿宋_GB2312" w:hint="eastAsia"/>
          <w:sz w:val="22"/>
        </w:rPr>
        <w:t>从</w:t>
      </w:r>
      <w:proofErr w:type="gramStart"/>
      <w:r w:rsidR="00B71E06" w:rsidRPr="00334887">
        <w:rPr>
          <w:rFonts w:ascii="仿宋_GB2312" w:eastAsia="仿宋_GB2312" w:hint="eastAsia"/>
          <w:sz w:val="22"/>
        </w:rPr>
        <w:t>分类总</w:t>
      </w:r>
      <w:proofErr w:type="gramEnd"/>
      <w:r w:rsidR="00B71E06" w:rsidRPr="00334887">
        <w:rPr>
          <w:rFonts w:ascii="仿宋_GB2312" w:eastAsia="仿宋_GB2312" w:hint="eastAsia"/>
          <w:sz w:val="22"/>
        </w:rPr>
        <w:t>指标来看，产销</w:t>
      </w:r>
      <w:r w:rsidR="00334887" w:rsidRPr="00334887">
        <w:rPr>
          <w:rFonts w:ascii="仿宋_GB2312" w:eastAsia="仿宋_GB2312" w:hint="eastAsia"/>
          <w:sz w:val="22"/>
        </w:rPr>
        <w:t>有所下降</w:t>
      </w:r>
      <w:r w:rsidR="00B71E06" w:rsidRPr="00334887">
        <w:rPr>
          <w:rFonts w:ascii="仿宋_GB2312" w:eastAsia="仿宋_GB2312" w:hint="eastAsia"/>
          <w:sz w:val="22"/>
        </w:rPr>
        <w:t>，</w:t>
      </w:r>
      <w:r w:rsidR="00334887" w:rsidRPr="00334887">
        <w:rPr>
          <w:rFonts w:ascii="仿宋_GB2312" w:eastAsia="仿宋_GB2312" w:hint="eastAsia"/>
          <w:sz w:val="22"/>
        </w:rPr>
        <w:t>资金活跃度略有上升</w:t>
      </w:r>
      <w:r w:rsidRPr="00334887">
        <w:rPr>
          <w:rFonts w:ascii="仿宋_GB2312" w:eastAsia="仿宋_GB2312" w:hint="eastAsia"/>
          <w:sz w:val="22"/>
        </w:rPr>
        <w:t>，</w:t>
      </w:r>
      <w:r w:rsidR="00334887" w:rsidRPr="00334887">
        <w:rPr>
          <w:rFonts w:ascii="仿宋_GB2312" w:eastAsia="仿宋_GB2312" w:hint="eastAsia"/>
          <w:sz w:val="22"/>
        </w:rPr>
        <w:t>创新活力降低</w:t>
      </w:r>
      <w:r w:rsidR="00334887">
        <w:rPr>
          <w:rFonts w:ascii="仿宋_GB2312" w:eastAsia="仿宋_GB2312" w:hint="eastAsia"/>
          <w:sz w:val="22"/>
        </w:rPr>
        <w:t>，政策环境持续良好，企业对二</w:t>
      </w:r>
      <w:r w:rsidRPr="00334887">
        <w:rPr>
          <w:rFonts w:ascii="仿宋_GB2312" w:eastAsia="仿宋_GB2312" w:hint="eastAsia"/>
          <w:sz w:val="22"/>
        </w:rPr>
        <w:t>季度</w:t>
      </w:r>
      <w:r w:rsidR="00334887">
        <w:rPr>
          <w:rFonts w:ascii="仿宋_GB2312" w:eastAsia="仿宋_GB2312" w:hint="eastAsia"/>
          <w:sz w:val="22"/>
        </w:rPr>
        <w:t>行业</w:t>
      </w:r>
      <w:r w:rsidR="00AB67A7" w:rsidRPr="00334887">
        <w:rPr>
          <w:rFonts w:ascii="仿宋_GB2312" w:eastAsia="仿宋_GB2312" w:hint="eastAsia"/>
          <w:sz w:val="22"/>
        </w:rPr>
        <w:t>景气</w:t>
      </w:r>
      <w:r w:rsidRPr="00334887">
        <w:rPr>
          <w:rFonts w:ascii="仿宋_GB2312" w:eastAsia="仿宋_GB2312" w:hint="eastAsia"/>
          <w:sz w:val="22"/>
        </w:rPr>
        <w:t>预期</w:t>
      </w:r>
      <w:r w:rsidR="00334887">
        <w:rPr>
          <w:rFonts w:ascii="仿宋_GB2312" w:eastAsia="仿宋_GB2312" w:hint="eastAsia"/>
          <w:sz w:val="22"/>
        </w:rPr>
        <w:t>上涨，企业家</w:t>
      </w:r>
      <w:r w:rsidR="00AB67A7" w:rsidRPr="00334887">
        <w:rPr>
          <w:rFonts w:ascii="仿宋_GB2312" w:eastAsia="仿宋_GB2312" w:hint="eastAsia"/>
          <w:sz w:val="22"/>
        </w:rPr>
        <w:t>普遍对自身发展抱有较强信心。</w:t>
      </w:r>
    </w:p>
    <w:p w:rsidR="00B71E06" w:rsidRPr="004529EE" w:rsidRDefault="00384695" w:rsidP="00582724">
      <w:pPr>
        <w:spacing w:line="360" w:lineRule="auto"/>
        <w:ind w:firstLineChars="200" w:firstLine="442"/>
        <w:rPr>
          <w:rFonts w:ascii="仿宋_GB2312" w:eastAsia="仿宋_GB2312"/>
          <w:b/>
          <w:sz w:val="22"/>
        </w:rPr>
      </w:pPr>
      <w:r w:rsidRPr="004529EE">
        <w:rPr>
          <w:rFonts w:ascii="仿宋_GB2312" w:eastAsia="仿宋_GB2312" w:hint="eastAsia"/>
          <w:b/>
          <w:sz w:val="22"/>
        </w:rPr>
        <w:t>1</w:t>
      </w:r>
      <w:r w:rsidR="00B71E06" w:rsidRPr="004529EE">
        <w:rPr>
          <w:rFonts w:ascii="仿宋_GB2312" w:eastAsia="仿宋_GB2312" w:hint="eastAsia"/>
          <w:b/>
          <w:sz w:val="22"/>
        </w:rPr>
        <w:t>、产销</w:t>
      </w:r>
      <w:r w:rsidR="001A0DEF" w:rsidRPr="004529EE">
        <w:rPr>
          <w:rFonts w:ascii="仿宋_GB2312" w:eastAsia="仿宋_GB2312" w:hint="eastAsia"/>
          <w:b/>
          <w:sz w:val="22"/>
        </w:rPr>
        <w:t>景气指数</w:t>
      </w:r>
      <w:r w:rsidR="004529EE">
        <w:rPr>
          <w:rFonts w:ascii="仿宋_GB2312" w:eastAsia="仿宋_GB2312" w:hint="eastAsia"/>
          <w:b/>
          <w:sz w:val="22"/>
        </w:rPr>
        <w:t>下降</w:t>
      </w:r>
      <w:r w:rsidR="00714CA9">
        <w:rPr>
          <w:rFonts w:ascii="仿宋_GB2312" w:eastAsia="仿宋_GB2312" w:hint="eastAsia"/>
          <w:b/>
          <w:sz w:val="22"/>
        </w:rPr>
        <w:t>，企业经济效益有所减少</w:t>
      </w:r>
    </w:p>
    <w:p w:rsidR="006E680E" w:rsidRDefault="007359D7" w:rsidP="00B97F11">
      <w:pPr>
        <w:spacing w:line="360" w:lineRule="auto"/>
        <w:ind w:firstLineChars="200" w:firstLine="440"/>
        <w:rPr>
          <w:rFonts w:ascii="仿宋_GB2312" w:eastAsia="仿宋_GB2312"/>
          <w:sz w:val="22"/>
        </w:rPr>
      </w:pPr>
      <w:r>
        <w:rPr>
          <w:rFonts w:ascii="仿宋_GB2312" w:eastAsia="仿宋_GB2312" w:hint="eastAsia"/>
          <w:sz w:val="22"/>
        </w:rPr>
        <w:t>一季度，战略性新兴产业</w:t>
      </w:r>
      <w:r w:rsidR="00FE309E" w:rsidRPr="00FE309E">
        <w:rPr>
          <w:rFonts w:ascii="仿宋_GB2312" w:eastAsia="仿宋_GB2312" w:hint="eastAsia"/>
          <w:sz w:val="22"/>
        </w:rPr>
        <w:t>生产指标</w:t>
      </w:r>
      <w:r w:rsidR="00FE309E">
        <w:rPr>
          <w:rFonts w:ascii="仿宋_GB2312" w:eastAsia="仿宋_GB2312" w:hint="eastAsia"/>
          <w:sz w:val="22"/>
        </w:rPr>
        <w:t>由上季度的120.4下降至107.7</w:t>
      </w:r>
      <w:r w:rsidR="008A1ABD">
        <w:rPr>
          <w:rFonts w:ascii="仿宋_GB2312" w:eastAsia="仿宋_GB2312" w:hint="eastAsia"/>
          <w:sz w:val="22"/>
        </w:rPr>
        <w:t>（</w:t>
      </w:r>
      <w:r w:rsidR="00137AE2">
        <w:rPr>
          <w:rFonts w:ascii="仿宋_GB2312" w:eastAsia="仿宋_GB2312" w:hint="eastAsia"/>
          <w:sz w:val="22"/>
        </w:rPr>
        <w:t>见图2</w:t>
      </w:r>
      <w:r w:rsidR="008A1ABD">
        <w:rPr>
          <w:rFonts w:ascii="仿宋_GB2312" w:eastAsia="仿宋_GB2312" w:hint="eastAsia"/>
          <w:sz w:val="22"/>
        </w:rPr>
        <w:t>）</w:t>
      </w:r>
      <w:r w:rsidR="00FE309E">
        <w:rPr>
          <w:rFonts w:ascii="仿宋_GB2312" w:eastAsia="仿宋_GB2312" w:hint="eastAsia"/>
          <w:sz w:val="22"/>
        </w:rPr>
        <w:t>，成为</w:t>
      </w:r>
      <w:r w:rsidR="005B058A">
        <w:rPr>
          <w:rFonts w:ascii="仿宋_GB2312" w:eastAsia="仿宋_GB2312" w:hint="eastAsia"/>
          <w:sz w:val="22"/>
        </w:rPr>
        <w:t>2014年</w:t>
      </w:r>
      <w:r w:rsidR="00FE309E">
        <w:rPr>
          <w:rFonts w:ascii="仿宋_GB2312" w:eastAsia="仿宋_GB2312" w:hint="eastAsia"/>
          <w:sz w:val="22"/>
        </w:rPr>
        <w:t>以来的</w:t>
      </w:r>
      <w:r w:rsidR="005B058A">
        <w:rPr>
          <w:rFonts w:ascii="仿宋_GB2312" w:eastAsia="仿宋_GB2312" w:hint="eastAsia"/>
          <w:sz w:val="22"/>
        </w:rPr>
        <w:t>最低水平</w:t>
      </w:r>
      <w:r w:rsidR="000B5E37">
        <w:rPr>
          <w:rFonts w:ascii="仿宋_GB2312" w:eastAsia="仿宋_GB2312" w:hint="eastAsia"/>
          <w:sz w:val="22"/>
        </w:rPr>
        <w:t>，延续去年以来生产总指数低于同期的态势。从主要生产指标来看，</w:t>
      </w:r>
      <w:r w:rsidR="008A1ABD">
        <w:rPr>
          <w:rFonts w:ascii="仿宋_GB2312" w:eastAsia="仿宋_GB2312" w:hint="eastAsia"/>
          <w:sz w:val="22"/>
        </w:rPr>
        <w:t>用工景气指数</w:t>
      </w:r>
      <w:r w:rsidR="00300259">
        <w:rPr>
          <w:rFonts w:ascii="仿宋_GB2312" w:eastAsia="仿宋_GB2312" w:hint="eastAsia"/>
          <w:sz w:val="22"/>
        </w:rPr>
        <w:t>由上季度的126.4</w:t>
      </w:r>
      <w:r w:rsidR="008A1ABD">
        <w:rPr>
          <w:rFonts w:ascii="仿宋_GB2312" w:eastAsia="仿宋_GB2312" w:hint="eastAsia"/>
          <w:sz w:val="22"/>
        </w:rPr>
        <w:t>下降至107.2（</w:t>
      </w:r>
      <w:r w:rsidR="00137AE2">
        <w:rPr>
          <w:rFonts w:ascii="仿宋_GB2312" w:eastAsia="仿宋_GB2312" w:hint="eastAsia"/>
          <w:sz w:val="22"/>
        </w:rPr>
        <w:t>见图3</w:t>
      </w:r>
      <w:r w:rsidR="008A1ABD">
        <w:rPr>
          <w:rFonts w:ascii="仿宋_GB2312" w:eastAsia="仿宋_GB2312" w:hint="eastAsia"/>
          <w:sz w:val="22"/>
        </w:rPr>
        <w:t>），</w:t>
      </w:r>
      <w:r w:rsidR="00332A1A">
        <w:rPr>
          <w:rFonts w:ascii="仿宋_GB2312" w:eastAsia="仿宋_GB2312" w:hint="eastAsia"/>
          <w:sz w:val="22"/>
        </w:rPr>
        <w:t>位于微景气区间；</w:t>
      </w:r>
      <w:r w:rsidR="008A1ABD">
        <w:rPr>
          <w:rFonts w:ascii="仿宋_GB2312" w:eastAsia="仿宋_GB2312" w:hint="eastAsia"/>
          <w:sz w:val="22"/>
        </w:rPr>
        <w:t>设备利</w:t>
      </w:r>
      <w:r w:rsidR="008A1ABD">
        <w:rPr>
          <w:rFonts w:ascii="仿宋_GB2312" w:eastAsia="仿宋_GB2312" w:hint="eastAsia"/>
          <w:sz w:val="22"/>
        </w:rPr>
        <w:lastRenderedPageBreak/>
        <w:t>用率指数</w:t>
      </w:r>
      <w:r w:rsidR="00300259">
        <w:rPr>
          <w:rFonts w:ascii="仿宋_GB2312" w:eastAsia="仿宋_GB2312" w:hint="eastAsia"/>
          <w:sz w:val="22"/>
        </w:rPr>
        <w:t>由上季度的132.7</w:t>
      </w:r>
      <w:r w:rsidR="008A1ABD">
        <w:rPr>
          <w:rFonts w:ascii="仿宋_GB2312" w:eastAsia="仿宋_GB2312" w:hint="eastAsia"/>
          <w:sz w:val="22"/>
        </w:rPr>
        <w:t>下降至115，</w:t>
      </w:r>
      <w:r w:rsidR="00332A1A">
        <w:rPr>
          <w:rFonts w:ascii="仿宋_GB2312" w:eastAsia="仿宋_GB2312" w:hint="eastAsia"/>
          <w:sz w:val="22"/>
        </w:rPr>
        <w:t>处于相对景气水平；</w:t>
      </w:r>
      <w:r w:rsidR="008A1ABD">
        <w:rPr>
          <w:rFonts w:ascii="仿宋_GB2312" w:eastAsia="仿宋_GB2312" w:hint="eastAsia"/>
          <w:sz w:val="22"/>
        </w:rPr>
        <w:t>库存指数</w:t>
      </w:r>
      <w:r w:rsidR="00332A1A">
        <w:rPr>
          <w:rFonts w:ascii="仿宋_GB2312" w:eastAsia="仿宋_GB2312" w:hint="eastAsia"/>
          <w:sz w:val="22"/>
        </w:rPr>
        <w:t>虽处于不景气区间，</w:t>
      </w:r>
      <w:proofErr w:type="gramStart"/>
      <w:r w:rsidR="00457A1C">
        <w:rPr>
          <w:rFonts w:ascii="仿宋_GB2312" w:eastAsia="仿宋_GB2312" w:hint="eastAsia"/>
          <w:sz w:val="22"/>
        </w:rPr>
        <w:t>受去库存</w:t>
      </w:r>
      <w:proofErr w:type="gramEnd"/>
      <w:r w:rsidR="00457A1C">
        <w:rPr>
          <w:rFonts w:ascii="仿宋_GB2312" w:eastAsia="仿宋_GB2312" w:hint="eastAsia"/>
          <w:sz w:val="22"/>
        </w:rPr>
        <w:t>政策影响，比上季度上升3.5，达到98.7</w:t>
      </w:r>
      <w:r w:rsidR="006E680E">
        <w:rPr>
          <w:rFonts w:ascii="仿宋_GB2312" w:eastAsia="仿宋_GB2312" w:hint="eastAsia"/>
          <w:sz w:val="22"/>
        </w:rPr>
        <w:t>。总体来看，各生产指标的走势与季节性下降规律相符</w:t>
      </w:r>
      <w:r w:rsidR="00B97F11">
        <w:rPr>
          <w:rFonts w:ascii="仿宋_GB2312" w:eastAsia="仿宋_GB2312" w:hint="eastAsia"/>
          <w:sz w:val="22"/>
        </w:rPr>
        <w:t>，但与去年同期相比有较大降幅。</w:t>
      </w:r>
    </w:p>
    <w:p w:rsidR="00F46A8E" w:rsidRPr="00F46A8E" w:rsidRDefault="00F46A8E" w:rsidP="00B97F11">
      <w:pPr>
        <w:spacing w:line="360" w:lineRule="auto"/>
        <w:ind w:firstLineChars="200" w:firstLine="440"/>
        <w:rPr>
          <w:rFonts w:ascii="仿宋_GB2312" w:eastAsia="仿宋_GB2312"/>
          <w:sz w:val="22"/>
        </w:rPr>
      </w:pPr>
    </w:p>
    <w:p w:rsidR="00FE309E" w:rsidRPr="00F47708" w:rsidRDefault="00FE309E" w:rsidP="00FE309E">
      <w:pPr>
        <w:spacing w:line="360" w:lineRule="auto"/>
        <w:rPr>
          <w:rFonts w:ascii="仿宋_GB2312" w:eastAsia="仿宋_GB2312"/>
          <w:sz w:val="22"/>
          <w:highlight w:val="lightGray"/>
        </w:rPr>
      </w:pPr>
      <w:r>
        <w:rPr>
          <w:noProof/>
        </w:rPr>
        <w:drawing>
          <wp:inline distT="0" distB="0" distL="0" distR="0" wp14:anchorId="43185CAD" wp14:editId="09D262E9">
            <wp:extent cx="5172075" cy="27432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63AE" w:rsidRDefault="007163AE" w:rsidP="007163AE">
      <w:pPr>
        <w:spacing w:line="360" w:lineRule="auto"/>
        <w:jc w:val="center"/>
        <w:rPr>
          <w:rFonts w:asciiTheme="minorEastAsia" w:hAnsiTheme="minorEastAsia"/>
          <w:sz w:val="20"/>
        </w:rPr>
      </w:pPr>
      <w:r w:rsidRPr="00FE309E">
        <w:rPr>
          <w:rFonts w:asciiTheme="minorEastAsia" w:hAnsiTheme="minorEastAsia" w:hint="eastAsia"/>
          <w:sz w:val="20"/>
        </w:rPr>
        <w:t>图2</w:t>
      </w:r>
      <w:r w:rsidR="005B6FC9" w:rsidRPr="00FE309E">
        <w:rPr>
          <w:rFonts w:asciiTheme="minorEastAsia" w:hAnsiTheme="minorEastAsia" w:hint="eastAsia"/>
          <w:sz w:val="20"/>
        </w:rPr>
        <w:t xml:space="preserve"> 2014年以来</w:t>
      </w:r>
      <w:r w:rsidRPr="00FE309E">
        <w:rPr>
          <w:rFonts w:asciiTheme="minorEastAsia" w:hAnsiTheme="minorEastAsia" w:hint="eastAsia"/>
          <w:sz w:val="20"/>
        </w:rPr>
        <w:t>战略性新兴产业生产</w:t>
      </w:r>
      <w:r w:rsidR="00110ECE" w:rsidRPr="00FE309E">
        <w:rPr>
          <w:rFonts w:asciiTheme="minorEastAsia" w:hAnsiTheme="minorEastAsia" w:hint="eastAsia"/>
          <w:sz w:val="20"/>
        </w:rPr>
        <w:t>景气</w:t>
      </w:r>
      <w:r w:rsidRPr="00FE309E">
        <w:rPr>
          <w:rFonts w:asciiTheme="minorEastAsia" w:hAnsiTheme="minorEastAsia" w:hint="eastAsia"/>
          <w:sz w:val="20"/>
        </w:rPr>
        <w:t>总指数</w:t>
      </w:r>
    </w:p>
    <w:p w:rsidR="005A5012" w:rsidRDefault="005A5012" w:rsidP="007163AE">
      <w:pPr>
        <w:spacing w:line="360" w:lineRule="auto"/>
        <w:jc w:val="center"/>
        <w:rPr>
          <w:rFonts w:asciiTheme="minorEastAsia" w:hAnsiTheme="minorEastAsia"/>
          <w:sz w:val="20"/>
        </w:rPr>
      </w:pPr>
    </w:p>
    <w:p w:rsidR="005A5012" w:rsidRPr="00FE309E" w:rsidRDefault="005A5012" w:rsidP="007163AE">
      <w:pPr>
        <w:spacing w:line="360" w:lineRule="auto"/>
        <w:jc w:val="center"/>
        <w:rPr>
          <w:rFonts w:ascii="仿宋_GB2312" w:eastAsia="仿宋_GB2312"/>
          <w:sz w:val="22"/>
        </w:rPr>
      </w:pPr>
      <w:r>
        <w:rPr>
          <w:noProof/>
        </w:rPr>
        <w:drawing>
          <wp:inline distT="0" distB="0" distL="0" distR="0" wp14:anchorId="30148242" wp14:editId="33886A7F">
            <wp:extent cx="5153025" cy="2743200"/>
            <wp:effectExtent l="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163AE" w:rsidRDefault="00110ECE" w:rsidP="00110ECE">
      <w:pPr>
        <w:spacing w:line="360" w:lineRule="auto"/>
        <w:jc w:val="center"/>
        <w:rPr>
          <w:rFonts w:asciiTheme="minorEastAsia" w:hAnsiTheme="minorEastAsia"/>
          <w:sz w:val="20"/>
        </w:rPr>
      </w:pPr>
      <w:r w:rsidRPr="005A5012">
        <w:rPr>
          <w:rFonts w:asciiTheme="minorEastAsia" w:hAnsiTheme="minorEastAsia" w:hint="eastAsia"/>
          <w:sz w:val="20"/>
        </w:rPr>
        <w:t xml:space="preserve">图3 </w:t>
      </w:r>
      <w:r w:rsidR="005A5012">
        <w:rPr>
          <w:rFonts w:asciiTheme="minorEastAsia" w:hAnsiTheme="minorEastAsia" w:hint="eastAsia"/>
          <w:sz w:val="20"/>
        </w:rPr>
        <w:t>2014</w:t>
      </w:r>
      <w:r w:rsidR="005B6FC9" w:rsidRPr="005A5012">
        <w:rPr>
          <w:rFonts w:asciiTheme="minorEastAsia" w:hAnsiTheme="minorEastAsia" w:hint="eastAsia"/>
          <w:sz w:val="20"/>
        </w:rPr>
        <w:t>年以来</w:t>
      </w:r>
      <w:r w:rsidRPr="005A5012">
        <w:rPr>
          <w:rFonts w:asciiTheme="minorEastAsia" w:hAnsiTheme="minorEastAsia" w:hint="eastAsia"/>
          <w:sz w:val="20"/>
        </w:rPr>
        <w:t>战略性新兴产业生产类景气指标</w:t>
      </w:r>
    </w:p>
    <w:p w:rsidR="00F10561" w:rsidRPr="005A5012" w:rsidRDefault="00F10561" w:rsidP="00110ECE">
      <w:pPr>
        <w:spacing w:line="360" w:lineRule="auto"/>
        <w:jc w:val="center"/>
        <w:rPr>
          <w:rFonts w:asciiTheme="minorEastAsia" w:hAnsiTheme="minorEastAsia"/>
          <w:sz w:val="20"/>
        </w:rPr>
      </w:pPr>
    </w:p>
    <w:p w:rsidR="0067589E" w:rsidRDefault="001A068E" w:rsidP="00582724">
      <w:pPr>
        <w:spacing w:line="360" w:lineRule="auto"/>
        <w:ind w:firstLineChars="200" w:firstLine="440"/>
        <w:rPr>
          <w:rFonts w:ascii="仿宋_GB2312" w:eastAsia="仿宋_GB2312"/>
          <w:sz w:val="22"/>
        </w:rPr>
      </w:pPr>
      <w:r>
        <w:rPr>
          <w:rFonts w:ascii="仿宋_GB2312" w:eastAsia="仿宋_GB2312" w:hint="eastAsia"/>
          <w:sz w:val="22"/>
        </w:rPr>
        <w:t>战略性新兴产业</w:t>
      </w:r>
      <w:r w:rsidR="0067589E" w:rsidRPr="0067589E">
        <w:rPr>
          <w:rFonts w:ascii="仿宋_GB2312" w:eastAsia="仿宋_GB2312"/>
          <w:sz w:val="22"/>
        </w:rPr>
        <w:t>销售</w:t>
      </w:r>
      <w:r w:rsidR="0067589E">
        <w:rPr>
          <w:rFonts w:ascii="仿宋_GB2312" w:eastAsia="仿宋_GB2312"/>
          <w:sz w:val="22"/>
        </w:rPr>
        <w:t>总指数</w:t>
      </w:r>
      <w:r w:rsidR="0067589E">
        <w:rPr>
          <w:rFonts w:ascii="仿宋_GB2312" w:eastAsia="仿宋_GB2312" w:hint="eastAsia"/>
          <w:sz w:val="22"/>
        </w:rPr>
        <w:t>较上季度明显下降</w:t>
      </w:r>
      <w:r w:rsidR="00137AE2">
        <w:rPr>
          <w:rFonts w:ascii="仿宋_GB2312" w:eastAsia="仿宋_GB2312" w:hint="eastAsia"/>
          <w:sz w:val="22"/>
        </w:rPr>
        <w:t>（见图4），降至112.3，下滑程度达20，为</w:t>
      </w:r>
      <w:r w:rsidR="005B058A">
        <w:rPr>
          <w:rFonts w:ascii="仿宋_GB2312" w:eastAsia="仿宋_GB2312" w:hint="eastAsia"/>
          <w:sz w:val="22"/>
        </w:rPr>
        <w:t>2014年</w:t>
      </w:r>
      <w:r w:rsidR="00137AE2">
        <w:rPr>
          <w:rFonts w:ascii="仿宋_GB2312" w:eastAsia="仿宋_GB2312" w:hint="eastAsia"/>
          <w:sz w:val="22"/>
        </w:rPr>
        <w:t>以来的</w:t>
      </w:r>
      <w:r w:rsidR="005B058A">
        <w:rPr>
          <w:rFonts w:ascii="仿宋_GB2312" w:eastAsia="仿宋_GB2312" w:hint="eastAsia"/>
          <w:sz w:val="22"/>
        </w:rPr>
        <w:t>最低水平</w:t>
      </w:r>
      <w:r w:rsidR="00137AE2">
        <w:rPr>
          <w:rFonts w:ascii="仿宋_GB2312" w:eastAsia="仿宋_GB2312" w:hint="eastAsia"/>
          <w:sz w:val="22"/>
        </w:rPr>
        <w:t>，位于相对景气区间内。</w:t>
      </w:r>
      <w:r w:rsidR="00D83E9D">
        <w:rPr>
          <w:rFonts w:ascii="仿宋_GB2312" w:eastAsia="仿宋_GB2312" w:hint="eastAsia"/>
          <w:sz w:val="22"/>
        </w:rPr>
        <w:t>从主要销售指标来看，各分项指标均有不同程度下滑。其中，</w:t>
      </w:r>
      <w:r w:rsidR="00181451">
        <w:rPr>
          <w:rFonts w:ascii="仿宋_GB2312" w:eastAsia="仿宋_GB2312" w:hint="eastAsia"/>
          <w:sz w:val="22"/>
        </w:rPr>
        <w:t>盈亏指数降幅最大，降至116.7，企业经济效益虽有所</w:t>
      </w:r>
      <w:r w:rsidR="00181451">
        <w:rPr>
          <w:rFonts w:ascii="仿宋_GB2312" w:eastAsia="仿宋_GB2312" w:hint="eastAsia"/>
          <w:sz w:val="22"/>
        </w:rPr>
        <w:lastRenderedPageBreak/>
        <w:t>下降，</w:t>
      </w:r>
      <w:r w:rsidR="002410BA">
        <w:rPr>
          <w:rFonts w:ascii="仿宋_GB2312" w:eastAsia="仿宋_GB2312" w:hint="eastAsia"/>
          <w:sz w:val="22"/>
        </w:rPr>
        <w:t>但仍</w:t>
      </w:r>
      <w:r w:rsidR="00181451">
        <w:rPr>
          <w:rFonts w:ascii="仿宋_GB2312" w:eastAsia="仿宋_GB2312" w:hint="eastAsia"/>
          <w:sz w:val="22"/>
        </w:rPr>
        <w:t>位于相对景气区间；订单指数和销售价格指数分别降至104.3和101.5，处于微景气水平；市场需求指数为121.5，较上季度下降15，处于较为景气的边缘</w:t>
      </w:r>
      <w:r w:rsidR="00EB451A">
        <w:rPr>
          <w:rFonts w:ascii="仿宋_GB2312" w:eastAsia="仿宋_GB2312" w:hint="eastAsia"/>
          <w:sz w:val="22"/>
        </w:rPr>
        <w:t>。</w:t>
      </w:r>
      <w:r w:rsidR="003314D9">
        <w:rPr>
          <w:rFonts w:ascii="仿宋_GB2312" w:eastAsia="仿宋_GB2312" w:hint="eastAsia"/>
          <w:sz w:val="22"/>
        </w:rPr>
        <w:t>指数的走势反映出</w:t>
      </w:r>
      <w:r w:rsidR="002410BA">
        <w:rPr>
          <w:rFonts w:ascii="仿宋_GB2312" w:eastAsia="仿宋_GB2312" w:hint="eastAsia"/>
          <w:sz w:val="22"/>
        </w:rPr>
        <w:t>市场需求</w:t>
      </w:r>
      <w:r w:rsidR="00EB451A">
        <w:rPr>
          <w:rFonts w:ascii="仿宋_GB2312" w:eastAsia="仿宋_GB2312" w:hint="eastAsia"/>
          <w:sz w:val="22"/>
        </w:rPr>
        <w:t>不振，价格低迷，导致</w:t>
      </w:r>
      <w:proofErr w:type="gramStart"/>
      <w:r w:rsidR="00EB451A">
        <w:rPr>
          <w:rFonts w:ascii="仿宋_GB2312" w:eastAsia="仿宋_GB2312" w:hint="eastAsia"/>
          <w:sz w:val="22"/>
        </w:rPr>
        <w:t>企业盈收</w:t>
      </w:r>
      <w:r w:rsidR="003314D9">
        <w:rPr>
          <w:rFonts w:ascii="仿宋_GB2312" w:eastAsia="仿宋_GB2312" w:hint="eastAsia"/>
          <w:sz w:val="22"/>
        </w:rPr>
        <w:t>下滑</w:t>
      </w:r>
      <w:proofErr w:type="gramEnd"/>
      <w:r w:rsidR="00181451">
        <w:rPr>
          <w:rFonts w:ascii="仿宋_GB2312" w:eastAsia="仿宋_GB2312" w:hint="eastAsia"/>
          <w:sz w:val="22"/>
        </w:rPr>
        <w:t>。</w:t>
      </w:r>
    </w:p>
    <w:p w:rsidR="004D12D8" w:rsidRPr="003314D9" w:rsidRDefault="004D12D8" w:rsidP="00582724">
      <w:pPr>
        <w:spacing w:line="360" w:lineRule="auto"/>
        <w:ind w:firstLineChars="200" w:firstLine="440"/>
        <w:rPr>
          <w:rFonts w:ascii="仿宋_GB2312" w:eastAsia="仿宋_GB2312"/>
          <w:sz w:val="22"/>
        </w:rPr>
      </w:pPr>
    </w:p>
    <w:p w:rsidR="009F742D" w:rsidRPr="00F47708" w:rsidRDefault="009F742D" w:rsidP="009F742D">
      <w:pPr>
        <w:spacing w:line="360" w:lineRule="auto"/>
        <w:rPr>
          <w:rFonts w:ascii="仿宋_GB2312" w:eastAsia="仿宋_GB2312"/>
          <w:sz w:val="22"/>
          <w:highlight w:val="lightGray"/>
        </w:rPr>
      </w:pPr>
      <w:r>
        <w:rPr>
          <w:noProof/>
        </w:rPr>
        <w:drawing>
          <wp:inline distT="0" distB="0" distL="0" distR="0" wp14:anchorId="10BCD2FB" wp14:editId="2F612281">
            <wp:extent cx="5219700" cy="27432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0ECE" w:rsidRDefault="00110ECE" w:rsidP="00110ECE">
      <w:pPr>
        <w:spacing w:line="360" w:lineRule="auto"/>
        <w:ind w:firstLineChars="150" w:firstLine="300"/>
        <w:jc w:val="center"/>
        <w:rPr>
          <w:rFonts w:asciiTheme="minorEastAsia" w:hAnsiTheme="minorEastAsia"/>
          <w:sz w:val="20"/>
        </w:rPr>
      </w:pPr>
      <w:r w:rsidRPr="009F742D">
        <w:rPr>
          <w:rFonts w:asciiTheme="minorEastAsia" w:hAnsiTheme="minorEastAsia" w:hint="eastAsia"/>
          <w:sz w:val="20"/>
        </w:rPr>
        <w:t xml:space="preserve">图4 </w:t>
      </w:r>
      <w:r w:rsidR="005B6FC9" w:rsidRPr="009F742D">
        <w:rPr>
          <w:rFonts w:asciiTheme="minorEastAsia" w:hAnsiTheme="minorEastAsia" w:hint="eastAsia"/>
          <w:sz w:val="20"/>
        </w:rPr>
        <w:t>2014年以来</w:t>
      </w:r>
      <w:r w:rsidRPr="009F742D">
        <w:rPr>
          <w:rFonts w:asciiTheme="minorEastAsia" w:hAnsiTheme="minorEastAsia" w:hint="eastAsia"/>
          <w:sz w:val="20"/>
        </w:rPr>
        <w:t>战略性新兴产业销售景气总指数</w:t>
      </w:r>
    </w:p>
    <w:p w:rsidR="00FD0CD4" w:rsidRPr="009F742D" w:rsidRDefault="00FD0CD4" w:rsidP="00110ECE">
      <w:pPr>
        <w:spacing w:line="360" w:lineRule="auto"/>
        <w:ind w:firstLineChars="150" w:firstLine="330"/>
        <w:jc w:val="center"/>
        <w:rPr>
          <w:rFonts w:ascii="仿宋_GB2312" w:eastAsia="仿宋_GB2312"/>
          <w:sz w:val="22"/>
        </w:rPr>
      </w:pPr>
    </w:p>
    <w:p w:rsidR="00110ECE" w:rsidRPr="00F47708" w:rsidRDefault="00D83E9D" w:rsidP="00D83E9D">
      <w:pPr>
        <w:spacing w:line="360" w:lineRule="auto"/>
        <w:rPr>
          <w:rFonts w:ascii="仿宋_GB2312" w:eastAsia="仿宋_GB2312"/>
          <w:sz w:val="22"/>
          <w:highlight w:val="lightGray"/>
        </w:rPr>
      </w:pPr>
      <w:r>
        <w:rPr>
          <w:noProof/>
        </w:rPr>
        <w:drawing>
          <wp:inline distT="0" distB="0" distL="0" distR="0" wp14:anchorId="3EE5E56E" wp14:editId="4623023B">
            <wp:extent cx="5219700" cy="27432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453D" w:rsidRPr="00D83E9D" w:rsidRDefault="0021002D" w:rsidP="0021002D">
      <w:pPr>
        <w:spacing w:line="360" w:lineRule="auto"/>
        <w:jc w:val="center"/>
        <w:rPr>
          <w:rFonts w:asciiTheme="minorEastAsia" w:hAnsiTheme="minorEastAsia"/>
          <w:sz w:val="20"/>
        </w:rPr>
      </w:pPr>
      <w:r w:rsidRPr="00D83E9D">
        <w:rPr>
          <w:rFonts w:asciiTheme="minorEastAsia" w:hAnsiTheme="minorEastAsia" w:hint="eastAsia"/>
          <w:sz w:val="20"/>
        </w:rPr>
        <w:t xml:space="preserve">图5 </w:t>
      </w:r>
      <w:r w:rsidR="005B6FC9" w:rsidRPr="00D83E9D">
        <w:rPr>
          <w:rFonts w:asciiTheme="minorEastAsia" w:hAnsiTheme="minorEastAsia" w:hint="eastAsia"/>
          <w:sz w:val="20"/>
        </w:rPr>
        <w:t>2014年以来</w:t>
      </w:r>
      <w:r w:rsidRPr="00D83E9D">
        <w:rPr>
          <w:rFonts w:asciiTheme="minorEastAsia" w:hAnsiTheme="minorEastAsia" w:hint="eastAsia"/>
          <w:sz w:val="20"/>
        </w:rPr>
        <w:t>战略性新兴产业销售类景气指标</w:t>
      </w:r>
    </w:p>
    <w:p w:rsidR="00D83E9D" w:rsidRPr="00D83E9D" w:rsidRDefault="00D83E9D" w:rsidP="0021002D">
      <w:pPr>
        <w:spacing w:line="360" w:lineRule="auto"/>
        <w:jc w:val="center"/>
        <w:rPr>
          <w:rFonts w:ascii="仿宋_GB2312" w:eastAsia="仿宋_GB2312"/>
          <w:sz w:val="22"/>
          <w:highlight w:val="lightGray"/>
        </w:rPr>
      </w:pPr>
    </w:p>
    <w:p w:rsidR="00384695" w:rsidRPr="001F6511" w:rsidRDefault="00384695" w:rsidP="00582724">
      <w:pPr>
        <w:spacing w:line="360" w:lineRule="auto"/>
        <w:ind w:firstLineChars="200" w:firstLine="442"/>
        <w:rPr>
          <w:rFonts w:ascii="仿宋_GB2312" w:eastAsia="仿宋_GB2312"/>
          <w:b/>
          <w:sz w:val="22"/>
        </w:rPr>
      </w:pPr>
      <w:r w:rsidRPr="001F6511">
        <w:rPr>
          <w:rFonts w:ascii="仿宋_GB2312" w:eastAsia="仿宋_GB2312" w:hint="eastAsia"/>
          <w:b/>
          <w:sz w:val="22"/>
        </w:rPr>
        <w:t>2</w:t>
      </w:r>
      <w:r w:rsidR="00CB25F7" w:rsidRPr="001F6511">
        <w:rPr>
          <w:rFonts w:ascii="仿宋_GB2312" w:eastAsia="仿宋_GB2312" w:hint="eastAsia"/>
          <w:b/>
          <w:sz w:val="22"/>
        </w:rPr>
        <w:t>、资金</w:t>
      </w:r>
      <w:proofErr w:type="gramStart"/>
      <w:r w:rsidR="00EB7639" w:rsidRPr="001F6511">
        <w:rPr>
          <w:rFonts w:ascii="仿宋_GB2312" w:eastAsia="仿宋_GB2312" w:hint="eastAsia"/>
          <w:b/>
          <w:sz w:val="22"/>
        </w:rPr>
        <w:t>总</w:t>
      </w:r>
      <w:r w:rsidR="00CB25F7" w:rsidRPr="001F6511">
        <w:rPr>
          <w:rFonts w:ascii="仿宋_GB2312" w:eastAsia="仿宋_GB2312" w:hint="eastAsia"/>
          <w:b/>
          <w:sz w:val="22"/>
        </w:rPr>
        <w:t>活跃</w:t>
      </w:r>
      <w:proofErr w:type="gramEnd"/>
      <w:r w:rsidR="00CB25F7" w:rsidRPr="001F6511">
        <w:rPr>
          <w:rFonts w:ascii="仿宋_GB2312" w:eastAsia="仿宋_GB2312" w:hint="eastAsia"/>
          <w:b/>
          <w:sz w:val="22"/>
        </w:rPr>
        <w:t>度</w:t>
      </w:r>
      <w:r w:rsidR="001F6511" w:rsidRPr="001F6511">
        <w:rPr>
          <w:rFonts w:ascii="仿宋_GB2312" w:eastAsia="仿宋_GB2312" w:hint="eastAsia"/>
          <w:b/>
          <w:sz w:val="22"/>
        </w:rPr>
        <w:t>略有上升</w:t>
      </w:r>
      <w:r w:rsidR="00CB25F7" w:rsidRPr="001F6511">
        <w:rPr>
          <w:rFonts w:ascii="仿宋_GB2312" w:eastAsia="仿宋_GB2312" w:hint="eastAsia"/>
          <w:b/>
          <w:sz w:val="22"/>
        </w:rPr>
        <w:t>，但融资</w:t>
      </w:r>
      <w:r w:rsidR="001F6511" w:rsidRPr="001F6511">
        <w:rPr>
          <w:rFonts w:ascii="仿宋_GB2312" w:eastAsia="仿宋_GB2312" w:hint="eastAsia"/>
          <w:b/>
          <w:sz w:val="22"/>
        </w:rPr>
        <w:t>与投资景气有所下降</w:t>
      </w:r>
    </w:p>
    <w:p w:rsidR="00086359" w:rsidRPr="00391F9E" w:rsidRDefault="00C91F51" w:rsidP="00640632">
      <w:pPr>
        <w:spacing w:line="360" w:lineRule="auto"/>
        <w:ind w:firstLineChars="200" w:firstLine="440"/>
        <w:rPr>
          <w:rFonts w:ascii="仿宋_GB2312" w:eastAsia="仿宋_GB2312"/>
          <w:sz w:val="22"/>
        </w:rPr>
      </w:pPr>
      <w:r>
        <w:rPr>
          <w:rFonts w:ascii="仿宋_GB2312" w:eastAsia="仿宋_GB2312" w:hint="eastAsia"/>
          <w:sz w:val="22"/>
        </w:rPr>
        <w:t>一季度，战略性新兴产业资金景气指数出现明显反弹，</w:t>
      </w:r>
      <w:r w:rsidR="00FB6471">
        <w:rPr>
          <w:rFonts w:ascii="仿宋_GB2312" w:eastAsia="仿宋_GB2312" w:hint="eastAsia"/>
          <w:sz w:val="22"/>
        </w:rPr>
        <w:t>指数值</w:t>
      </w:r>
      <w:r>
        <w:rPr>
          <w:rFonts w:ascii="仿宋_GB2312" w:eastAsia="仿宋_GB2312" w:hint="eastAsia"/>
          <w:sz w:val="22"/>
        </w:rPr>
        <w:t>为134.5</w:t>
      </w:r>
      <w:r w:rsidR="00FB6471">
        <w:rPr>
          <w:rFonts w:ascii="仿宋_GB2312" w:eastAsia="仿宋_GB2312" w:hint="eastAsia"/>
          <w:sz w:val="22"/>
        </w:rPr>
        <w:t>（见图6）</w:t>
      </w:r>
      <w:r w:rsidR="00391F9E">
        <w:rPr>
          <w:rFonts w:ascii="仿宋_GB2312" w:eastAsia="仿宋_GB2312" w:hint="eastAsia"/>
          <w:sz w:val="22"/>
        </w:rPr>
        <w:t>，</w:t>
      </w:r>
      <w:r w:rsidR="00D81E7F">
        <w:rPr>
          <w:rFonts w:ascii="仿宋_GB2312" w:eastAsia="仿宋_GB2312" w:hint="eastAsia"/>
          <w:sz w:val="22"/>
        </w:rPr>
        <w:t>是继连续三</w:t>
      </w:r>
      <w:r>
        <w:rPr>
          <w:rFonts w:ascii="仿宋_GB2312" w:eastAsia="仿宋_GB2312" w:hint="eastAsia"/>
          <w:sz w:val="22"/>
        </w:rPr>
        <w:t>个</w:t>
      </w:r>
      <w:r w:rsidR="00D81E7F">
        <w:rPr>
          <w:rFonts w:ascii="仿宋_GB2312" w:eastAsia="仿宋_GB2312" w:hint="eastAsia"/>
          <w:sz w:val="22"/>
        </w:rPr>
        <w:t>季度下降之后的上涨。其原因在于资金周转指数有较大幅度上升</w:t>
      </w:r>
      <w:r w:rsidR="00B554C9">
        <w:rPr>
          <w:rFonts w:ascii="仿宋_GB2312" w:eastAsia="仿宋_GB2312" w:hint="eastAsia"/>
          <w:sz w:val="22"/>
        </w:rPr>
        <w:t>（见图7）</w:t>
      </w:r>
      <w:r w:rsidR="00D81E7F">
        <w:rPr>
          <w:rFonts w:ascii="仿宋_GB2312" w:eastAsia="仿宋_GB2312" w:hint="eastAsia"/>
          <w:sz w:val="22"/>
        </w:rPr>
        <w:t>，</w:t>
      </w:r>
      <w:r w:rsidR="00D81E7F">
        <w:rPr>
          <w:rFonts w:ascii="仿宋_GB2312" w:eastAsia="仿宋_GB2312" w:hint="eastAsia"/>
          <w:sz w:val="22"/>
        </w:rPr>
        <w:lastRenderedPageBreak/>
        <w:t>本季度资金周转指数为</w:t>
      </w:r>
      <w:r w:rsidR="006307A2">
        <w:rPr>
          <w:rFonts w:ascii="仿宋_GB2312" w:eastAsia="仿宋_GB2312" w:hint="eastAsia"/>
          <w:sz w:val="22"/>
        </w:rPr>
        <w:t>145.6，比上季度上涨7.8，</w:t>
      </w:r>
      <w:r w:rsidR="00652FA4">
        <w:rPr>
          <w:rFonts w:ascii="仿宋_GB2312" w:eastAsia="仿宋_GB2312" w:hint="eastAsia"/>
          <w:sz w:val="22"/>
        </w:rPr>
        <w:t>处于较为景气的上限，</w:t>
      </w:r>
      <w:r w:rsidR="006307A2">
        <w:rPr>
          <w:rFonts w:ascii="仿宋_GB2312" w:eastAsia="仿宋_GB2312" w:hint="eastAsia"/>
          <w:sz w:val="22"/>
        </w:rPr>
        <w:t>说明企业资金流转活跃度提升。相比之下，</w:t>
      </w:r>
      <w:r w:rsidR="00652FA4">
        <w:rPr>
          <w:rFonts w:ascii="仿宋_GB2312" w:eastAsia="仿宋_GB2312" w:hint="eastAsia"/>
          <w:sz w:val="22"/>
        </w:rPr>
        <w:t>融资指数</w:t>
      </w:r>
      <w:r w:rsidR="00DE6304">
        <w:rPr>
          <w:rFonts w:ascii="仿宋_GB2312" w:eastAsia="仿宋_GB2312" w:hint="eastAsia"/>
          <w:sz w:val="22"/>
        </w:rPr>
        <w:t>连续四个季度</w:t>
      </w:r>
      <w:r w:rsidR="00652FA4">
        <w:rPr>
          <w:rFonts w:ascii="仿宋_GB2312" w:eastAsia="仿宋_GB2312" w:hint="eastAsia"/>
          <w:sz w:val="22"/>
        </w:rPr>
        <w:t>下降，本季度</w:t>
      </w:r>
      <w:r w:rsidR="00DE6304">
        <w:rPr>
          <w:rFonts w:ascii="仿宋_GB2312" w:eastAsia="仿宋_GB2312" w:hint="eastAsia"/>
          <w:sz w:val="22"/>
        </w:rPr>
        <w:t>降</w:t>
      </w:r>
      <w:r w:rsidR="00652FA4">
        <w:rPr>
          <w:rFonts w:ascii="仿宋_GB2312" w:eastAsia="仿宋_GB2312" w:hint="eastAsia"/>
          <w:sz w:val="22"/>
        </w:rPr>
        <w:t>为116.2，比上季度下降</w:t>
      </w:r>
      <w:r w:rsidR="00521F1B">
        <w:rPr>
          <w:rFonts w:ascii="仿宋_GB2312" w:eastAsia="仿宋_GB2312" w:hint="eastAsia"/>
          <w:sz w:val="22"/>
        </w:rPr>
        <w:t>1.8</w:t>
      </w:r>
      <w:r w:rsidR="00DE6304">
        <w:rPr>
          <w:rFonts w:ascii="仿宋_GB2312" w:eastAsia="仿宋_GB2312" w:hint="eastAsia"/>
          <w:sz w:val="22"/>
        </w:rPr>
        <w:t>，融资难问题依然突出</w:t>
      </w:r>
      <w:r w:rsidR="00FF0D19">
        <w:rPr>
          <w:rFonts w:ascii="仿宋_GB2312" w:eastAsia="仿宋_GB2312" w:hint="eastAsia"/>
          <w:sz w:val="22"/>
        </w:rPr>
        <w:t>；投资指数</w:t>
      </w:r>
      <w:r w:rsidR="00521F1B">
        <w:rPr>
          <w:rFonts w:ascii="仿宋_GB2312" w:eastAsia="仿宋_GB2312" w:hint="eastAsia"/>
          <w:sz w:val="22"/>
        </w:rPr>
        <w:t>较上季度下降11.4，降至107.7</w:t>
      </w:r>
      <w:r w:rsidR="005A1647">
        <w:rPr>
          <w:rFonts w:ascii="仿宋_GB2312" w:eastAsia="仿宋_GB2312" w:hint="eastAsia"/>
          <w:sz w:val="22"/>
        </w:rPr>
        <w:t>，进入微景气区间。</w:t>
      </w:r>
    </w:p>
    <w:p w:rsidR="00640632" w:rsidRDefault="00640632" w:rsidP="00640632">
      <w:pPr>
        <w:spacing w:line="360" w:lineRule="auto"/>
        <w:ind w:firstLineChars="200" w:firstLine="440"/>
        <w:rPr>
          <w:rFonts w:ascii="仿宋_GB2312" w:eastAsia="仿宋_GB2312"/>
          <w:sz w:val="22"/>
          <w:highlight w:val="lightGray"/>
        </w:rPr>
      </w:pPr>
    </w:p>
    <w:p w:rsidR="0060000B" w:rsidRPr="00640632" w:rsidRDefault="0060000B" w:rsidP="0060000B">
      <w:pPr>
        <w:spacing w:line="360" w:lineRule="auto"/>
        <w:rPr>
          <w:rFonts w:ascii="仿宋_GB2312" w:eastAsia="仿宋_GB2312"/>
          <w:sz w:val="22"/>
          <w:highlight w:val="lightGray"/>
        </w:rPr>
      </w:pPr>
      <w:r>
        <w:rPr>
          <w:noProof/>
        </w:rPr>
        <w:drawing>
          <wp:inline distT="0" distB="0" distL="0" distR="0" wp14:anchorId="6F75D62F" wp14:editId="1570B28B">
            <wp:extent cx="5229225" cy="2743200"/>
            <wp:effectExtent l="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002D" w:rsidRDefault="0021002D" w:rsidP="0021002D">
      <w:pPr>
        <w:spacing w:line="360" w:lineRule="auto"/>
        <w:ind w:firstLineChars="200" w:firstLine="400"/>
        <w:jc w:val="center"/>
        <w:rPr>
          <w:rFonts w:asciiTheme="minorEastAsia" w:hAnsiTheme="minorEastAsia"/>
          <w:sz w:val="20"/>
        </w:rPr>
      </w:pPr>
      <w:r w:rsidRPr="00640632">
        <w:rPr>
          <w:rFonts w:asciiTheme="minorEastAsia" w:hAnsiTheme="minorEastAsia" w:hint="eastAsia"/>
          <w:sz w:val="20"/>
        </w:rPr>
        <w:t xml:space="preserve">图6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战略性新兴产业资金景气总指数</w:t>
      </w:r>
    </w:p>
    <w:p w:rsidR="00366231" w:rsidRPr="00640632" w:rsidRDefault="00366231" w:rsidP="0021002D">
      <w:pPr>
        <w:spacing w:line="360" w:lineRule="auto"/>
        <w:ind w:firstLineChars="200" w:firstLine="440"/>
        <w:jc w:val="center"/>
        <w:rPr>
          <w:rFonts w:ascii="仿宋_GB2312" w:eastAsia="仿宋_GB2312"/>
          <w:sz w:val="22"/>
        </w:rPr>
      </w:pPr>
    </w:p>
    <w:p w:rsidR="0021002D" w:rsidRPr="00F47708" w:rsidRDefault="00366231" w:rsidP="00366231">
      <w:pPr>
        <w:spacing w:line="360" w:lineRule="auto"/>
        <w:rPr>
          <w:rFonts w:ascii="仿宋_GB2312" w:eastAsia="仿宋_GB2312"/>
          <w:sz w:val="22"/>
          <w:highlight w:val="lightGray"/>
        </w:rPr>
      </w:pPr>
      <w:r>
        <w:rPr>
          <w:noProof/>
        </w:rPr>
        <w:drawing>
          <wp:inline distT="0" distB="0" distL="0" distR="0" wp14:anchorId="5E0F3B83" wp14:editId="096B009C">
            <wp:extent cx="5229225" cy="2743200"/>
            <wp:effectExtent l="0" t="0" r="9525"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002D" w:rsidRPr="00640632" w:rsidRDefault="00C22B43" w:rsidP="00C22B43">
      <w:pPr>
        <w:spacing w:line="360" w:lineRule="auto"/>
        <w:jc w:val="center"/>
        <w:rPr>
          <w:rFonts w:ascii="仿宋_GB2312" w:eastAsia="仿宋_GB2312"/>
          <w:b/>
          <w:sz w:val="22"/>
        </w:rPr>
      </w:pPr>
      <w:r w:rsidRPr="00640632">
        <w:rPr>
          <w:rFonts w:asciiTheme="minorEastAsia" w:hAnsiTheme="minorEastAsia" w:hint="eastAsia"/>
          <w:sz w:val="20"/>
        </w:rPr>
        <w:t xml:space="preserve">图7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战略性新兴产业资金类景气指标</w:t>
      </w:r>
    </w:p>
    <w:p w:rsidR="0021002D" w:rsidRPr="00F47708" w:rsidRDefault="0021002D" w:rsidP="00582724">
      <w:pPr>
        <w:spacing w:line="360" w:lineRule="auto"/>
        <w:ind w:firstLineChars="200" w:firstLine="442"/>
        <w:rPr>
          <w:rFonts w:ascii="仿宋_GB2312" w:eastAsia="仿宋_GB2312"/>
          <w:b/>
          <w:sz w:val="22"/>
          <w:highlight w:val="lightGray"/>
        </w:rPr>
      </w:pPr>
    </w:p>
    <w:p w:rsidR="00206EB1" w:rsidRPr="00EF1DC3" w:rsidRDefault="00206EB1" w:rsidP="00582724">
      <w:pPr>
        <w:spacing w:line="360" w:lineRule="auto"/>
        <w:ind w:firstLineChars="200" w:firstLine="442"/>
        <w:rPr>
          <w:rFonts w:ascii="仿宋_GB2312" w:eastAsia="仿宋_GB2312"/>
          <w:b/>
          <w:sz w:val="22"/>
        </w:rPr>
      </w:pPr>
      <w:r w:rsidRPr="00EF1DC3">
        <w:rPr>
          <w:rFonts w:ascii="仿宋_GB2312" w:eastAsia="仿宋_GB2312" w:hint="eastAsia"/>
          <w:b/>
          <w:sz w:val="22"/>
        </w:rPr>
        <w:t>3、创新活力</w:t>
      </w:r>
      <w:r w:rsidR="00EF1DC3">
        <w:rPr>
          <w:rFonts w:ascii="仿宋_GB2312" w:eastAsia="仿宋_GB2312" w:hint="eastAsia"/>
          <w:b/>
          <w:sz w:val="22"/>
        </w:rPr>
        <w:t>有所下降</w:t>
      </w:r>
    </w:p>
    <w:p w:rsidR="007359D7" w:rsidRPr="007359D7" w:rsidRDefault="009D4211" w:rsidP="00582724">
      <w:pPr>
        <w:spacing w:line="360" w:lineRule="auto"/>
        <w:ind w:firstLineChars="200" w:firstLine="440"/>
        <w:rPr>
          <w:rFonts w:ascii="仿宋_GB2312" w:eastAsia="仿宋_GB2312"/>
          <w:sz w:val="22"/>
        </w:rPr>
      </w:pPr>
      <w:r>
        <w:rPr>
          <w:rFonts w:ascii="仿宋_GB2312" w:eastAsia="仿宋_GB2312" w:hint="eastAsia"/>
          <w:sz w:val="22"/>
        </w:rPr>
        <w:t>本</w:t>
      </w:r>
      <w:r w:rsidR="007359D7" w:rsidRPr="007359D7">
        <w:rPr>
          <w:rFonts w:ascii="仿宋_GB2312" w:eastAsia="仿宋_GB2312" w:hint="eastAsia"/>
          <w:sz w:val="22"/>
        </w:rPr>
        <w:t>季度</w:t>
      </w:r>
      <w:r>
        <w:rPr>
          <w:rFonts w:ascii="仿宋_GB2312" w:eastAsia="仿宋_GB2312" w:hint="eastAsia"/>
          <w:sz w:val="22"/>
        </w:rPr>
        <w:t>，</w:t>
      </w:r>
      <w:r w:rsidR="00E0129C">
        <w:rPr>
          <w:rFonts w:ascii="仿宋_GB2312" w:eastAsia="仿宋_GB2312" w:hint="eastAsia"/>
          <w:sz w:val="22"/>
        </w:rPr>
        <w:t>战略性新兴产业</w:t>
      </w:r>
      <w:r w:rsidR="007359D7" w:rsidRPr="007359D7">
        <w:rPr>
          <w:rFonts w:ascii="仿宋_GB2312" w:eastAsia="仿宋_GB2312" w:hint="eastAsia"/>
          <w:sz w:val="22"/>
        </w:rPr>
        <w:t>创新</w:t>
      </w:r>
      <w:r w:rsidR="00CE377C">
        <w:rPr>
          <w:rFonts w:ascii="仿宋_GB2312" w:eastAsia="仿宋_GB2312" w:hint="eastAsia"/>
          <w:sz w:val="22"/>
        </w:rPr>
        <w:t>投入出现大幅下降，创新</w:t>
      </w:r>
      <w:r w:rsidR="007359D7" w:rsidRPr="007359D7">
        <w:rPr>
          <w:rFonts w:ascii="仿宋_GB2312" w:eastAsia="仿宋_GB2312" w:hint="eastAsia"/>
          <w:sz w:val="22"/>
        </w:rPr>
        <w:t>景气指数为118.8（见图8）</w:t>
      </w:r>
      <w:r w:rsidR="007359D7">
        <w:rPr>
          <w:rFonts w:ascii="仿宋_GB2312" w:eastAsia="仿宋_GB2312" w:hint="eastAsia"/>
          <w:sz w:val="22"/>
        </w:rPr>
        <w:t>，</w:t>
      </w:r>
      <w:r w:rsidR="00D34746">
        <w:rPr>
          <w:rFonts w:ascii="仿宋_GB2312" w:eastAsia="仿宋_GB2312" w:hint="eastAsia"/>
          <w:sz w:val="22"/>
        </w:rPr>
        <w:lastRenderedPageBreak/>
        <w:t>较上季度低17.2，同比则低5，成为</w:t>
      </w:r>
      <w:r w:rsidR="005B058A">
        <w:rPr>
          <w:rFonts w:ascii="仿宋_GB2312" w:eastAsia="仿宋_GB2312" w:hint="eastAsia"/>
          <w:sz w:val="22"/>
        </w:rPr>
        <w:t>2014年</w:t>
      </w:r>
      <w:r w:rsidR="00D34746">
        <w:rPr>
          <w:rFonts w:ascii="仿宋_GB2312" w:eastAsia="仿宋_GB2312" w:hint="eastAsia"/>
          <w:sz w:val="22"/>
        </w:rPr>
        <w:t>以来的</w:t>
      </w:r>
      <w:r w:rsidR="005B058A">
        <w:rPr>
          <w:rFonts w:ascii="仿宋_GB2312" w:eastAsia="仿宋_GB2312" w:hint="eastAsia"/>
          <w:sz w:val="22"/>
        </w:rPr>
        <w:t>最低水平</w:t>
      </w:r>
      <w:r w:rsidR="00D34746">
        <w:rPr>
          <w:rFonts w:ascii="仿宋_GB2312" w:eastAsia="仿宋_GB2312" w:hint="eastAsia"/>
          <w:sz w:val="22"/>
        </w:rPr>
        <w:t>，首次处于相对景气区间。从各创新指标来看，</w:t>
      </w:r>
      <w:r w:rsidR="003A61D2">
        <w:rPr>
          <w:rFonts w:ascii="仿宋_GB2312" w:eastAsia="仿宋_GB2312" w:hint="eastAsia"/>
          <w:sz w:val="22"/>
        </w:rPr>
        <w:t>产销下降</w:t>
      </w:r>
      <w:r w:rsidR="00837D67">
        <w:rPr>
          <w:rFonts w:ascii="仿宋_GB2312" w:eastAsia="仿宋_GB2312" w:hint="eastAsia"/>
          <w:sz w:val="22"/>
        </w:rPr>
        <w:t>导致企业减少</w:t>
      </w:r>
      <w:r w:rsidR="00254262">
        <w:rPr>
          <w:rFonts w:ascii="仿宋_GB2312" w:eastAsia="仿宋_GB2312" w:hint="eastAsia"/>
          <w:sz w:val="22"/>
        </w:rPr>
        <w:t>研发投入，</w:t>
      </w:r>
      <w:r w:rsidR="002475F2">
        <w:rPr>
          <w:rFonts w:ascii="仿宋_GB2312" w:eastAsia="仿宋_GB2312" w:hint="eastAsia"/>
          <w:sz w:val="22"/>
        </w:rPr>
        <w:t>本季度研发投入</w:t>
      </w:r>
      <w:r w:rsidR="00C2275E">
        <w:rPr>
          <w:rFonts w:ascii="仿宋_GB2312" w:eastAsia="仿宋_GB2312" w:hint="eastAsia"/>
          <w:sz w:val="22"/>
        </w:rPr>
        <w:t>指数</w:t>
      </w:r>
      <w:r w:rsidR="002475F2">
        <w:rPr>
          <w:rFonts w:ascii="仿宋_GB2312" w:eastAsia="仿宋_GB2312" w:hint="eastAsia"/>
          <w:sz w:val="22"/>
        </w:rPr>
        <w:t>为120.9</w:t>
      </w:r>
      <w:r w:rsidR="0019683B">
        <w:rPr>
          <w:rFonts w:ascii="仿宋_GB2312" w:eastAsia="仿宋_GB2312" w:hint="eastAsia"/>
          <w:sz w:val="22"/>
        </w:rPr>
        <w:t>（见图9）</w:t>
      </w:r>
      <w:r w:rsidR="002475F2">
        <w:rPr>
          <w:rFonts w:ascii="仿宋_GB2312" w:eastAsia="仿宋_GB2312" w:hint="eastAsia"/>
          <w:sz w:val="22"/>
        </w:rPr>
        <w:t>，比上季度下降15.5</w:t>
      </w:r>
      <w:r w:rsidR="00EC379D">
        <w:rPr>
          <w:rFonts w:ascii="仿宋_GB2312" w:eastAsia="仿宋_GB2312" w:hint="eastAsia"/>
          <w:sz w:val="22"/>
        </w:rPr>
        <w:t>；</w:t>
      </w:r>
      <w:r w:rsidR="0019683B">
        <w:rPr>
          <w:rFonts w:ascii="仿宋_GB2312" w:eastAsia="仿宋_GB2312" w:hint="eastAsia"/>
          <w:sz w:val="22"/>
        </w:rPr>
        <w:t>专利申请指数则由133.3下降至103.1</w:t>
      </w:r>
      <w:r w:rsidR="00EC379D">
        <w:rPr>
          <w:rFonts w:ascii="仿宋_GB2312" w:eastAsia="仿宋_GB2312" w:hint="eastAsia"/>
          <w:sz w:val="22"/>
        </w:rPr>
        <w:t>，创新成果转化效率较低</w:t>
      </w:r>
      <w:r w:rsidR="0019683B">
        <w:rPr>
          <w:rFonts w:ascii="仿宋_GB2312" w:eastAsia="仿宋_GB2312" w:hint="eastAsia"/>
          <w:sz w:val="22"/>
        </w:rPr>
        <w:t>。</w:t>
      </w:r>
    </w:p>
    <w:p w:rsidR="00AA1E21" w:rsidRPr="00254262" w:rsidRDefault="00AA1E21" w:rsidP="00AA1E21">
      <w:pPr>
        <w:spacing w:line="360" w:lineRule="auto"/>
        <w:rPr>
          <w:rFonts w:ascii="仿宋_GB2312" w:eastAsia="仿宋_GB2312"/>
          <w:sz w:val="22"/>
          <w:highlight w:val="lightGray"/>
        </w:rPr>
      </w:pPr>
    </w:p>
    <w:p w:rsidR="00FF3E0D" w:rsidRPr="00F47708" w:rsidRDefault="00FF3E0D" w:rsidP="00AA1E21">
      <w:pPr>
        <w:spacing w:line="360" w:lineRule="auto"/>
        <w:rPr>
          <w:rFonts w:ascii="仿宋_GB2312" w:eastAsia="仿宋_GB2312"/>
          <w:sz w:val="22"/>
          <w:highlight w:val="lightGray"/>
        </w:rPr>
      </w:pPr>
      <w:r>
        <w:rPr>
          <w:noProof/>
        </w:rPr>
        <w:drawing>
          <wp:inline distT="0" distB="0" distL="0" distR="0" wp14:anchorId="359F8714" wp14:editId="60F25423">
            <wp:extent cx="5248275" cy="2743200"/>
            <wp:effectExtent l="0" t="0" r="9525"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6EB1" w:rsidRDefault="00C22B43" w:rsidP="00C22B43">
      <w:pPr>
        <w:spacing w:line="360" w:lineRule="auto"/>
        <w:jc w:val="center"/>
        <w:rPr>
          <w:rFonts w:asciiTheme="minorEastAsia" w:hAnsiTheme="minorEastAsia"/>
          <w:sz w:val="20"/>
        </w:rPr>
      </w:pPr>
      <w:r w:rsidRPr="00FF3E0D">
        <w:rPr>
          <w:rFonts w:asciiTheme="minorEastAsia" w:hAnsiTheme="minorEastAsia" w:hint="eastAsia"/>
          <w:sz w:val="20"/>
        </w:rPr>
        <w:t xml:space="preserve">图8 </w:t>
      </w:r>
      <w:r w:rsidR="006917E5" w:rsidRPr="00FF3E0D">
        <w:rPr>
          <w:rFonts w:asciiTheme="minorEastAsia" w:hAnsiTheme="minorEastAsia" w:hint="eastAsia"/>
          <w:sz w:val="20"/>
        </w:rPr>
        <w:t>2014年以来</w:t>
      </w:r>
      <w:r w:rsidRPr="00FF3E0D">
        <w:rPr>
          <w:rFonts w:asciiTheme="minorEastAsia" w:hAnsiTheme="minorEastAsia" w:hint="eastAsia"/>
          <w:sz w:val="20"/>
        </w:rPr>
        <w:t>战略性新兴产业创新景气总指数</w:t>
      </w:r>
    </w:p>
    <w:p w:rsidR="00D10494" w:rsidRPr="00FF3E0D" w:rsidRDefault="00D10494" w:rsidP="00C22B43">
      <w:pPr>
        <w:spacing w:line="360" w:lineRule="auto"/>
        <w:jc w:val="center"/>
        <w:rPr>
          <w:rFonts w:ascii="仿宋_GB2312" w:eastAsia="仿宋_GB2312"/>
          <w:sz w:val="22"/>
        </w:rPr>
      </w:pPr>
    </w:p>
    <w:p w:rsidR="00C22B43" w:rsidRPr="00F47708" w:rsidRDefault="00D10494" w:rsidP="00D10494">
      <w:pPr>
        <w:spacing w:line="360" w:lineRule="auto"/>
        <w:rPr>
          <w:rFonts w:ascii="仿宋_GB2312" w:eastAsia="仿宋_GB2312"/>
          <w:sz w:val="22"/>
          <w:highlight w:val="lightGray"/>
        </w:rPr>
      </w:pPr>
      <w:r>
        <w:rPr>
          <w:noProof/>
        </w:rPr>
        <w:drawing>
          <wp:inline distT="0" distB="0" distL="0" distR="0" wp14:anchorId="34C7810A" wp14:editId="08D463FF">
            <wp:extent cx="52959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260" w:rsidRDefault="00A73260" w:rsidP="00A73260">
      <w:pPr>
        <w:spacing w:line="360" w:lineRule="auto"/>
        <w:jc w:val="center"/>
        <w:rPr>
          <w:rFonts w:ascii="仿宋_GB2312" w:eastAsia="仿宋_GB2312"/>
          <w:sz w:val="22"/>
        </w:rPr>
      </w:pPr>
      <w:r w:rsidRPr="00D10494">
        <w:rPr>
          <w:rFonts w:asciiTheme="minorEastAsia" w:hAnsiTheme="minorEastAsia" w:hint="eastAsia"/>
          <w:sz w:val="20"/>
        </w:rPr>
        <w:t xml:space="preserve">图9 </w:t>
      </w:r>
      <w:r w:rsidR="006917E5" w:rsidRPr="00D10494">
        <w:rPr>
          <w:rFonts w:asciiTheme="minorEastAsia" w:hAnsiTheme="minorEastAsia" w:hint="eastAsia"/>
          <w:sz w:val="20"/>
        </w:rPr>
        <w:t>2014年以来</w:t>
      </w:r>
      <w:r w:rsidRPr="00D10494">
        <w:rPr>
          <w:rFonts w:asciiTheme="minorEastAsia" w:hAnsiTheme="minorEastAsia" w:hint="eastAsia"/>
          <w:sz w:val="20"/>
        </w:rPr>
        <w:t>战略性新兴产业创新类景气指标</w:t>
      </w:r>
    </w:p>
    <w:p w:rsidR="00A73260" w:rsidRPr="00582724" w:rsidRDefault="00A73260" w:rsidP="00582724">
      <w:pPr>
        <w:spacing w:line="360" w:lineRule="auto"/>
        <w:ind w:firstLineChars="200" w:firstLine="440"/>
        <w:rPr>
          <w:rFonts w:ascii="仿宋_GB2312" w:eastAsia="仿宋_GB2312"/>
          <w:sz w:val="22"/>
        </w:rPr>
      </w:pPr>
    </w:p>
    <w:p w:rsidR="00487073" w:rsidRPr="00582724" w:rsidRDefault="00487073" w:rsidP="00582724">
      <w:pPr>
        <w:spacing w:line="360" w:lineRule="auto"/>
        <w:ind w:firstLineChars="200" w:firstLine="442"/>
        <w:rPr>
          <w:rFonts w:ascii="仿宋_GB2312" w:eastAsia="仿宋_GB2312"/>
          <w:b/>
          <w:sz w:val="22"/>
        </w:rPr>
      </w:pPr>
      <w:r w:rsidRPr="00582724">
        <w:rPr>
          <w:rFonts w:ascii="仿宋_GB2312" w:eastAsia="仿宋_GB2312" w:hint="eastAsia"/>
          <w:b/>
          <w:sz w:val="22"/>
        </w:rPr>
        <w:t>4、政策</w:t>
      </w:r>
      <w:r w:rsidR="00F82744">
        <w:rPr>
          <w:rFonts w:ascii="仿宋_GB2312" w:eastAsia="仿宋_GB2312" w:hint="eastAsia"/>
          <w:b/>
          <w:sz w:val="22"/>
        </w:rPr>
        <w:t>环境无</w:t>
      </w:r>
      <w:r w:rsidR="00204AB8" w:rsidRPr="00582724">
        <w:rPr>
          <w:rFonts w:ascii="仿宋_GB2312" w:eastAsia="仿宋_GB2312" w:hint="eastAsia"/>
          <w:b/>
          <w:sz w:val="22"/>
        </w:rPr>
        <w:t>明显变化</w:t>
      </w:r>
    </w:p>
    <w:p w:rsidR="00A73260" w:rsidRDefault="00383466" w:rsidP="00404782">
      <w:pPr>
        <w:spacing w:line="360" w:lineRule="auto"/>
        <w:ind w:firstLineChars="200" w:firstLine="440"/>
        <w:rPr>
          <w:rFonts w:ascii="仿宋_GB2312" w:eastAsia="仿宋_GB2312"/>
          <w:sz w:val="22"/>
        </w:rPr>
      </w:pPr>
      <w:r w:rsidRPr="00582724">
        <w:rPr>
          <w:rFonts w:ascii="仿宋_GB2312" w:eastAsia="仿宋_GB2312" w:hint="eastAsia"/>
          <w:sz w:val="22"/>
        </w:rPr>
        <w:t>政策环境景气指数波动很小，</w:t>
      </w:r>
      <w:r w:rsidR="00487DF8">
        <w:rPr>
          <w:rFonts w:ascii="仿宋_GB2312" w:eastAsia="仿宋_GB2312" w:hint="eastAsia"/>
          <w:sz w:val="22"/>
        </w:rPr>
        <w:t>2014年</w:t>
      </w:r>
      <w:r w:rsidR="00F82744">
        <w:rPr>
          <w:rFonts w:ascii="仿宋_GB2312" w:eastAsia="仿宋_GB2312" w:hint="eastAsia"/>
          <w:sz w:val="22"/>
        </w:rPr>
        <w:t>以来</w:t>
      </w:r>
      <w:r w:rsidR="00BE04CC">
        <w:rPr>
          <w:rFonts w:ascii="仿宋_GB2312" w:eastAsia="仿宋_GB2312" w:hint="eastAsia"/>
          <w:sz w:val="22"/>
        </w:rPr>
        <w:t>一直</w:t>
      </w:r>
      <w:r w:rsidRPr="00582724">
        <w:rPr>
          <w:rFonts w:ascii="仿宋_GB2312" w:eastAsia="仿宋_GB2312" w:hint="eastAsia"/>
          <w:sz w:val="22"/>
        </w:rPr>
        <w:t>在135</w:t>
      </w:r>
      <w:r w:rsidR="00ED3C89">
        <w:rPr>
          <w:rFonts w:ascii="仿宋_GB2312" w:eastAsia="仿宋_GB2312" w:hint="eastAsia"/>
          <w:sz w:val="22"/>
        </w:rPr>
        <w:t>上下浮动</w:t>
      </w:r>
      <w:r w:rsidR="00D87470">
        <w:rPr>
          <w:rFonts w:ascii="仿宋_GB2312" w:eastAsia="仿宋_GB2312" w:hint="eastAsia"/>
          <w:sz w:val="22"/>
        </w:rPr>
        <w:t>（见图10）</w:t>
      </w:r>
      <w:r w:rsidR="00487DF8">
        <w:rPr>
          <w:rFonts w:ascii="仿宋_GB2312" w:eastAsia="仿宋_GB2312" w:hint="eastAsia"/>
          <w:sz w:val="22"/>
        </w:rPr>
        <w:t>，本季度</w:t>
      </w:r>
      <w:r w:rsidR="00ED3C89">
        <w:rPr>
          <w:rFonts w:ascii="仿宋_GB2312" w:eastAsia="仿宋_GB2312" w:hint="eastAsia"/>
          <w:sz w:val="22"/>
        </w:rPr>
        <w:lastRenderedPageBreak/>
        <w:t>政策</w:t>
      </w:r>
      <w:r w:rsidRPr="00582724">
        <w:rPr>
          <w:rFonts w:ascii="仿宋_GB2312" w:eastAsia="仿宋_GB2312" w:hint="eastAsia"/>
          <w:sz w:val="22"/>
        </w:rPr>
        <w:t>景气指数为13</w:t>
      </w:r>
      <w:r w:rsidR="00BE04CC">
        <w:rPr>
          <w:rFonts w:ascii="仿宋_GB2312" w:eastAsia="仿宋_GB2312" w:hint="eastAsia"/>
          <w:sz w:val="22"/>
        </w:rPr>
        <w:t>1.9</w:t>
      </w:r>
      <w:r w:rsidR="00871CE0" w:rsidRPr="00582724">
        <w:rPr>
          <w:rFonts w:ascii="仿宋_GB2312" w:eastAsia="仿宋_GB2312" w:hint="eastAsia"/>
          <w:sz w:val="22"/>
        </w:rPr>
        <w:t>，</w:t>
      </w:r>
      <w:r w:rsidR="00ED3C89">
        <w:rPr>
          <w:rFonts w:ascii="仿宋_GB2312" w:eastAsia="仿宋_GB2312" w:hint="eastAsia"/>
          <w:sz w:val="22"/>
        </w:rPr>
        <w:t>常态性的</w:t>
      </w:r>
      <w:r w:rsidR="00871CE0" w:rsidRPr="00582724">
        <w:rPr>
          <w:rFonts w:ascii="仿宋_GB2312" w:eastAsia="仿宋_GB2312" w:hint="eastAsia"/>
          <w:sz w:val="22"/>
        </w:rPr>
        <w:t>处于较为景</w:t>
      </w:r>
      <w:r w:rsidR="00C338F7">
        <w:rPr>
          <w:rFonts w:ascii="仿宋_GB2312" w:eastAsia="仿宋_GB2312" w:hint="eastAsia"/>
          <w:sz w:val="22"/>
        </w:rPr>
        <w:t>气区间，</w:t>
      </w:r>
      <w:r w:rsidR="003C48A9">
        <w:rPr>
          <w:rFonts w:ascii="仿宋_GB2312" w:eastAsia="仿宋_GB2312" w:hint="eastAsia"/>
          <w:sz w:val="22"/>
        </w:rPr>
        <w:t>企业普遍认为</w:t>
      </w:r>
      <w:r w:rsidR="00707759">
        <w:rPr>
          <w:rFonts w:ascii="仿宋_GB2312" w:eastAsia="仿宋_GB2312" w:hint="eastAsia"/>
          <w:sz w:val="22"/>
        </w:rPr>
        <w:t>一直处于有利于企业发展的政策环境中。</w:t>
      </w:r>
    </w:p>
    <w:p w:rsidR="004D12D8" w:rsidRDefault="004D12D8" w:rsidP="00404782">
      <w:pPr>
        <w:spacing w:line="360" w:lineRule="auto"/>
        <w:ind w:firstLineChars="200" w:firstLine="440"/>
        <w:rPr>
          <w:rFonts w:ascii="仿宋_GB2312" w:eastAsia="仿宋_GB2312"/>
          <w:sz w:val="22"/>
        </w:rPr>
      </w:pPr>
    </w:p>
    <w:p w:rsidR="00A73260" w:rsidRDefault="00BE04CC" w:rsidP="00BE04CC">
      <w:pPr>
        <w:spacing w:line="360" w:lineRule="auto"/>
        <w:ind w:firstLineChars="67" w:firstLine="141"/>
        <w:rPr>
          <w:rFonts w:ascii="仿宋_GB2312" w:eastAsia="仿宋_GB2312"/>
          <w:sz w:val="22"/>
        </w:rPr>
      </w:pPr>
      <w:r>
        <w:rPr>
          <w:noProof/>
        </w:rPr>
        <w:drawing>
          <wp:inline distT="0" distB="0" distL="0" distR="0" wp14:anchorId="48516576" wp14:editId="37EE7D2C">
            <wp:extent cx="5191125" cy="2743200"/>
            <wp:effectExtent l="0" t="0" r="9525"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3260" w:rsidRPr="00582724" w:rsidRDefault="009A18DC" w:rsidP="009A18DC">
      <w:pPr>
        <w:spacing w:line="360" w:lineRule="auto"/>
        <w:jc w:val="center"/>
        <w:rPr>
          <w:rFonts w:ascii="仿宋_GB2312" w:eastAsia="仿宋_GB2312"/>
          <w:sz w:val="22"/>
        </w:rPr>
      </w:pPr>
      <w:r w:rsidRPr="007163AE">
        <w:rPr>
          <w:rFonts w:asciiTheme="minorEastAsia" w:hAnsiTheme="minorEastAsia" w:hint="eastAsia"/>
          <w:sz w:val="20"/>
        </w:rPr>
        <w:t>图</w:t>
      </w:r>
      <w:r>
        <w:rPr>
          <w:rFonts w:asciiTheme="minorEastAsia" w:hAnsiTheme="minorEastAsia" w:hint="eastAsia"/>
          <w:sz w:val="20"/>
        </w:rPr>
        <w:t xml:space="preserve">10 </w:t>
      </w:r>
      <w:r w:rsidR="006917E5">
        <w:rPr>
          <w:rFonts w:asciiTheme="minorEastAsia" w:hAnsiTheme="minorEastAsia" w:hint="eastAsia"/>
          <w:sz w:val="20"/>
        </w:rPr>
        <w:t>2014年以来</w:t>
      </w:r>
      <w:r w:rsidRPr="007163AE">
        <w:rPr>
          <w:rFonts w:asciiTheme="minorEastAsia" w:hAnsiTheme="minorEastAsia" w:hint="eastAsia"/>
          <w:sz w:val="20"/>
        </w:rPr>
        <w:t>战略性新兴产业</w:t>
      </w:r>
      <w:r>
        <w:rPr>
          <w:rFonts w:asciiTheme="minorEastAsia" w:hAnsiTheme="minorEastAsia" w:hint="eastAsia"/>
          <w:sz w:val="20"/>
        </w:rPr>
        <w:t>政策景气</w:t>
      </w:r>
      <w:r w:rsidRPr="007163AE">
        <w:rPr>
          <w:rFonts w:asciiTheme="minorEastAsia" w:hAnsiTheme="minorEastAsia" w:hint="eastAsia"/>
          <w:sz w:val="20"/>
        </w:rPr>
        <w:t>总指数</w:t>
      </w:r>
    </w:p>
    <w:p w:rsidR="009A18DC" w:rsidRDefault="009A18DC" w:rsidP="00582724">
      <w:pPr>
        <w:spacing w:line="360" w:lineRule="auto"/>
        <w:ind w:firstLineChars="200" w:firstLine="442"/>
        <w:rPr>
          <w:rFonts w:ascii="仿宋_GB2312" w:eastAsia="仿宋_GB2312"/>
          <w:b/>
          <w:sz w:val="22"/>
        </w:rPr>
      </w:pPr>
    </w:p>
    <w:p w:rsidR="00DB7B14" w:rsidRPr="00582724" w:rsidRDefault="00DB7B14" w:rsidP="00582724">
      <w:pPr>
        <w:spacing w:line="360" w:lineRule="auto"/>
        <w:ind w:firstLineChars="200" w:firstLine="442"/>
        <w:rPr>
          <w:rFonts w:ascii="仿宋_GB2312" w:eastAsia="仿宋_GB2312"/>
          <w:b/>
          <w:sz w:val="22"/>
        </w:rPr>
      </w:pPr>
      <w:r w:rsidRPr="00582724">
        <w:rPr>
          <w:rFonts w:ascii="仿宋_GB2312" w:eastAsia="仿宋_GB2312" w:hint="eastAsia"/>
          <w:b/>
          <w:sz w:val="22"/>
        </w:rPr>
        <w:t>5、企业普遍</w:t>
      </w:r>
      <w:r w:rsidR="00711922" w:rsidRPr="00582724">
        <w:rPr>
          <w:rFonts w:ascii="仿宋_GB2312" w:eastAsia="仿宋_GB2312" w:hint="eastAsia"/>
          <w:b/>
          <w:sz w:val="22"/>
        </w:rPr>
        <w:t>预测</w:t>
      </w:r>
      <w:r w:rsidR="006A7843">
        <w:rPr>
          <w:rFonts w:ascii="仿宋_GB2312" w:eastAsia="仿宋_GB2312" w:hint="eastAsia"/>
          <w:b/>
          <w:sz w:val="22"/>
        </w:rPr>
        <w:t>行业景气上升，对</w:t>
      </w:r>
      <w:r w:rsidRPr="00582724">
        <w:rPr>
          <w:rFonts w:ascii="仿宋_GB2312" w:eastAsia="仿宋_GB2312" w:hint="eastAsia"/>
          <w:b/>
          <w:sz w:val="22"/>
        </w:rPr>
        <w:t>自身发展</w:t>
      </w:r>
      <w:r w:rsidR="006A7843">
        <w:rPr>
          <w:rFonts w:ascii="仿宋_GB2312" w:eastAsia="仿宋_GB2312" w:hint="eastAsia"/>
          <w:b/>
          <w:sz w:val="22"/>
        </w:rPr>
        <w:t>充满信心</w:t>
      </w:r>
    </w:p>
    <w:p w:rsidR="00334887" w:rsidRPr="004C799E" w:rsidRDefault="004C799E" w:rsidP="00582724">
      <w:pPr>
        <w:spacing w:line="360" w:lineRule="auto"/>
        <w:ind w:firstLineChars="200" w:firstLine="440"/>
        <w:rPr>
          <w:rFonts w:ascii="仿宋_GB2312" w:eastAsia="仿宋_GB2312"/>
          <w:sz w:val="22"/>
        </w:rPr>
      </w:pPr>
      <w:r w:rsidRPr="004C799E">
        <w:rPr>
          <w:rFonts w:ascii="仿宋_GB2312" w:eastAsia="仿宋_GB2312" w:hint="eastAsia"/>
          <w:sz w:val="22"/>
        </w:rPr>
        <w:t>虽然</w:t>
      </w:r>
      <w:r>
        <w:rPr>
          <w:rFonts w:ascii="仿宋_GB2312" w:eastAsia="仿宋_GB2312" w:hint="eastAsia"/>
          <w:sz w:val="22"/>
        </w:rPr>
        <w:t>本季度行业景气延续下滑态势，但企业普遍预测二季度景气</w:t>
      </w:r>
      <w:r w:rsidR="005117F1">
        <w:rPr>
          <w:rFonts w:ascii="仿宋_GB2312" w:eastAsia="仿宋_GB2312" w:hint="eastAsia"/>
          <w:sz w:val="22"/>
        </w:rPr>
        <w:t>大幅上升</w:t>
      </w:r>
      <w:r>
        <w:rPr>
          <w:rFonts w:ascii="仿宋_GB2312" w:eastAsia="仿宋_GB2312" w:hint="eastAsia"/>
          <w:sz w:val="22"/>
        </w:rPr>
        <w:t>（见图11），达到156.1，高于一季度17.6。同时，企业对自身运营状况</w:t>
      </w:r>
      <w:r w:rsidR="0079650D">
        <w:rPr>
          <w:rFonts w:ascii="仿宋_GB2312" w:eastAsia="仿宋_GB2312" w:hint="eastAsia"/>
          <w:sz w:val="22"/>
        </w:rPr>
        <w:t>充满信心，预期二季度企业家信心指数为150.8，比本季度高出6。</w:t>
      </w:r>
    </w:p>
    <w:p w:rsidR="00615571" w:rsidRDefault="00615571" w:rsidP="00582724">
      <w:pPr>
        <w:spacing w:line="360" w:lineRule="auto"/>
        <w:ind w:firstLineChars="200" w:firstLine="440"/>
        <w:rPr>
          <w:rFonts w:ascii="仿宋_GB2312" w:eastAsia="仿宋_GB2312"/>
          <w:sz w:val="22"/>
        </w:rPr>
      </w:pPr>
    </w:p>
    <w:p w:rsidR="00EC093B" w:rsidRDefault="00193C4D" w:rsidP="00615571">
      <w:pPr>
        <w:spacing w:line="360" w:lineRule="auto"/>
        <w:ind w:firstLineChars="67" w:firstLine="141"/>
        <w:rPr>
          <w:rFonts w:ascii="仿宋_GB2312" w:eastAsia="仿宋_GB2312"/>
          <w:sz w:val="22"/>
        </w:rPr>
      </w:pPr>
      <w:r>
        <w:rPr>
          <w:noProof/>
        </w:rPr>
        <w:drawing>
          <wp:inline distT="0" distB="0" distL="0" distR="0" wp14:anchorId="371B3CEA" wp14:editId="3B1C5EB9">
            <wp:extent cx="5143500" cy="27432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18DC" w:rsidRDefault="009A18DC" w:rsidP="009A18DC">
      <w:pPr>
        <w:spacing w:line="360" w:lineRule="auto"/>
        <w:jc w:val="center"/>
        <w:rPr>
          <w:rFonts w:ascii="仿宋_GB2312" w:eastAsia="仿宋_GB2312"/>
          <w:b/>
          <w:sz w:val="22"/>
        </w:rPr>
      </w:pPr>
      <w:r w:rsidRPr="007163AE">
        <w:rPr>
          <w:rFonts w:asciiTheme="minorEastAsia" w:hAnsiTheme="minorEastAsia" w:hint="eastAsia"/>
          <w:sz w:val="20"/>
        </w:rPr>
        <w:t>图</w:t>
      </w:r>
      <w:r>
        <w:rPr>
          <w:rFonts w:asciiTheme="minorEastAsia" w:hAnsiTheme="minorEastAsia" w:hint="eastAsia"/>
          <w:sz w:val="20"/>
        </w:rPr>
        <w:t xml:space="preserve">11 </w:t>
      </w:r>
      <w:r w:rsidRPr="007163AE">
        <w:rPr>
          <w:rFonts w:asciiTheme="minorEastAsia" w:hAnsiTheme="minorEastAsia" w:hint="eastAsia"/>
          <w:sz w:val="20"/>
        </w:rPr>
        <w:t>战略性新兴产业</w:t>
      </w:r>
      <w:r w:rsidR="0032412D">
        <w:rPr>
          <w:rFonts w:asciiTheme="minorEastAsia" w:hAnsiTheme="minorEastAsia" w:hint="eastAsia"/>
          <w:sz w:val="20"/>
        </w:rPr>
        <w:t>2016年一</w:t>
      </w:r>
      <w:r>
        <w:rPr>
          <w:rFonts w:asciiTheme="minorEastAsia" w:hAnsiTheme="minorEastAsia" w:hint="eastAsia"/>
          <w:sz w:val="20"/>
        </w:rPr>
        <w:t>季度和2016</w:t>
      </w:r>
      <w:r w:rsidR="0032412D">
        <w:rPr>
          <w:rFonts w:asciiTheme="minorEastAsia" w:hAnsiTheme="minorEastAsia" w:hint="eastAsia"/>
          <w:sz w:val="20"/>
        </w:rPr>
        <w:t>年二</w:t>
      </w:r>
      <w:r>
        <w:rPr>
          <w:rFonts w:asciiTheme="minorEastAsia" w:hAnsiTheme="minorEastAsia" w:hint="eastAsia"/>
          <w:sz w:val="20"/>
        </w:rPr>
        <w:t>季度（预期）景气</w:t>
      </w:r>
      <w:r w:rsidRPr="007163AE">
        <w:rPr>
          <w:rFonts w:asciiTheme="minorEastAsia" w:hAnsiTheme="minorEastAsia" w:hint="eastAsia"/>
          <w:sz w:val="20"/>
        </w:rPr>
        <w:t>指数</w:t>
      </w:r>
    </w:p>
    <w:p w:rsidR="00204018" w:rsidRDefault="00204018" w:rsidP="00582724">
      <w:pPr>
        <w:spacing w:line="360" w:lineRule="auto"/>
        <w:ind w:firstLineChars="200" w:firstLine="442"/>
        <w:rPr>
          <w:rFonts w:ascii="仿宋_GB2312" w:eastAsia="仿宋_GB2312"/>
          <w:b/>
          <w:sz w:val="22"/>
        </w:rPr>
      </w:pPr>
    </w:p>
    <w:p w:rsidR="00BB3A61" w:rsidRPr="00582724" w:rsidRDefault="00656589" w:rsidP="00582724">
      <w:pPr>
        <w:spacing w:line="360" w:lineRule="auto"/>
        <w:ind w:firstLineChars="200" w:firstLine="442"/>
        <w:rPr>
          <w:rFonts w:ascii="仿宋_GB2312" w:eastAsia="仿宋_GB2312"/>
          <w:b/>
          <w:sz w:val="22"/>
        </w:rPr>
      </w:pPr>
      <w:r w:rsidRPr="00582724">
        <w:rPr>
          <w:rFonts w:ascii="仿宋_GB2312" w:eastAsia="仿宋_GB2312" w:hint="eastAsia"/>
          <w:b/>
          <w:sz w:val="22"/>
        </w:rPr>
        <w:t>二、分类情况</w:t>
      </w:r>
    </w:p>
    <w:p w:rsidR="009C0C4D" w:rsidRPr="00C35EE5" w:rsidRDefault="009C0C4D" w:rsidP="00582724">
      <w:pPr>
        <w:spacing w:line="360" w:lineRule="auto"/>
        <w:ind w:firstLineChars="200" w:firstLine="440"/>
        <w:rPr>
          <w:rFonts w:ascii="仿宋_GB2312" w:eastAsia="仿宋_GB2312"/>
          <w:sz w:val="22"/>
        </w:rPr>
      </w:pPr>
      <w:r w:rsidRPr="00AB0BF3">
        <w:rPr>
          <w:rFonts w:ascii="仿宋_GB2312" w:eastAsia="仿宋_GB2312" w:hint="eastAsia"/>
          <w:sz w:val="22"/>
        </w:rPr>
        <w:t>从分类情况来看，</w:t>
      </w:r>
      <w:r w:rsidR="00656589" w:rsidRPr="00AB0BF3">
        <w:rPr>
          <w:rFonts w:ascii="仿宋_GB2312" w:eastAsia="仿宋_GB2312" w:hint="eastAsia"/>
          <w:sz w:val="22"/>
        </w:rPr>
        <w:t>东部</w:t>
      </w:r>
      <w:r w:rsidR="00593180">
        <w:rPr>
          <w:rFonts w:ascii="仿宋_GB2312" w:eastAsia="仿宋_GB2312" w:hint="eastAsia"/>
          <w:sz w:val="22"/>
        </w:rPr>
        <w:t>地区</w:t>
      </w:r>
      <w:r w:rsidR="00656589" w:rsidRPr="00AB0BF3">
        <w:rPr>
          <w:rFonts w:ascii="仿宋_GB2312" w:eastAsia="仿宋_GB2312" w:hint="eastAsia"/>
          <w:sz w:val="22"/>
        </w:rPr>
        <w:t>景气</w:t>
      </w:r>
      <w:proofErr w:type="gramStart"/>
      <w:r w:rsidR="00656589" w:rsidRPr="00AB0BF3">
        <w:rPr>
          <w:rFonts w:ascii="仿宋_GB2312" w:eastAsia="仿宋_GB2312" w:hint="eastAsia"/>
          <w:sz w:val="22"/>
        </w:rPr>
        <w:t>度连续</w:t>
      </w:r>
      <w:proofErr w:type="gramEnd"/>
      <w:r w:rsidR="00656589" w:rsidRPr="00AB0BF3">
        <w:rPr>
          <w:rFonts w:ascii="仿宋_GB2312" w:eastAsia="仿宋_GB2312" w:hint="eastAsia"/>
          <w:sz w:val="22"/>
        </w:rPr>
        <w:t>下滑但仍然大幅高出其他三区，</w:t>
      </w:r>
      <w:r w:rsidR="00656589" w:rsidRPr="00C35EE5">
        <w:rPr>
          <w:rFonts w:ascii="仿宋_GB2312" w:eastAsia="仿宋_GB2312" w:hint="eastAsia"/>
          <w:sz w:val="22"/>
        </w:rPr>
        <w:t>新能源</w:t>
      </w:r>
      <w:r w:rsidR="00C35EE5">
        <w:rPr>
          <w:rFonts w:ascii="仿宋_GB2312" w:eastAsia="仿宋_GB2312" w:hint="eastAsia"/>
          <w:sz w:val="22"/>
        </w:rPr>
        <w:t>产业拔得头筹</w:t>
      </w:r>
      <w:r w:rsidR="00656589" w:rsidRPr="00C35EE5">
        <w:rPr>
          <w:rFonts w:ascii="仿宋_GB2312" w:eastAsia="仿宋_GB2312" w:hint="eastAsia"/>
          <w:sz w:val="22"/>
        </w:rPr>
        <w:t>，</w:t>
      </w:r>
      <w:r w:rsidR="00C35EE5">
        <w:rPr>
          <w:rFonts w:ascii="仿宋_GB2312" w:eastAsia="仿宋_GB2312" w:hint="eastAsia"/>
          <w:sz w:val="22"/>
        </w:rPr>
        <w:t>节能环保、</w:t>
      </w:r>
      <w:r w:rsidR="00C35EE5" w:rsidRPr="00C35EE5">
        <w:rPr>
          <w:rFonts w:ascii="仿宋_GB2312" w:eastAsia="仿宋_GB2312" w:hint="eastAsia"/>
          <w:sz w:val="22"/>
        </w:rPr>
        <w:t>新材料和</w:t>
      </w:r>
      <w:r w:rsidR="00656589" w:rsidRPr="00C35EE5">
        <w:rPr>
          <w:rFonts w:ascii="仿宋_GB2312" w:eastAsia="仿宋_GB2312" w:hint="eastAsia"/>
          <w:sz w:val="22"/>
        </w:rPr>
        <w:t>高端装备制造产业景气度垫底。</w:t>
      </w:r>
    </w:p>
    <w:p w:rsidR="00AB0BF3" w:rsidRPr="00AB0BF3" w:rsidRDefault="00AB0BF3" w:rsidP="00AB0BF3">
      <w:pPr>
        <w:spacing w:line="360" w:lineRule="auto"/>
        <w:ind w:firstLineChars="200" w:firstLine="442"/>
        <w:rPr>
          <w:rFonts w:ascii="仿宋_GB2312" w:eastAsia="仿宋_GB2312"/>
          <w:b/>
          <w:sz w:val="22"/>
        </w:rPr>
      </w:pPr>
      <w:r>
        <w:rPr>
          <w:rFonts w:ascii="仿宋_GB2312" w:eastAsia="仿宋_GB2312" w:hint="eastAsia"/>
          <w:b/>
          <w:sz w:val="22"/>
        </w:rPr>
        <w:t>1、</w:t>
      </w:r>
      <w:r w:rsidR="00880DDA">
        <w:rPr>
          <w:rFonts w:ascii="仿宋_GB2312" w:eastAsia="仿宋_GB2312" w:hint="eastAsia"/>
          <w:b/>
          <w:sz w:val="22"/>
        </w:rPr>
        <w:t>东北和西部</w:t>
      </w:r>
      <w:r w:rsidR="00593180">
        <w:rPr>
          <w:rFonts w:ascii="仿宋_GB2312" w:eastAsia="仿宋_GB2312" w:hint="eastAsia"/>
          <w:b/>
          <w:sz w:val="22"/>
        </w:rPr>
        <w:t>地区</w:t>
      </w:r>
      <w:r w:rsidR="00880DDA">
        <w:rPr>
          <w:rFonts w:ascii="仿宋_GB2312" w:eastAsia="仿宋_GB2312" w:hint="eastAsia"/>
          <w:b/>
          <w:sz w:val="22"/>
        </w:rPr>
        <w:t>实现反弹</w:t>
      </w:r>
    </w:p>
    <w:p w:rsidR="00C31FC9" w:rsidRPr="00C31FC9" w:rsidRDefault="00C31FC9" w:rsidP="00582724">
      <w:pPr>
        <w:spacing w:line="360" w:lineRule="auto"/>
        <w:ind w:firstLineChars="200" w:firstLine="440"/>
        <w:rPr>
          <w:rFonts w:ascii="仿宋_GB2312" w:eastAsia="仿宋_GB2312"/>
          <w:sz w:val="22"/>
        </w:rPr>
      </w:pPr>
      <w:r w:rsidRPr="00C31FC9">
        <w:rPr>
          <w:rFonts w:ascii="仿宋_GB2312" w:eastAsia="仿宋_GB2312" w:hint="eastAsia"/>
          <w:sz w:val="22"/>
        </w:rPr>
        <w:t>一季度</w:t>
      </w:r>
      <w:r>
        <w:rPr>
          <w:rFonts w:ascii="仿宋_GB2312" w:eastAsia="仿宋_GB2312" w:hint="eastAsia"/>
          <w:sz w:val="22"/>
        </w:rPr>
        <w:t>，四大区域的战略性新兴产业行业景气指数两升两降</w:t>
      </w:r>
      <w:r w:rsidR="007F5D41">
        <w:rPr>
          <w:rFonts w:ascii="仿宋_GB2312" w:eastAsia="仿宋_GB2312" w:hint="eastAsia"/>
          <w:sz w:val="22"/>
        </w:rPr>
        <w:t>。</w:t>
      </w:r>
      <w:r w:rsidR="00880DDA">
        <w:rPr>
          <w:rFonts w:ascii="仿宋_GB2312" w:eastAsia="仿宋_GB2312" w:hint="eastAsia"/>
          <w:sz w:val="22"/>
        </w:rPr>
        <w:t>东北地区和西部地区本季度行业景气指数有所上升，东北地区由上季度的120.8升至131.3，西部地区由117.3升至122.9。相比之下，</w:t>
      </w:r>
      <w:r w:rsidR="007F5D41">
        <w:rPr>
          <w:rFonts w:ascii="仿宋_GB2312" w:eastAsia="仿宋_GB2312" w:hint="eastAsia"/>
          <w:sz w:val="22"/>
        </w:rPr>
        <w:t>东部地区延续下滑态势，本季度行业景气指数为140.5，是2014年以来的最低景气水平；</w:t>
      </w:r>
      <w:r w:rsidR="00880DDA">
        <w:rPr>
          <w:rFonts w:ascii="仿宋_GB2312" w:eastAsia="仿宋_GB2312" w:hint="eastAsia"/>
          <w:sz w:val="22"/>
        </w:rPr>
        <w:t>中部地区</w:t>
      </w:r>
      <w:r w:rsidR="00D471A9">
        <w:rPr>
          <w:rFonts w:ascii="仿宋_GB2312" w:eastAsia="仿宋_GB2312" w:hint="eastAsia"/>
          <w:sz w:val="22"/>
        </w:rPr>
        <w:t>景气</w:t>
      </w:r>
      <w:r w:rsidR="00880DDA">
        <w:rPr>
          <w:rFonts w:ascii="仿宋_GB2312" w:eastAsia="仿宋_GB2312" w:hint="eastAsia"/>
          <w:sz w:val="22"/>
        </w:rPr>
        <w:t>有所下降，本季度为121.7，比上季度低8.4，与去年同期相比低13.1。综合来看，四大区域均处于较为景气区间。</w:t>
      </w:r>
    </w:p>
    <w:p w:rsidR="00381B66" w:rsidRDefault="00381B66" w:rsidP="00582724">
      <w:pPr>
        <w:spacing w:line="360" w:lineRule="auto"/>
        <w:ind w:firstLineChars="200" w:firstLine="440"/>
        <w:rPr>
          <w:rFonts w:ascii="仿宋_GB2312" w:eastAsia="仿宋_GB2312"/>
          <w:sz w:val="22"/>
        </w:rPr>
      </w:pPr>
    </w:p>
    <w:p w:rsidR="00381B66" w:rsidRDefault="00381B66" w:rsidP="00381B66">
      <w:pPr>
        <w:spacing w:line="360" w:lineRule="auto"/>
        <w:rPr>
          <w:rFonts w:ascii="仿宋_GB2312" w:eastAsia="仿宋_GB2312"/>
          <w:sz w:val="22"/>
        </w:rPr>
      </w:pPr>
      <w:r>
        <w:rPr>
          <w:noProof/>
        </w:rPr>
        <w:drawing>
          <wp:inline distT="0" distB="0" distL="0" distR="0" wp14:anchorId="61A5CD7D" wp14:editId="2EC3E170">
            <wp:extent cx="5238750" cy="274320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1DD6" w:rsidRPr="00582724" w:rsidRDefault="0018559C" w:rsidP="006917E5">
      <w:pPr>
        <w:spacing w:line="360" w:lineRule="auto"/>
        <w:jc w:val="center"/>
        <w:rPr>
          <w:rFonts w:ascii="仿宋_GB2312" w:eastAsia="仿宋_GB2312"/>
          <w:sz w:val="22"/>
        </w:rPr>
      </w:pPr>
      <w:r w:rsidRPr="008E3305">
        <w:rPr>
          <w:rFonts w:asciiTheme="minorEastAsia" w:hAnsiTheme="minorEastAsia" w:hint="eastAsia"/>
          <w:sz w:val="20"/>
        </w:rPr>
        <w:t>图</w:t>
      </w:r>
      <w:r w:rsidR="006917E5" w:rsidRPr="008E3305">
        <w:rPr>
          <w:rFonts w:asciiTheme="minorEastAsia" w:hAnsiTheme="minorEastAsia" w:hint="eastAsia"/>
          <w:sz w:val="20"/>
        </w:rPr>
        <w:t>12</w:t>
      </w:r>
      <w:r w:rsidRPr="008E3305">
        <w:rPr>
          <w:rFonts w:asciiTheme="minorEastAsia" w:hAnsiTheme="minorEastAsia" w:hint="eastAsia"/>
          <w:sz w:val="20"/>
        </w:rPr>
        <w:t xml:space="preserve"> </w:t>
      </w:r>
      <w:r w:rsidR="006917E5" w:rsidRPr="008E3305">
        <w:rPr>
          <w:rFonts w:asciiTheme="minorEastAsia" w:hAnsiTheme="minorEastAsia" w:hint="eastAsia"/>
          <w:sz w:val="20"/>
        </w:rPr>
        <w:t>2014年以来</w:t>
      </w:r>
      <w:r w:rsidRPr="008E3305">
        <w:rPr>
          <w:rFonts w:asciiTheme="minorEastAsia" w:hAnsiTheme="minorEastAsia" w:hint="eastAsia"/>
          <w:sz w:val="20"/>
        </w:rPr>
        <w:t>战略性新兴产业</w:t>
      </w:r>
      <w:r w:rsidR="006917E5" w:rsidRPr="008E3305">
        <w:rPr>
          <w:rFonts w:asciiTheme="minorEastAsia" w:hAnsiTheme="minorEastAsia" w:hint="eastAsia"/>
          <w:sz w:val="20"/>
        </w:rPr>
        <w:t>行业</w:t>
      </w:r>
      <w:r w:rsidRPr="008E3305">
        <w:rPr>
          <w:rFonts w:asciiTheme="minorEastAsia" w:hAnsiTheme="minorEastAsia" w:hint="eastAsia"/>
          <w:sz w:val="20"/>
        </w:rPr>
        <w:t>景气指数</w:t>
      </w:r>
      <w:r w:rsidR="006917E5" w:rsidRPr="008E3305">
        <w:rPr>
          <w:rFonts w:asciiTheme="minorEastAsia" w:hAnsiTheme="minorEastAsia" w:hint="eastAsia"/>
          <w:sz w:val="20"/>
        </w:rPr>
        <w:t>（分区域）</w:t>
      </w:r>
    </w:p>
    <w:p w:rsidR="00B9061D" w:rsidRDefault="00B9061D" w:rsidP="00582724">
      <w:pPr>
        <w:spacing w:line="360" w:lineRule="auto"/>
        <w:ind w:firstLineChars="200" w:firstLine="440"/>
        <w:rPr>
          <w:rFonts w:ascii="仿宋_GB2312" w:eastAsia="仿宋_GB2312"/>
          <w:sz w:val="22"/>
        </w:rPr>
      </w:pPr>
    </w:p>
    <w:p w:rsidR="00EA3A21" w:rsidRPr="00EA3A21" w:rsidRDefault="00EA3A21" w:rsidP="00EA3A21">
      <w:pPr>
        <w:spacing w:line="360" w:lineRule="auto"/>
        <w:ind w:firstLineChars="200" w:firstLine="442"/>
        <w:rPr>
          <w:rFonts w:ascii="仿宋_GB2312" w:eastAsia="仿宋_GB2312"/>
          <w:b/>
          <w:sz w:val="22"/>
        </w:rPr>
      </w:pPr>
      <w:r>
        <w:rPr>
          <w:rFonts w:ascii="仿宋_GB2312" w:eastAsia="仿宋_GB2312" w:hint="eastAsia"/>
          <w:b/>
          <w:sz w:val="22"/>
        </w:rPr>
        <w:t>2、</w:t>
      </w:r>
      <w:r w:rsidR="00BB2FDE">
        <w:rPr>
          <w:rFonts w:ascii="仿宋_GB2312" w:eastAsia="仿宋_GB2312" w:hint="eastAsia"/>
          <w:b/>
          <w:sz w:val="22"/>
        </w:rPr>
        <w:t>新能源产业拔得头筹</w:t>
      </w:r>
    </w:p>
    <w:p w:rsidR="00EA3A21" w:rsidRDefault="00786C41" w:rsidP="00582724">
      <w:pPr>
        <w:spacing w:line="360" w:lineRule="auto"/>
        <w:ind w:firstLineChars="200" w:firstLine="440"/>
        <w:rPr>
          <w:rFonts w:ascii="仿宋_GB2312" w:eastAsia="仿宋_GB2312"/>
          <w:sz w:val="22"/>
        </w:rPr>
      </w:pPr>
      <w:r>
        <w:rPr>
          <w:rFonts w:ascii="仿宋_GB2312" w:eastAsia="仿宋_GB2312" w:hint="eastAsia"/>
          <w:sz w:val="22"/>
        </w:rPr>
        <w:t>一季度，新能源产业</w:t>
      </w:r>
      <w:r w:rsidR="005F3E2C">
        <w:rPr>
          <w:rFonts w:ascii="仿宋_GB2312" w:eastAsia="仿宋_GB2312" w:hint="eastAsia"/>
          <w:sz w:val="22"/>
        </w:rPr>
        <w:t>位列第一梯队，其</w:t>
      </w:r>
      <w:r w:rsidR="009B2903">
        <w:rPr>
          <w:rFonts w:ascii="仿宋_GB2312" w:eastAsia="仿宋_GB2312" w:hint="eastAsia"/>
          <w:sz w:val="22"/>
        </w:rPr>
        <w:t>双指标（企业家信心指数和行业景气指数）</w:t>
      </w:r>
      <w:r>
        <w:rPr>
          <w:rFonts w:ascii="仿宋_GB2312" w:eastAsia="仿宋_GB2312" w:hint="eastAsia"/>
          <w:sz w:val="22"/>
        </w:rPr>
        <w:t>分别为156.3和145，</w:t>
      </w:r>
      <w:r w:rsidR="005F3E2C">
        <w:rPr>
          <w:rFonts w:ascii="仿宋_GB2312" w:eastAsia="仿宋_GB2312" w:hint="eastAsia"/>
          <w:sz w:val="22"/>
        </w:rPr>
        <w:t>与其它产业相比具有领先优势，且下季度预期指数延续景气态势。第二梯队为新能源汽车和生物产业，</w:t>
      </w:r>
      <w:r w:rsidR="007540FF">
        <w:rPr>
          <w:rFonts w:ascii="仿宋_GB2312" w:eastAsia="仿宋_GB2312" w:hint="eastAsia"/>
          <w:sz w:val="22"/>
        </w:rPr>
        <w:t>这两个行业的企业家信心指数处于较强景气的边缘，预计下季度</w:t>
      </w:r>
      <w:proofErr w:type="gramStart"/>
      <w:r w:rsidR="009B2903">
        <w:rPr>
          <w:rFonts w:ascii="仿宋_GB2312" w:eastAsia="仿宋_GB2312" w:hint="eastAsia"/>
          <w:sz w:val="22"/>
        </w:rPr>
        <w:t>双指标</w:t>
      </w:r>
      <w:proofErr w:type="gramEnd"/>
      <w:r w:rsidR="007540FF">
        <w:rPr>
          <w:rFonts w:ascii="仿宋_GB2312" w:eastAsia="仿宋_GB2312" w:hint="eastAsia"/>
          <w:sz w:val="22"/>
        </w:rPr>
        <w:t>会有大幅提升。第三梯队是新一代信息技术产业，虽然本季度行业景气大幅下降，</w:t>
      </w:r>
      <w:r w:rsidR="00DD274D">
        <w:rPr>
          <w:rFonts w:ascii="仿宋_GB2312" w:eastAsia="仿宋_GB2312" w:hint="eastAsia"/>
          <w:sz w:val="22"/>
        </w:rPr>
        <w:t>达到2014年以来的最低值，</w:t>
      </w:r>
      <w:r w:rsidR="007540FF">
        <w:rPr>
          <w:rFonts w:ascii="仿宋_GB2312" w:eastAsia="仿宋_GB2312" w:hint="eastAsia"/>
          <w:sz w:val="22"/>
        </w:rPr>
        <w:t>但</w:t>
      </w:r>
      <w:r w:rsidR="009B2903">
        <w:rPr>
          <w:rFonts w:ascii="仿宋_GB2312" w:eastAsia="仿宋_GB2312" w:hint="eastAsia"/>
          <w:sz w:val="22"/>
        </w:rPr>
        <w:t>凭借</w:t>
      </w:r>
      <w:r w:rsidR="007540FF">
        <w:rPr>
          <w:rFonts w:ascii="仿宋_GB2312" w:eastAsia="仿宋_GB2312" w:hint="eastAsia"/>
          <w:sz w:val="22"/>
        </w:rPr>
        <w:t>去年</w:t>
      </w:r>
      <w:r w:rsidR="009B2903">
        <w:rPr>
          <w:rFonts w:ascii="仿宋_GB2312" w:eastAsia="仿宋_GB2312" w:hint="eastAsia"/>
          <w:sz w:val="22"/>
        </w:rPr>
        <w:t>的不俗表现</w:t>
      </w:r>
      <w:r w:rsidR="007540FF">
        <w:rPr>
          <w:rFonts w:ascii="仿宋_GB2312" w:eastAsia="仿宋_GB2312" w:hint="eastAsia"/>
          <w:sz w:val="22"/>
        </w:rPr>
        <w:t>有潜力反弹。第四梯队是节能环保、新材料和高端装备制造产业，</w:t>
      </w:r>
      <w:r w:rsidR="00175C41">
        <w:rPr>
          <w:rFonts w:ascii="仿宋_GB2312" w:eastAsia="仿宋_GB2312" w:hint="eastAsia"/>
          <w:sz w:val="22"/>
        </w:rPr>
        <w:t>这三个产业的行业景气指数连续三个季度</w:t>
      </w:r>
      <w:r w:rsidR="00175C41">
        <w:rPr>
          <w:rFonts w:ascii="仿宋_GB2312" w:eastAsia="仿宋_GB2312" w:hint="eastAsia"/>
          <w:sz w:val="22"/>
        </w:rPr>
        <w:lastRenderedPageBreak/>
        <w:t>都在120上下徘徊，</w:t>
      </w:r>
      <w:r w:rsidR="00741D42">
        <w:rPr>
          <w:rFonts w:ascii="仿宋_GB2312" w:eastAsia="仿宋_GB2312" w:hint="eastAsia"/>
          <w:sz w:val="22"/>
        </w:rPr>
        <w:t>其中，</w:t>
      </w:r>
      <w:r w:rsidR="00175C41">
        <w:rPr>
          <w:rFonts w:ascii="仿宋_GB2312" w:eastAsia="仿宋_GB2312" w:hint="eastAsia"/>
          <w:sz w:val="22"/>
        </w:rPr>
        <w:t>节能环保产业即期行业景气指数为119.4，是七大产业中即期和预期都最不景气的产业。</w:t>
      </w:r>
      <w:r w:rsidRPr="004A6EC9">
        <w:rPr>
          <w:rFonts w:ascii="仿宋_GB2312" w:eastAsia="仿宋_GB2312"/>
          <w:sz w:val="22"/>
        </w:rPr>
        <w:t xml:space="preserve"> </w:t>
      </w:r>
    </w:p>
    <w:p w:rsidR="006300CE" w:rsidRPr="004A6EC9" w:rsidRDefault="006300CE" w:rsidP="00582724">
      <w:pPr>
        <w:spacing w:line="360" w:lineRule="auto"/>
        <w:ind w:firstLineChars="200" w:firstLine="440"/>
        <w:rPr>
          <w:rFonts w:ascii="仿宋_GB2312" w:eastAsia="仿宋_GB2312"/>
          <w:sz w:val="22"/>
        </w:rPr>
      </w:pPr>
    </w:p>
    <w:p w:rsidR="00654111" w:rsidRPr="00582724" w:rsidRDefault="006917E5" w:rsidP="006917E5">
      <w:pPr>
        <w:spacing w:line="360" w:lineRule="auto"/>
        <w:jc w:val="center"/>
        <w:rPr>
          <w:rFonts w:ascii="仿宋_GB2312" w:eastAsia="仿宋_GB2312"/>
          <w:sz w:val="22"/>
        </w:rPr>
      </w:pPr>
      <w:r w:rsidRPr="006917E5">
        <w:rPr>
          <w:rFonts w:asciiTheme="minorEastAsia" w:hAnsiTheme="minorEastAsia" w:hint="eastAsia"/>
          <w:sz w:val="20"/>
        </w:rPr>
        <w:t>表1  战略性新兴产业</w:t>
      </w:r>
      <w:r w:rsidR="006E6C9E">
        <w:rPr>
          <w:rFonts w:asciiTheme="minorEastAsia" w:hAnsiTheme="minorEastAsia" w:hint="eastAsia"/>
          <w:sz w:val="20"/>
        </w:rPr>
        <w:t>2016年一</w:t>
      </w:r>
      <w:r w:rsidRPr="006917E5">
        <w:rPr>
          <w:rFonts w:asciiTheme="minorEastAsia" w:hAnsiTheme="minorEastAsia" w:hint="eastAsia"/>
          <w:sz w:val="20"/>
        </w:rPr>
        <w:t>季度和2016</w:t>
      </w:r>
      <w:r w:rsidR="006E6C9E">
        <w:rPr>
          <w:rFonts w:asciiTheme="minorEastAsia" w:hAnsiTheme="minorEastAsia" w:hint="eastAsia"/>
          <w:sz w:val="20"/>
        </w:rPr>
        <w:t>年二</w:t>
      </w:r>
      <w:r w:rsidRPr="006917E5">
        <w:rPr>
          <w:rFonts w:asciiTheme="minorEastAsia" w:hAnsiTheme="minorEastAsia" w:hint="eastAsia"/>
          <w:sz w:val="20"/>
        </w:rPr>
        <w:t>季度预期指数（分产业）</w:t>
      </w:r>
    </w:p>
    <w:tbl>
      <w:tblPr>
        <w:tblStyle w:val="a4"/>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51"/>
        <w:gridCol w:w="1275"/>
        <w:gridCol w:w="751"/>
        <w:gridCol w:w="100"/>
        <w:gridCol w:w="1134"/>
        <w:gridCol w:w="896"/>
        <w:gridCol w:w="96"/>
        <w:gridCol w:w="969"/>
        <w:gridCol w:w="1066"/>
      </w:tblGrid>
      <w:tr w:rsidR="00E278F9" w:rsidRPr="00582724" w:rsidTr="00E278F9">
        <w:tc>
          <w:tcPr>
            <w:tcW w:w="1384" w:type="dxa"/>
            <w:shd w:val="clear" w:color="auto" w:fill="F2F2F2" w:themeFill="background1" w:themeFillShade="F2"/>
          </w:tcPr>
          <w:p w:rsidR="00654111" w:rsidRPr="00582724" w:rsidRDefault="00654111" w:rsidP="00E278F9">
            <w:pPr>
              <w:spacing w:line="360" w:lineRule="auto"/>
              <w:rPr>
                <w:rFonts w:ascii="仿宋_GB2312" w:eastAsia="仿宋_GB2312" w:hAnsi="Arial" w:cs="Arial"/>
                <w:color w:val="333333"/>
              </w:rPr>
            </w:pPr>
          </w:p>
        </w:tc>
        <w:tc>
          <w:tcPr>
            <w:tcW w:w="851" w:type="dxa"/>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节能环保</w:t>
            </w:r>
          </w:p>
        </w:tc>
        <w:tc>
          <w:tcPr>
            <w:tcW w:w="1275" w:type="dxa"/>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新一代信息技术</w:t>
            </w:r>
          </w:p>
        </w:tc>
        <w:tc>
          <w:tcPr>
            <w:tcW w:w="851" w:type="dxa"/>
            <w:gridSpan w:val="2"/>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生物</w:t>
            </w:r>
          </w:p>
        </w:tc>
        <w:tc>
          <w:tcPr>
            <w:tcW w:w="1134" w:type="dxa"/>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高端装备制造</w:t>
            </w:r>
          </w:p>
        </w:tc>
        <w:tc>
          <w:tcPr>
            <w:tcW w:w="992" w:type="dxa"/>
            <w:gridSpan w:val="2"/>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w:t>
            </w:r>
          </w:p>
        </w:tc>
        <w:tc>
          <w:tcPr>
            <w:tcW w:w="969" w:type="dxa"/>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新材料</w:t>
            </w:r>
          </w:p>
        </w:tc>
        <w:tc>
          <w:tcPr>
            <w:tcW w:w="1066" w:type="dxa"/>
            <w:shd w:val="clear" w:color="auto" w:fill="F2F2F2" w:themeFill="background1" w:themeFillShade="F2"/>
            <w:vAlign w:val="center"/>
          </w:tcPr>
          <w:p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新能源汽车</w:t>
            </w:r>
          </w:p>
        </w:tc>
      </w:tr>
      <w:tr w:rsidR="006E6C9E" w:rsidRPr="00582724" w:rsidTr="00FC1FD1">
        <w:tc>
          <w:tcPr>
            <w:tcW w:w="1384" w:type="dxa"/>
            <w:shd w:val="clear" w:color="auto" w:fill="F2F2F2" w:themeFill="background1" w:themeFillShade="F2"/>
          </w:tcPr>
          <w:p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即期企业家信心指数</w:t>
            </w:r>
          </w:p>
        </w:tc>
        <w:tc>
          <w:tcPr>
            <w:tcW w:w="851" w:type="dxa"/>
          </w:tcPr>
          <w:p w:rsidR="006E6C9E" w:rsidRPr="00472808" w:rsidRDefault="006E6C9E" w:rsidP="00786C41">
            <w:pPr>
              <w:jc w:val="center"/>
              <w:rPr>
                <w:rFonts w:asciiTheme="minorEastAsia" w:hAnsiTheme="minorEastAsia"/>
              </w:rPr>
            </w:pPr>
            <w:r w:rsidRPr="00472808">
              <w:rPr>
                <w:rFonts w:asciiTheme="minorEastAsia" w:hAnsiTheme="minorEastAsia"/>
              </w:rPr>
              <w:t>124.5</w:t>
            </w:r>
          </w:p>
        </w:tc>
        <w:tc>
          <w:tcPr>
            <w:tcW w:w="1275" w:type="dxa"/>
          </w:tcPr>
          <w:p w:rsidR="006E6C9E" w:rsidRPr="00472808" w:rsidRDefault="006E6C9E" w:rsidP="00786C41">
            <w:pPr>
              <w:jc w:val="center"/>
              <w:rPr>
                <w:rFonts w:asciiTheme="minorEastAsia" w:hAnsiTheme="minorEastAsia"/>
              </w:rPr>
            </w:pPr>
            <w:r w:rsidRPr="00472808">
              <w:rPr>
                <w:rFonts w:asciiTheme="minorEastAsia" w:hAnsiTheme="minorEastAsia"/>
              </w:rPr>
              <w:t>138.6</w:t>
            </w:r>
          </w:p>
        </w:tc>
        <w:tc>
          <w:tcPr>
            <w:tcW w:w="751" w:type="dxa"/>
          </w:tcPr>
          <w:p w:rsidR="006E6C9E" w:rsidRPr="00472808" w:rsidRDefault="006E6C9E" w:rsidP="00786C41">
            <w:pPr>
              <w:jc w:val="center"/>
              <w:rPr>
                <w:rFonts w:asciiTheme="minorEastAsia" w:hAnsiTheme="minorEastAsia"/>
              </w:rPr>
            </w:pPr>
            <w:r w:rsidRPr="00472808">
              <w:rPr>
                <w:rFonts w:asciiTheme="minorEastAsia" w:hAnsiTheme="minorEastAsia"/>
              </w:rPr>
              <w:t>147.5</w:t>
            </w:r>
          </w:p>
        </w:tc>
        <w:tc>
          <w:tcPr>
            <w:tcW w:w="1234" w:type="dxa"/>
            <w:gridSpan w:val="2"/>
          </w:tcPr>
          <w:p w:rsidR="006E6C9E" w:rsidRPr="00472808" w:rsidRDefault="006E6C9E" w:rsidP="00786C41">
            <w:pPr>
              <w:jc w:val="center"/>
              <w:rPr>
                <w:rFonts w:asciiTheme="minorEastAsia" w:hAnsiTheme="minorEastAsia"/>
              </w:rPr>
            </w:pPr>
            <w:r w:rsidRPr="00472808">
              <w:rPr>
                <w:rFonts w:asciiTheme="minorEastAsia" w:hAnsiTheme="minorEastAsia"/>
              </w:rPr>
              <w:t>123.9</w:t>
            </w:r>
          </w:p>
        </w:tc>
        <w:tc>
          <w:tcPr>
            <w:tcW w:w="896" w:type="dxa"/>
          </w:tcPr>
          <w:p w:rsidR="006E6C9E" w:rsidRPr="00472808" w:rsidRDefault="006E6C9E" w:rsidP="00786C41">
            <w:pPr>
              <w:jc w:val="center"/>
              <w:rPr>
                <w:rFonts w:asciiTheme="minorEastAsia" w:hAnsiTheme="minorEastAsia"/>
              </w:rPr>
            </w:pPr>
            <w:r w:rsidRPr="00472808">
              <w:rPr>
                <w:rFonts w:asciiTheme="minorEastAsia" w:hAnsiTheme="minorEastAsia"/>
              </w:rPr>
              <w:t>156.3</w:t>
            </w:r>
          </w:p>
        </w:tc>
        <w:tc>
          <w:tcPr>
            <w:tcW w:w="1065" w:type="dxa"/>
            <w:gridSpan w:val="2"/>
          </w:tcPr>
          <w:p w:rsidR="006E6C9E" w:rsidRPr="00472808" w:rsidRDefault="006E6C9E" w:rsidP="00786C41">
            <w:pPr>
              <w:jc w:val="center"/>
              <w:rPr>
                <w:rFonts w:asciiTheme="minorEastAsia" w:hAnsiTheme="minorEastAsia"/>
              </w:rPr>
            </w:pPr>
            <w:r w:rsidRPr="00472808">
              <w:rPr>
                <w:rFonts w:asciiTheme="minorEastAsia" w:hAnsiTheme="minorEastAsia"/>
              </w:rPr>
              <w:t>124.5</w:t>
            </w:r>
          </w:p>
        </w:tc>
        <w:tc>
          <w:tcPr>
            <w:tcW w:w="1066" w:type="dxa"/>
          </w:tcPr>
          <w:p w:rsidR="006E6C9E" w:rsidRPr="00472808" w:rsidRDefault="006E6C9E" w:rsidP="00786C41">
            <w:pPr>
              <w:jc w:val="center"/>
              <w:rPr>
                <w:rFonts w:asciiTheme="minorEastAsia" w:hAnsiTheme="minorEastAsia"/>
              </w:rPr>
            </w:pPr>
            <w:r w:rsidRPr="00472808">
              <w:rPr>
                <w:rFonts w:asciiTheme="minorEastAsia" w:hAnsiTheme="minorEastAsia"/>
              </w:rPr>
              <w:t>148.9</w:t>
            </w:r>
          </w:p>
        </w:tc>
      </w:tr>
      <w:tr w:rsidR="006E6C9E" w:rsidRPr="00582724" w:rsidTr="00FC1FD1">
        <w:tc>
          <w:tcPr>
            <w:tcW w:w="1384" w:type="dxa"/>
            <w:shd w:val="clear" w:color="auto" w:fill="DAEEF3" w:themeFill="accent5" w:themeFillTint="33"/>
          </w:tcPr>
          <w:p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预期企业家信心指数</w:t>
            </w:r>
          </w:p>
        </w:tc>
        <w:tc>
          <w:tcPr>
            <w:tcW w:w="851"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130.9</w:t>
            </w:r>
          </w:p>
        </w:tc>
        <w:tc>
          <w:tcPr>
            <w:tcW w:w="1275"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153.4</w:t>
            </w:r>
          </w:p>
        </w:tc>
        <w:tc>
          <w:tcPr>
            <w:tcW w:w="751"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153.8</w:t>
            </w:r>
          </w:p>
        </w:tc>
        <w:tc>
          <w:tcPr>
            <w:tcW w:w="1234" w:type="dxa"/>
            <w:gridSpan w:val="2"/>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136.6</w:t>
            </w:r>
          </w:p>
        </w:tc>
        <w:tc>
          <w:tcPr>
            <w:tcW w:w="896"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162.5</w:t>
            </w:r>
          </w:p>
        </w:tc>
        <w:tc>
          <w:tcPr>
            <w:tcW w:w="1065" w:type="dxa"/>
            <w:gridSpan w:val="2"/>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140.4</w:t>
            </w:r>
          </w:p>
        </w:tc>
        <w:tc>
          <w:tcPr>
            <w:tcW w:w="1066"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161.7</w:t>
            </w:r>
          </w:p>
        </w:tc>
      </w:tr>
      <w:tr w:rsidR="006E6C9E" w:rsidRPr="00582724" w:rsidTr="00FC1FD1">
        <w:tc>
          <w:tcPr>
            <w:tcW w:w="1384" w:type="dxa"/>
            <w:shd w:val="clear" w:color="auto" w:fill="F2F2F2" w:themeFill="background1" w:themeFillShade="F2"/>
          </w:tcPr>
          <w:p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即期行业景气指数</w:t>
            </w:r>
          </w:p>
        </w:tc>
        <w:tc>
          <w:tcPr>
            <w:tcW w:w="851" w:type="dxa"/>
          </w:tcPr>
          <w:p w:rsidR="006E6C9E" w:rsidRPr="00472808" w:rsidRDefault="006E6C9E" w:rsidP="00786C41">
            <w:pPr>
              <w:jc w:val="center"/>
              <w:rPr>
                <w:rFonts w:asciiTheme="minorEastAsia" w:hAnsiTheme="minorEastAsia"/>
              </w:rPr>
            </w:pPr>
            <w:r w:rsidRPr="00472808">
              <w:rPr>
                <w:rFonts w:asciiTheme="minorEastAsia" w:hAnsiTheme="minorEastAsia"/>
              </w:rPr>
              <w:t>119.4</w:t>
            </w:r>
          </w:p>
        </w:tc>
        <w:tc>
          <w:tcPr>
            <w:tcW w:w="1275" w:type="dxa"/>
          </w:tcPr>
          <w:p w:rsidR="006E6C9E" w:rsidRPr="00472808" w:rsidRDefault="006E6C9E" w:rsidP="00786C41">
            <w:pPr>
              <w:jc w:val="center"/>
              <w:rPr>
                <w:rFonts w:asciiTheme="minorEastAsia" w:hAnsiTheme="minorEastAsia"/>
              </w:rPr>
            </w:pPr>
            <w:r w:rsidRPr="00472808">
              <w:rPr>
                <w:rFonts w:asciiTheme="minorEastAsia" w:hAnsiTheme="minorEastAsia"/>
              </w:rPr>
              <w:t>130.1</w:t>
            </w:r>
          </w:p>
        </w:tc>
        <w:tc>
          <w:tcPr>
            <w:tcW w:w="751" w:type="dxa"/>
          </w:tcPr>
          <w:p w:rsidR="006E6C9E" w:rsidRPr="00472808" w:rsidRDefault="006E6C9E" w:rsidP="00786C41">
            <w:pPr>
              <w:jc w:val="center"/>
              <w:rPr>
                <w:rFonts w:asciiTheme="minorEastAsia" w:hAnsiTheme="minorEastAsia"/>
              </w:rPr>
            </w:pPr>
            <w:r w:rsidRPr="00472808">
              <w:rPr>
                <w:rFonts w:asciiTheme="minorEastAsia" w:hAnsiTheme="minorEastAsia"/>
              </w:rPr>
              <w:t>143.6</w:t>
            </w:r>
          </w:p>
        </w:tc>
        <w:tc>
          <w:tcPr>
            <w:tcW w:w="1234" w:type="dxa"/>
            <w:gridSpan w:val="2"/>
          </w:tcPr>
          <w:p w:rsidR="006E6C9E" w:rsidRPr="00472808" w:rsidRDefault="006E6C9E" w:rsidP="00786C41">
            <w:pPr>
              <w:jc w:val="center"/>
              <w:rPr>
                <w:rFonts w:asciiTheme="minorEastAsia" w:hAnsiTheme="minorEastAsia"/>
              </w:rPr>
            </w:pPr>
            <w:r w:rsidRPr="00472808">
              <w:rPr>
                <w:rFonts w:asciiTheme="minorEastAsia" w:hAnsiTheme="minorEastAsia"/>
              </w:rPr>
              <w:t>124.6</w:t>
            </w:r>
          </w:p>
        </w:tc>
        <w:tc>
          <w:tcPr>
            <w:tcW w:w="896" w:type="dxa"/>
          </w:tcPr>
          <w:p w:rsidR="006E6C9E" w:rsidRPr="00472808" w:rsidRDefault="006E6C9E" w:rsidP="00786C41">
            <w:pPr>
              <w:jc w:val="center"/>
              <w:rPr>
                <w:rFonts w:asciiTheme="minorEastAsia" w:hAnsiTheme="minorEastAsia"/>
              </w:rPr>
            </w:pPr>
            <w:r w:rsidRPr="00472808">
              <w:rPr>
                <w:rFonts w:asciiTheme="minorEastAsia" w:hAnsiTheme="minorEastAsia"/>
              </w:rPr>
              <w:t>145.0</w:t>
            </w:r>
          </w:p>
        </w:tc>
        <w:tc>
          <w:tcPr>
            <w:tcW w:w="1065" w:type="dxa"/>
            <w:gridSpan w:val="2"/>
          </w:tcPr>
          <w:p w:rsidR="006E6C9E" w:rsidRPr="00472808" w:rsidRDefault="006E6C9E" w:rsidP="00786C41">
            <w:pPr>
              <w:jc w:val="center"/>
              <w:rPr>
                <w:rFonts w:asciiTheme="minorEastAsia" w:hAnsiTheme="minorEastAsia"/>
              </w:rPr>
            </w:pPr>
            <w:r w:rsidRPr="00472808">
              <w:rPr>
                <w:rFonts w:asciiTheme="minorEastAsia" w:hAnsiTheme="minorEastAsia"/>
              </w:rPr>
              <w:t>122.5</w:t>
            </w:r>
          </w:p>
        </w:tc>
        <w:tc>
          <w:tcPr>
            <w:tcW w:w="1066" w:type="dxa"/>
          </w:tcPr>
          <w:p w:rsidR="006E6C9E" w:rsidRPr="00472808" w:rsidRDefault="006E6C9E" w:rsidP="00786C41">
            <w:pPr>
              <w:jc w:val="center"/>
              <w:rPr>
                <w:rFonts w:asciiTheme="minorEastAsia" w:hAnsiTheme="minorEastAsia"/>
              </w:rPr>
            </w:pPr>
            <w:r w:rsidRPr="00472808">
              <w:rPr>
                <w:rFonts w:asciiTheme="minorEastAsia" w:hAnsiTheme="minorEastAsia"/>
              </w:rPr>
              <w:t>136.2</w:t>
            </w:r>
          </w:p>
        </w:tc>
      </w:tr>
      <w:tr w:rsidR="006E6C9E" w:rsidRPr="00582724" w:rsidTr="00FC1FD1">
        <w:tc>
          <w:tcPr>
            <w:tcW w:w="1384" w:type="dxa"/>
            <w:shd w:val="clear" w:color="auto" w:fill="DAEEF3" w:themeFill="accent5" w:themeFillTint="33"/>
          </w:tcPr>
          <w:p w:rsidR="006E6C9E" w:rsidRPr="00582724" w:rsidRDefault="006E6C9E" w:rsidP="006E6C9E">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预期行业景气指数</w:t>
            </w:r>
          </w:p>
        </w:tc>
        <w:tc>
          <w:tcPr>
            <w:tcW w:w="851"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143.2</w:t>
            </w:r>
          </w:p>
        </w:tc>
        <w:tc>
          <w:tcPr>
            <w:tcW w:w="1275"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158.0</w:t>
            </w:r>
          </w:p>
        </w:tc>
        <w:tc>
          <w:tcPr>
            <w:tcW w:w="751"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157.6</w:t>
            </w:r>
          </w:p>
        </w:tc>
        <w:tc>
          <w:tcPr>
            <w:tcW w:w="1234" w:type="dxa"/>
            <w:gridSpan w:val="2"/>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149.3</w:t>
            </w:r>
          </w:p>
        </w:tc>
        <w:tc>
          <w:tcPr>
            <w:tcW w:w="896"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157.5</w:t>
            </w:r>
          </w:p>
        </w:tc>
        <w:tc>
          <w:tcPr>
            <w:tcW w:w="1065" w:type="dxa"/>
            <w:gridSpan w:val="2"/>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143.7</w:t>
            </w:r>
          </w:p>
        </w:tc>
        <w:tc>
          <w:tcPr>
            <w:tcW w:w="1066" w:type="dxa"/>
            <w:shd w:val="clear" w:color="auto" w:fill="DAEEF3" w:themeFill="accent5" w:themeFillTint="33"/>
          </w:tcPr>
          <w:p w:rsidR="006E6C9E" w:rsidRPr="00472808" w:rsidRDefault="006E6C9E" w:rsidP="00786C41">
            <w:pPr>
              <w:jc w:val="center"/>
              <w:rPr>
                <w:rFonts w:asciiTheme="minorEastAsia" w:hAnsiTheme="minorEastAsia"/>
              </w:rPr>
            </w:pPr>
            <w:r w:rsidRPr="00472808">
              <w:rPr>
                <w:rFonts w:asciiTheme="minorEastAsia" w:hAnsiTheme="minorEastAsia"/>
              </w:rPr>
              <w:t>159.6</w:t>
            </w:r>
          </w:p>
        </w:tc>
      </w:tr>
    </w:tbl>
    <w:p w:rsidR="006917E5" w:rsidRDefault="006917E5" w:rsidP="00582724">
      <w:pPr>
        <w:spacing w:line="360" w:lineRule="auto"/>
        <w:ind w:firstLineChars="200" w:firstLine="440"/>
        <w:rPr>
          <w:rFonts w:ascii="仿宋_GB2312" w:eastAsia="仿宋_GB2312"/>
          <w:sz w:val="22"/>
        </w:rPr>
      </w:pPr>
    </w:p>
    <w:p w:rsidR="003C2B3F" w:rsidRPr="003C2B3F" w:rsidRDefault="003C2B3F" w:rsidP="00582724">
      <w:pPr>
        <w:spacing w:line="360" w:lineRule="auto"/>
        <w:ind w:firstLineChars="200" w:firstLine="440"/>
        <w:rPr>
          <w:rFonts w:ascii="仿宋_GB2312" w:eastAsia="仿宋_GB2312"/>
          <w:sz w:val="22"/>
        </w:rPr>
      </w:pPr>
      <w:r w:rsidRPr="003C2B3F">
        <w:rPr>
          <w:rFonts w:ascii="仿宋_GB2312" w:eastAsia="仿宋_GB2312" w:hint="eastAsia"/>
          <w:sz w:val="22"/>
        </w:rPr>
        <w:t>从</w:t>
      </w:r>
      <w:r>
        <w:rPr>
          <w:rFonts w:ascii="仿宋_GB2312" w:eastAsia="仿宋_GB2312" w:hint="eastAsia"/>
          <w:sz w:val="22"/>
        </w:rPr>
        <w:t>七大产业的发展趋势来看，新材料、高端装备制造和生物产业呈现上涨态势（见图13），</w:t>
      </w:r>
      <w:r w:rsidR="004A6EC9">
        <w:rPr>
          <w:rFonts w:ascii="仿宋_GB2312" w:eastAsia="仿宋_GB2312" w:hint="eastAsia"/>
          <w:sz w:val="22"/>
        </w:rPr>
        <w:t>其中，新材料和生物产业历经三个季度的下跌后出现反弹；</w:t>
      </w:r>
      <w:r>
        <w:rPr>
          <w:rFonts w:ascii="仿宋_GB2312" w:eastAsia="仿宋_GB2312" w:hint="eastAsia"/>
          <w:sz w:val="22"/>
        </w:rPr>
        <w:t>新能源产业稳</w:t>
      </w:r>
      <w:r w:rsidR="004A6EC9">
        <w:rPr>
          <w:rFonts w:ascii="仿宋_GB2312" w:eastAsia="仿宋_GB2312" w:hint="eastAsia"/>
          <w:sz w:val="22"/>
        </w:rPr>
        <w:t>中有进；</w:t>
      </w:r>
      <w:r w:rsidR="00877E7F">
        <w:rPr>
          <w:rFonts w:ascii="仿宋_GB2312" w:eastAsia="仿宋_GB2312" w:hint="eastAsia"/>
          <w:sz w:val="22"/>
        </w:rPr>
        <w:t>节能环保产业延续前三季的下滑态势；</w:t>
      </w:r>
      <w:r>
        <w:rPr>
          <w:rFonts w:ascii="仿宋_GB2312" w:eastAsia="仿宋_GB2312" w:hint="eastAsia"/>
          <w:sz w:val="22"/>
        </w:rPr>
        <w:t>新能源</w:t>
      </w:r>
      <w:r w:rsidR="004A6EC9">
        <w:rPr>
          <w:rFonts w:ascii="仿宋_GB2312" w:eastAsia="仿宋_GB2312" w:hint="eastAsia"/>
          <w:sz w:val="22"/>
        </w:rPr>
        <w:t>汽车和</w:t>
      </w:r>
      <w:r>
        <w:rPr>
          <w:rFonts w:ascii="仿宋_GB2312" w:eastAsia="仿宋_GB2312" w:hint="eastAsia"/>
          <w:sz w:val="22"/>
        </w:rPr>
        <w:t>新一代信息技术</w:t>
      </w:r>
      <w:r w:rsidR="004A6EC9">
        <w:rPr>
          <w:rFonts w:ascii="仿宋_GB2312" w:eastAsia="仿宋_GB2312" w:hint="eastAsia"/>
          <w:sz w:val="22"/>
        </w:rPr>
        <w:t>产业</w:t>
      </w:r>
      <w:r>
        <w:rPr>
          <w:rFonts w:ascii="仿宋_GB2312" w:eastAsia="仿宋_GB2312" w:hint="eastAsia"/>
          <w:sz w:val="22"/>
        </w:rPr>
        <w:t>表现出较为显著的下滑趋势</w:t>
      </w:r>
      <w:r w:rsidR="004A6EC9">
        <w:rPr>
          <w:rFonts w:ascii="仿宋_GB2312" w:eastAsia="仿宋_GB2312" w:hint="eastAsia"/>
          <w:sz w:val="22"/>
        </w:rPr>
        <w:t>，为2015年以来的最低</w:t>
      </w:r>
      <w:r w:rsidR="00877E7F">
        <w:rPr>
          <w:rFonts w:ascii="仿宋_GB2312" w:eastAsia="仿宋_GB2312" w:hint="eastAsia"/>
          <w:sz w:val="22"/>
        </w:rPr>
        <w:t>水平</w:t>
      </w:r>
      <w:r>
        <w:rPr>
          <w:rFonts w:ascii="仿宋_GB2312" w:eastAsia="仿宋_GB2312" w:hint="eastAsia"/>
          <w:sz w:val="22"/>
        </w:rPr>
        <w:t>。</w:t>
      </w:r>
    </w:p>
    <w:p w:rsidR="00177CE8" w:rsidRDefault="00177CE8" w:rsidP="00582724">
      <w:pPr>
        <w:spacing w:line="360" w:lineRule="auto"/>
        <w:ind w:firstLineChars="200" w:firstLine="440"/>
        <w:rPr>
          <w:rFonts w:ascii="仿宋_GB2312" w:eastAsia="仿宋_GB2312"/>
          <w:sz w:val="22"/>
        </w:rPr>
      </w:pPr>
    </w:p>
    <w:p w:rsidR="00E11929" w:rsidRDefault="00FC1FD1" w:rsidP="00177CE8">
      <w:pPr>
        <w:spacing w:line="360" w:lineRule="auto"/>
        <w:ind w:firstLineChars="67" w:firstLine="141"/>
        <w:rPr>
          <w:rFonts w:ascii="仿宋_GB2312" w:eastAsia="仿宋_GB2312"/>
          <w:sz w:val="22"/>
        </w:rPr>
      </w:pPr>
      <w:r>
        <w:rPr>
          <w:noProof/>
        </w:rPr>
        <w:drawing>
          <wp:inline distT="0" distB="0" distL="0" distR="0" wp14:anchorId="30865D63" wp14:editId="3B8DD45A">
            <wp:extent cx="5248275" cy="2743200"/>
            <wp:effectExtent l="0" t="0" r="9525"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17E5" w:rsidRDefault="00831587" w:rsidP="00831587">
      <w:pPr>
        <w:spacing w:line="360" w:lineRule="auto"/>
        <w:jc w:val="center"/>
        <w:rPr>
          <w:rFonts w:asciiTheme="minorEastAsia" w:hAnsiTheme="minorEastAsia"/>
          <w:sz w:val="20"/>
        </w:rPr>
      </w:pPr>
      <w:r w:rsidRPr="006933C7">
        <w:rPr>
          <w:rFonts w:asciiTheme="minorEastAsia" w:hAnsiTheme="minorEastAsia" w:hint="eastAsia"/>
          <w:sz w:val="20"/>
        </w:rPr>
        <w:lastRenderedPageBreak/>
        <w:t>图13 2015年以来战略性新兴产业行业景气指数（分产业）</w:t>
      </w:r>
    </w:p>
    <w:p w:rsidR="00E11929" w:rsidRDefault="00E11929" w:rsidP="00831587">
      <w:pPr>
        <w:spacing w:line="360" w:lineRule="auto"/>
        <w:jc w:val="center"/>
        <w:rPr>
          <w:rFonts w:ascii="仿宋_GB2312" w:eastAsia="仿宋_GB2312"/>
          <w:sz w:val="22"/>
        </w:rPr>
      </w:pPr>
    </w:p>
    <w:p w:rsidR="007263B5" w:rsidRPr="007263B5" w:rsidRDefault="007263B5" w:rsidP="007263B5">
      <w:pPr>
        <w:spacing w:line="360" w:lineRule="auto"/>
        <w:ind w:firstLineChars="200" w:firstLine="442"/>
        <w:rPr>
          <w:rFonts w:ascii="仿宋_GB2312" w:eastAsia="仿宋_GB2312"/>
          <w:b/>
          <w:sz w:val="22"/>
        </w:rPr>
      </w:pPr>
      <w:r>
        <w:rPr>
          <w:rFonts w:ascii="仿宋_GB2312" w:eastAsia="仿宋_GB2312" w:hint="eastAsia"/>
          <w:b/>
          <w:sz w:val="22"/>
        </w:rPr>
        <w:t>3、东部省份</w:t>
      </w:r>
      <w:r w:rsidR="001D189D">
        <w:rPr>
          <w:rFonts w:ascii="仿宋_GB2312" w:eastAsia="仿宋_GB2312" w:hint="eastAsia"/>
          <w:b/>
          <w:sz w:val="22"/>
        </w:rPr>
        <w:t>行业景气度较高</w:t>
      </w:r>
    </w:p>
    <w:p w:rsidR="001D189D" w:rsidRDefault="00D96703" w:rsidP="001D189D">
      <w:pPr>
        <w:spacing w:line="360" w:lineRule="auto"/>
        <w:ind w:firstLineChars="200" w:firstLine="440"/>
        <w:rPr>
          <w:rFonts w:ascii="仿宋_GB2312" w:eastAsia="仿宋_GB2312"/>
          <w:sz w:val="22"/>
        </w:rPr>
      </w:pPr>
      <w:r w:rsidRPr="00582724">
        <w:rPr>
          <w:rFonts w:ascii="仿宋_GB2312" w:eastAsia="仿宋_GB2312" w:hint="eastAsia"/>
          <w:sz w:val="22"/>
        </w:rPr>
        <w:t>从各个省市来看，</w:t>
      </w:r>
      <w:r>
        <w:rPr>
          <w:rFonts w:ascii="仿宋_GB2312" w:eastAsia="仿宋_GB2312" w:hint="eastAsia"/>
          <w:sz w:val="22"/>
        </w:rPr>
        <w:t>大部分省市的景气指数在120以上，处于较为景气区间（见表2）。整体来看，景气度排名较</w:t>
      </w:r>
      <w:r w:rsidR="00CE35F0">
        <w:rPr>
          <w:rFonts w:ascii="仿宋_GB2312" w:eastAsia="仿宋_GB2312" w:hint="eastAsia"/>
          <w:sz w:val="22"/>
        </w:rPr>
        <w:t>靠</w:t>
      </w:r>
      <w:r>
        <w:rPr>
          <w:rFonts w:ascii="仿宋_GB2312" w:eastAsia="仿宋_GB2312" w:hint="eastAsia"/>
          <w:sz w:val="22"/>
        </w:rPr>
        <w:t>前的仍然是东部发达省份，如广东、上海、北京、江苏</w:t>
      </w:r>
      <w:r w:rsidRPr="00582724">
        <w:rPr>
          <w:rFonts w:ascii="仿宋_GB2312" w:eastAsia="仿宋_GB2312" w:hint="eastAsia"/>
          <w:sz w:val="22"/>
        </w:rPr>
        <w:t>等，排名较落后的省市集中分布在</w:t>
      </w:r>
      <w:r>
        <w:rPr>
          <w:rFonts w:ascii="仿宋_GB2312" w:eastAsia="仿宋_GB2312" w:hint="eastAsia"/>
          <w:sz w:val="22"/>
        </w:rPr>
        <w:t>中</w:t>
      </w:r>
      <w:r w:rsidRPr="00582724">
        <w:rPr>
          <w:rFonts w:ascii="仿宋_GB2312" w:eastAsia="仿宋_GB2312" w:hint="eastAsia"/>
          <w:sz w:val="22"/>
        </w:rPr>
        <w:t>西部，与当前经济发展水平相一致。</w:t>
      </w:r>
      <w:r w:rsidR="00C548B4">
        <w:rPr>
          <w:rFonts w:ascii="仿宋_GB2312" w:eastAsia="仿宋_GB2312" w:hint="eastAsia"/>
          <w:sz w:val="22"/>
        </w:rPr>
        <w:t>根据统计学原理,样本量高于30才初步具备统计意义。因此,对于部分样本量不足30的省份其景气指数仅供参考。</w:t>
      </w:r>
    </w:p>
    <w:p w:rsidR="00991A73" w:rsidRDefault="00831587" w:rsidP="00831587">
      <w:pPr>
        <w:spacing w:line="360" w:lineRule="auto"/>
        <w:jc w:val="center"/>
        <w:rPr>
          <w:rFonts w:asciiTheme="minorEastAsia" w:hAnsiTheme="minorEastAsia"/>
          <w:sz w:val="20"/>
        </w:rPr>
      </w:pPr>
      <w:r w:rsidRPr="00831587">
        <w:rPr>
          <w:rFonts w:asciiTheme="minorEastAsia" w:hAnsiTheme="minorEastAsia" w:hint="eastAsia"/>
          <w:sz w:val="20"/>
        </w:rPr>
        <w:t>表2  201</w:t>
      </w:r>
      <w:r w:rsidR="00317C58">
        <w:rPr>
          <w:rFonts w:asciiTheme="minorEastAsia" w:hAnsiTheme="minorEastAsia" w:hint="eastAsia"/>
          <w:sz w:val="20"/>
        </w:rPr>
        <w:t>6</w:t>
      </w:r>
      <w:r w:rsidRPr="00831587">
        <w:rPr>
          <w:rFonts w:asciiTheme="minorEastAsia" w:hAnsiTheme="minorEastAsia" w:hint="eastAsia"/>
          <w:sz w:val="20"/>
        </w:rPr>
        <w:t>年</w:t>
      </w:r>
      <w:r w:rsidR="00317C58">
        <w:rPr>
          <w:rFonts w:asciiTheme="minorEastAsia" w:hAnsiTheme="minorEastAsia" w:hint="eastAsia"/>
          <w:sz w:val="20"/>
        </w:rPr>
        <w:t>一</w:t>
      </w:r>
      <w:r w:rsidRPr="00831587">
        <w:rPr>
          <w:rFonts w:asciiTheme="minorEastAsia" w:hAnsiTheme="minorEastAsia" w:hint="eastAsia"/>
          <w:sz w:val="20"/>
        </w:rPr>
        <w:t>季度</w:t>
      </w:r>
      <w:r>
        <w:rPr>
          <w:rFonts w:asciiTheme="minorEastAsia" w:hAnsiTheme="minorEastAsia" w:hint="eastAsia"/>
          <w:sz w:val="20"/>
        </w:rPr>
        <w:t>各省份战略性新兴产业行业景气指数和</w:t>
      </w:r>
      <w:r w:rsidRPr="00831587">
        <w:rPr>
          <w:rFonts w:asciiTheme="minorEastAsia" w:hAnsiTheme="minorEastAsia" w:hint="eastAsia"/>
          <w:sz w:val="20"/>
        </w:rPr>
        <w:t>样本量</w:t>
      </w:r>
    </w:p>
    <w:p w:rsidR="00831587" w:rsidRPr="00582724" w:rsidRDefault="00991A73" w:rsidP="00831587">
      <w:pPr>
        <w:spacing w:line="360" w:lineRule="auto"/>
        <w:jc w:val="center"/>
        <w:rPr>
          <w:rFonts w:ascii="仿宋_GB2312" w:eastAsia="仿宋_GB2312"/>
          <w:sz w:val="22"/>
        </w:rPr>
      </w:pPr>
      <w:r>
        <w:rPr>
          <w:rFonts w:asciiTheme="minorEastAsia" w:hAnsiTheme="minorEastAsia" w:hint="eastAsia"/>
          <w:sz w:val="20"/>
        </w:rPr>
        <w:t>（红色省份样本量偏少，数据仅供参考</w:t>
      </w:r>
      <w:r w:rsidR="00F57BF9">
        <w:rPr>
          <w:rFonts w:asciiTheme="minorEastAsia" w:hAnsiTheme="minorEastAsia" w:hint="eastAsia"/>
          <w:sz w:val="20"/>
        </w:rPr>
        <w:t>）</w:t>
      </w:r>
    </w:p>
    <w:tbl>
      <w:tblPr>
        <w:tblW w:w="5000" w:type="pct"/>
        <w:tblLook w:val="04A0" w:firstRow="1" w:lastRow="0" w:firstColumn="1" w:lastColumn="0" w:noHBand="0" w:noVBand="1"/>
      </w:tblPr>
      <w:tblGrid>
        <w:gridCol w:w="1102"/>
        <w:gridCol w:w="1740"/>
        <w:gridCol w:w="1420"/>
        <w:gridCol w:w="1091"/>
        <w:gridCol w:w="1749"/>
        <w:gridCol w:w="1420"/>
      </w:tblGrid>
      <w:tr w:rsidR="005E44F1" w:rsidRPr="00582724" w:rsidTr="00F954C2">
        <w:trPr>
          <w:trHeight w:val="570"/>
        </w:trPr>
        <w:tc>
          <w:tcPr>
            <w:tcW w:w="647" w:type="pct"/>
            <w:tcBorders>
              <w:top w:val="single" w:sz="12" w:space="0" w:color="auto"/>
              <w:left w:val="single" w:sz="12" w:space="0" w:color="auto"/>
              <w:bottom w:val="single" w:sz="12" w:space="0" w:color="auto"/>
              <w:right w:val="single" w:sz="8" w:space="0" w:color="auto"/>
            </w:tcBorders>
            <w:shd w:val="clear" w:color="000000" w:fill="F2F2F2"/>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省份</w:t>
            </w:r>
          </w:p>
        </w:tc>
        <w:tc>
          <w:tcPr>
            <w:tcW w:w="1021" w:type="pct"/>
            <w:tcBorders>
              <w:top w:val="single" w:sz="12" w:space="0" w:color="auto"/>
              <w:left w:val="nil"/>
              <w:bottom w:val="single" w:sz="12" w:space="0" w:color="auto"/>
              <w:right w:val="single" w:sz="8" w:space="0" w:color="auto"/>
            </w:tcBorders>
            <w:shd w:val="clear" w:color="auto" w:fill="auto"/>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行业景气指数</w:t>
            </w:r>
          </w:p>
        </w:tc>
        <w:tc>
          <w:tcPr>
            <w:tcW w:w="833" w:type="pct"/>
            <w:tcBorders>
              <w:top w:val="single" w:sz="12" w:space="0" w:color="auto"/>
              <w:left w:val="nil"/>
              <w:bottom w:val="single" w:sz="12" w:space="0" w:color="auto"/>
              <w:right w:val="single" w:sz="12" w:space="0" w:color="auto"/>
            </w:tcBorders>
            <w:shd w:val="clear" w:color="auto" w:fill="auto"/>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企业样本量</w:t>
            </w:r>
          </w:p>
        </w:tc>
        <w:tc>
          <w:tcPr>
            <w:tcW w:w="640" w:type="pct"/>
            <w:tcBorders>
              <w:top w:val="single" w:sz="12" w:space="0" w:color="auto"/>
              <w:left w:val="nil"/>
              <w:bottom w:val="single" w:sz="12" w:space="0" w:color="auto"/>
              <w:right w:val="single" w:sz="8" w:space="0" w:color="auto"/>
            </w:tcBorders>
            <w:shd w:val="clear" w:color="000000" w:fill="F2F2F2"/>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省份</w:t>
            </w:r>
          </w:p>
        </w:tc>
        <w:tc>
          <w:tcPr>
            <w:tcW w:w="1026" w:type="pct"/>
            <w:tcBorders>
              <w:top w:val="single" w:sz="12" w:space="0" w:color="auto"/>
              <w:left w:val="nil"/>
              <w:bottom w:val="single" w:sz="12" w:space="0" w:color="auto"/>
              <w:right w:val="single" w:sz="8" w:space="0" w:color="auto"/>
            </w:tcBorders>
            <w:shd w:val="clear" w:color="auto" w:fill="auto"/>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行业景气指数</w:t>
            </w:r>
          </w:p>
        </w:tc>
        <w:tc>
          <w:tcPr>
            <w:tcW w:w="833" w:type="pct"/>
            <w:tcBorders>
              <w:top w:val="single" w:sz="12" w:space="0" w:color="auto"/>
              <w:left w:val="nil"/>
              <w:bottom w:val="single" w:sz="12" w:space="0" w:color="auto"/>
              <w:right w:val="single" w:sz="12" w:space="0" w:color="auto"/>
            </w:tcBorders>
            <w:shd w:val="clear" w:color="auto" w:fill="auto"/>
            <w:vAlign w:val="center"/>
            <w:hideMark/>
          </w:tcPr>
          <w:p w:rsidR="005E44F1" w:rsidRPr="000C7AEB" w:rsidRDefault="005E44F1" w:rsidP="00430557">
            <w:pPr>
              <w:widowControl/>
              <w:spacing w:line="360" w:lineRule="auto"/>
              <w:jc w:val="center"/>
              <w:rPr>
                <w:rFonts w:ascii="仿宋_GB2312" w:eastAsia="仿宋_GB2312" w:hAnsi="宋体" w:cs="宋体"/>
                <w:color w:val="000000"/>
                <w:kern w:val="0"/>
                <w:sz w:val="22"/>
              </w:rPr>
            </w:pPr>
            <w:r w:rsidRPr="000C7AEB">
              <w:rPr>
                <w:rFonts w:ascii="仿宋_GB2312" w:eastAsia="仿宋_GB2312" w:hAnsi="宋体" w:cs="宋体" w:hint="eastAsia"/>
                <w:color w:val="000000"/>
                <w:kern w:val="0"/>
                <w:sz w:val="22"/>
              </w:rPr>
              <w:t>企业样本量</w:t>
            </w:r>
          </w:p>
        </w:tc>
      </w:tr>
      <w:tr w:rsidR="00317C58" w:rsidRPr="00582724" w:rsidTr="00FC1FD1">
        <w:trPr>
          <w:trHeight w:val="315"/>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河北</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152.0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25</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辽宁</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129.8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57</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广东</w:t>
            </w:r>
          </w:p>
        </w:tc>
        <w:tc>
          <w:tcPr>
            <w:tcW w:w="1021" w:type="pct"/>
            <w:tcBorders>
              <w:top w:val="nil"/>
              <w:left w:val="nil"/>
              <w:bottom w:val="single" w:sz="8" w:space="0" w:color="auto"/>
              <w:right w:val="single" w:sz="8"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148.4 </w:t>
            </w:r>
          </w:p>
        </w:tc>
        <w:tc>
          <w:tcPr>
            <w:tcW w:w="833" w:type="pct"/>
            <w:tcBorders>
              <w:top w:val="nil"/>
              <w:left w:val="nil"/>
              <w:bottom w:val="single" w:sz="8" w:space="0" w:color="auto"/>
              <w:right w:val="single" w:sz="12"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62</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安徽</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129.5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44</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上海</w:t>
            </w:r>
          </w:p>
        </w:tc>
        <w:tc>
          <w:tcPr>
            <w:tcW w:w="1021" w:type="pct"/>
            <w:tcBorders>
              <w:top w:val="nil"/>
              <w:left w:val="nil"/>
              <w:bottom w:val="single" w:sz="8" w:space="0" w:color="auto"/>
              <w:right w:val="single" w:sz="8"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144.3 </w:t>
            </w:r>
          </w:p>
        </w:tc>
        <w:tc>
          <w:tcPr>
            <w:tcW w:w="833" w:type="pct"/>
            <w:tcBorders>
              <w:top w:val="nil"/>
              <w:left w:val="nil"/>
              <w:bottom w:val="single" w:sz="8" w:space="0" w:color="auto"/>
              <w:right w:val="single" w:sz="12"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61</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陕西</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128.6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14</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北京</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143.9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41</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宁夏</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123.5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17</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江苏</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141.9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31</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福建</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122.7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22</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重庆</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141.7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12</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新疆</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120.0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5</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吉林</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140.0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15</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云南</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120.0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45</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浙江</w:t>
            </w:r>
          </w:p>
        </w:tc>
        <w:tc>
          <w:tcPr>
            <w:tcW w:w="1021" w:type="pct"/>
            <w:tcBorders>
              <w:top w:val="nil"/>
              <w:left w:val="nil"/>
              <w:bottom w:val="single" w:sz="8" w:space="0" w:color="auto"/>
              <w:right w:val="single" w:sz="8"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139.4 </w:t>
            </w:r>
          </w:p>
        </w:tc>
        <w:tc>
          <w:tcPr>
            <w:tcW w:w="833" w:type="pct"/>
            <w:tcBorders>
              <w:top w:val="nil"/>
              <w:left w:val="nil"/>
              <w:bottom w:val="single" w:sz="8" w:space="0" w:color="auto"/>
              <w:right w:val="single" w:sz="12"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66</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河南</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117.1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82</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山东</w:t>
            </w:r>
          </w:p>
        </w:tc>
        <w:tc>
          <w:tcPr>
            <w:tcW w:w="1021" w:type="pct"/>
            <w:tcBorders>
              <w:top w:val="nil"/>
              <w:left w:val="nil"/>
              <w:bottom w:val="single" w:sz="8" w:space="0" w:color="auto"/>
              <w:right w:val="single" w:sz="8"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135.3 </w:t>
            </w:r>
          </w:p>
        </w:tc>
        <w:tc>
          <w:tcPr>
            <w:tcW w:w="833" w:type="pct"/>
            <w:tcBorders>
              <w:top w:val="nil"/>
              <w:left w:val="nil"/>
              <w:bottom w:val="single" w:sz="8" w:space="0" w:color="auto"/>
              <w:right w:val="single" w:sz="12" w:space="0" w:color="auto"/>
            </w:tcBorders>
            <w:shd w:val="clear" w:color="auto" w:fill="auto"/>
            <w:vAlign w:val="center"/>
          </w:tcPr>
          <w:p w:rsidR="00317C58" w:rsidRPr="005E44F1"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116</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江西</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115.0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40</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黑龙江</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135.0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20</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内蒙古</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114.3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7</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天津</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134.6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26</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甘肃</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108.7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23</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5E44F1"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湖北</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134.5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29</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广西</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100.0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11</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湖南</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131.4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35</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西藏</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100.0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3</w:t>
            </w:r>
          </w:p>
        </w:tc>
      </w:tr>
      <w:tr w:rsidR="00317C58" w:rsidRPr="00582724" w:rsidTr="00FC1FD1">
        <w:trPr>
          <w:trHeight w:val="300"/>
        </w:trPr>
        <w:tc>
          <w:tcPr>
            <w:tcW w:w="647" w:type="pct"/>
            <w:tcBorders>
              <w:top w:val="nil"/>
              <w:left w:val="single" w:sz="12" w:space="0" w:color="auto"/>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四川</w:t>
            </w:r>
          </w:p>
        </w:tc>
        <w:tc>
          <w:tcPr>
            <w:tcW w:w="1021" w:type="pct"/>
            <w:tcBorders>
              <w:top w:val="nil"/>
              <w:left w:val="nil"/>
              <w:bottom w:val="single" w:sz="8" w:space="0" w:color="auto"/>
              <w:right w:val="single" w:sz="8"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 xml:space="preserve">130.2 </w:t>
            </w:r>
          </w:p>
        </w:tc>
        <w:tc>
          <w:tcPr>
            <w:tcW w:w="833" w:type="pct"/>
            <w:tcBorders>
              <w:top w:val="nil"/>
              <w:left w:val="nil"/>
              <w:bottom w:val="single" w:sz="8" w:space="0" w:color="auto"/>
              <w:right w:val="single" w:sz="12" w:space="0" w:color="auto"/>
            </w:tcBorders>
            <w:shd w:val="clear" w:color="auto" w:fill="auto"/>
            <w:vAlign w:val="center"/>
          </w:tcPr>
          <w:p w:rsidR="00317C58" w:rsidRPr="00317C58" w:rsidRDefault="00317C58" w:rsidP="00317C58">
            <w:pPr>
              <w:widowControl/>
              <w:spacing w:line="360" w:lineRule="auto"/>
              <w:ind w:firstLineChars="200" w:firstLine="440"/>
              <w:jc w:val="center"/>
              <w:rPr>
                <w:rFonts w:asciiTheme="minorEastAsia" w:hAnsiTheme="minorEastAsia" w:cs="宋体"/>
                <w:color w:val="000000"/>
                <w:kern w:val="0"/>
                <w:sz w:val="22"/>
              </w:rPr>
            </w:pPr>
            <w:r w:rsidRPr="00317C58">
              <w:rPr>
                <w:rFonts w:asciiTheme="minorEastAsia" w:hAnsiTheme="minorEastAsia" w:cs="宋体" w:hint="eastAsia"/>
                <w:color w:val="000000"/>
                <w:kern w:val="0"/>
                <w:sz w:val="22"/>
              </w:rPr>
              <w:t>63</w:t>
            </w:r>
          </w:p>
        </w:tc>
        <w:tc>
          <w:tcPr>
            <w:tcW w:w="640" w:type="pct"/>
            <w:tcBorders>
              <w:top w:val="nil"/>
              <w:left w:val="nil"/>
              <w:bottom w:val="single" w:sz="8" w:space="0" w:color="auto"/>
              <w:right w:val="single" w:sz="8" w:space="0" w:color="auto"/>
            </w:tcBorders>
            <w:shd w:val="clear" w:color="000000" w:fill="F2F2F2"/>
          </w:tcPr>
          <w:p w:rsidR="00317C58" w:rsidRPr="00317C58" w:rsidRDefault="00317C58" w:rsidP="00317C58">
            <w:pPr>
              <w:widowControl/>
              <w:spacing w:line="360" w:lineRule="auto"/>
              <w:jc w:val="center"/>
              <w:rPr>
                <w:rFonts w:ascii="仿宋_GB2312" w:eastAsia="仿宋_GB2312" w:hAnsi="宋体" w:cs="宋体"/>
                <w:color w:val="000000"/>
                <w:kern w:val="0"/>
                <w:sz w:val="22"/>
              </w:rPr>
            </w:pPr>
            <w:r w:rsidRPr="00317C58">
              <w:rPr>
                <w:rFonts w:ascii="仿宋_GB2312" w:eastAsia="仿宋_GB2312" w:hAnsi="宋体" w:cs="宋体" w:hint="eastAsia"/>
                <w:color w:val="000000"/>
                <w:kern w:val="0"/>
                <w:sz w:val="22"/>
              </w:rPr>
              <w:t>山西</w:t>
            </w:r>
          </w:p>
        </w:tc>
        <w:tc>
          <w:tcPr>
            <w:tcW w:w="1026" w:type="pct"/>
            <w:tcBorders>
              <w:top w:val="nil"/>
              <w:left w:val="nil"/>
              <w:bottom w:val="single" w:sz="8" w:space="0" w:color="auto"/>
              <w:right w:val="single" w:sz="8"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 xml:space="preserve">80.0 </w:t>
            </w:r>
          </w:p>
        </w:tc>
        <w:tc>
          <w:tcPr>
            <w:tcW w:w="833" w:type="pct"/>
            <w:tcBorders>
              <w:top w:val="nil"/>
              <w:left w:val="nil"/>
              <w:bottom w:val="single" w:sz="8" w:space="0" w:color="auto"/>
              <w:right w:val="single" w:sz="12" w:space="0" w:color="auto"/>
            </w:tcBorders>
            <w:shd w:val="clear" w:color="auto" w:fill="auto"/>
          </w:tcPr>
          <w:p w:rsidR="00317C58" w:rsidRPr="00317C58" w:rsidRDefault="00317C58" w:rsidP="00317C58">
            <w:pPr>
              <w:widowControl/>
              <w:spacing w:line="360" w:lineRule="auto"/>
              <w:ind w:firstLineChars="200" w:firstLine="440"/>
              <w:jc w:val="center"/>
              <w:rPr>
                <w:rFonts w:asciiTheme="minorEastAsia" w:hAnsiTheme="minorEastAsia" w:cs="宋体"/>
                <w:color w:val="FF0000"/>
                <w:kern w:val="0"/>
                <w:sz w:val="22"/>
              </w:rPr>
            </w:pPr>
            <w:r w:rsidRPr="00317C58">
              <w:rPr>
                <w:rFonts w:asciiTheme="minorEastAsia" w:hAnsiTheme="minorEastAsia" w:cs="宋体" w:hint="eastAsia"/>
                <w:color w:val="FF0000"/>
                <w:kern w:val="0"/>
                <w:sz w:val="22"/>
              </w:rPr>
              <w:t>10</w:t>
            </w:r>
          </w:p>
        </w:tc>
      </w:tr>
    </w:tbl>
    <w:p w:rsidR="00414AA7" w:rsidRPr="00582724" w:rsidRDefault="000C7AEB" w:rsidP="000C7AEB">
      <w:pPr>
        <w:tabs>
          <w:tab w:val="left" w:pos="6780"/>
        </w:tabs>
        <w:spacing w:line="360" w:lineRule="auto"/>
        <w:ind w:firstLineChars="200" w:firstLine="440"/>
        <w:jc w:val="left"/>
        <w:rPr>
          <w:rFonts w:ascii="仿宋_GB2312" w:eastAsia="仿宋_GB2312"/>
          <w:sz w:val="22"/>
        </w:rPr>
      </w:pPr>
      <w:r>
        <w:rPr>
          <w:rFonts w:ascii="仿宋_GB2312" w:eastAsia="仿宋_GB2312"/>
          <w:sz w:val="22"/>
        </w:rPr>
        <w:tab/>
      </w:r>
    </w:p>
    <w:p w:rsidR="00F44691" w:rsidRPr="00831587" w:rsidRDefault="007263B5" w:rsidP="00831587">
      <w:pPr>
        <w:spacing w:line="360" w:lineRule="auto"/>
        <w:ind w:firstLineChars="200" w:firstLine="442"/>
        <w:rPr>
          <w:rFonts w:ascii="仿宋_GB2312" w:eastAsia="仿宋_GB2312"/>
          <w:b/>
          <w:sz w:val="22"/>
        </w:rPr>
      </w:pPr>
      <w:r>
        <w:rPr>
          <w:rFonts w:ascii="仿宋_GB2312" w:eastAsia="仿宋_GB2312" w:hint="eastAsia"/>
          <w:b/>
          <w:sz w:val="22"/>
        </w:rPr>
        <w:t>三</w:t>
      </w:r>
      <w:r w:rsidR="00F44691" w:rsidRPr="00831587">
        <w:rPr>
          <w:rFonts w:ascii="仿宋_GB2312" w:eastAsia="仿宋_GB2312" w:hint="eastAsia"/>
          <w:b/>
          <w:sz w:val="22"/>
        </w:rPr>
        <w:t>、反映</w:t>
      </w:r>
      <w:r>
        <w:rPr>
          <w:rFonts w:ascii="仿宋_GB2312" w:eastAsia="仿宋_GB2312" w:hint="eastAsia"/>
          <w:b/>
          <w:sz w:val="22"/>
        </w:rPr>
        <w:t>的</w:t>
      </w:r>
      <w:r w:rsidR="00F44691" w:rsidRPr="00831587">
        <w:rPr>
          <w:rFonts w:ascii="仿宋_GB2312" w:eastAsia="仿宋_GB2312" w:hint="eastAsia"/>
          <w:b/>
          <w:sz w:val="22"/>
        </w:rPr>
        <w:t>问题</w:t>
      </w:r>
    </w:p>
    <w:p w:rsidR="00A12E01" w:rsidRDefault="00A12E01" w:rsidP="004D12D8">
      <w:pPr>
        <w:spacing w:line="360" w:lineRule="auto"/>
        <w:ind w:firstLineChars="200" w:firstLine="440"/>
        <w:rPr>
          <w:rFonts w:ascii="仿宋_GB2312" w:eastAsia="仿宋_GB2312"/>
          <w:sz w:val="22"/>
        </w:rPr>
      </w:pPr>
      <w:r>
        <w:rPr>
          <w:rFonts w:ascii="仿宋_GB2312" w:eastAsia="仿宋_GB2312" w:hint="eastAsia"/>
          <w:sz w:val="22"/>
        </w:rPr>
        <w:t>在主观题“企业希望得到哪些政策支持”的回答中，企业</w:t>
      </w:r>
      <w:r w:rsidR="008912A6">
        <w:rPr>
          <w:rFonts w:ascii="仿宋_GB2312" w:eastAsia="仿宋_GB2312" w:hint="eastAsia"/>
          <w:sz w:val="22"/>
        </w:rPr>
        <w:t>普遍</w:t>
      </w:r>
      <w:r>
        <w:rPr>
          <w:rFonts w:ascii="仿宋_GB2312" w:eastAsia="仿宋_GB2312" w:hint="eastAsia"/>
          <w:sz w:val="22"/>
        </w:rPr>
        <w:t>认为</w:t>
      </w:r>
      <w:r w:rsidR="008912A6">
        <w:rPr>
          <w:rFonts w:ascii="仿宋_GB2312" w:eastAsia="仿宋_GB2312" w:hint="eastAsia"/>
          <w:sz w:val="22"/>
        </w:rPr>
        <w:t>自身</w:t>
      </w:r>
      <w:r>
        <w:rPr>
          <w:rFonts w:ascii="仿宋_GB2312" w:eastAsia="仿宋_GB2312" w:hint="eastAsia"/>
          <w:sz w:val="22"/>
        </w:rPr>
        <w:t>发展仍需政策</w:t>
      </w:r>
      <w:r w:rsidR="008912A6">
        <w:rPr>
          <w:rFonts w:ascii="仿宋_GB2312" w:eastAsia="仿宋_GB2312" w:hint="eastAsia"/>
          <w:sz w:val="22"/>
        </w:rPr>
        <w:t>的鼓励与</w:t>
      </w:r>
      <w:r>
        <w:rPr>
          <w:rFonts w:ascii="仿宋_GB2312" w:eastAsia="仿宋_GB2312" w:hint="eastAsia"/>
          <w:sz w:val="22"/>
        </w:rPr>
        <w:t>支持</w:t>
      </w:r>
      <w:r w:rsidR="008912A6">
        <w:rPr>
          <w:rFonts w:ascii="仿宋_GB2312" w:eastAsia="仿宋_GB2312" w:hint="eastAsia"/>
          <w:sz w:val="22"/>
        </w:rPr>
        <w:t>，企业提及的政策需求集中于</w:t>
      </w:r>
      <w:r w:rsidR="005E6000">
        <w:rPr>
          <w:rFonts w:ascii="仿宋_GB2312" w:eastAsia="仿宋_GB2312" w:hint="eastAsia"/>
          <w:sz w:val="22"/>
        </w:rPr>
        <w:t>资金支持、税收减免、</w:t>
      </w:r>
      <w:r w:rsidR="006939BD">
        <w:rPr>
          <w:rFonts w:ascii="仿宋_GB2312" w:eastAsia="仿宋_GB2312" w:hint="eastAsia"/>
          <w:sz w:val="22"/>
        </w:rPr>
        <w:t>人才支持</w:t>
      </w:r>
      <w:r w:rsidR="005E6000">
        <w:rPr>
          <w:rFonts w:ascii="仿宋_GB2312" w:eastAsia="仿宋_GB2312" w:hint="eastAsia"/>
          <w:sz w:val="22"/>
        </w:rPr>
        <w:t>以及</w:t>
      </w:r>
      <w:r w:rsidR="006939BD">
        <w:rPr>
          <w:rFonts w:ascii="仿宋_GB2312" w:eastAsia="仿宋_GB2312" w:hint="eastAsia"/>
          <w:sz w:val="22"/>
        </w:rPr>
        <w:t>研发</w:t>
      </w:r>
      <w:r w:rsidR="006939BD">
        <w:rPr>
          <w:rFonts w:ascii="仿宋_GB2312" w:eastAsia="仿宋_GB2312" w:hint="eastAsia"/>
          <w:sz w:val="22"/>
        </w:rPr>
        <w:lastRenderedPageBreak/>
        <w:t>创新技术支持</w:t>
      </w:r>
      <w:r w:rsidR="005E6000">
        <w:rPr>
          <w:rFonts w:ascii="仿宋_GB2312" w:eastAsia="仿宋_GB2312" w:hint="eastAsia"/>
          <w:sz w:val="22"/>
        </w:rPr>
        <w:t>。</w:t>
      </w:r>
      <w:r w:rsidR="00226FB0">
        <w:rPr>
          <w:rFonts w:ascii="仿宋_GB2312" w:eastAsia="仿宋_GB2312" w:hint="eastAsia"/>
          <w:sz w:val="22"/>
        </w:rPr>
        <w:t>此外</w:t>
      </w:r>
      <w:r w:rsidR="00587389">
        <w:rPr>
          <w:rFonts w:ascii="仿宋_GB2312" w:eastAsia="仿宋_GB2312" w:hint="eastAsia"/>
          <w:sz w:val="22"/>
        </w:rPr>
        <w:t>，七大产业的政策需求存在差异性：</w:t>
      </w:r>
      <w:r w:rsidR="0091436F">
        <w:rPr>
          <w:rFonts w:ascii="仿宋_GB2312" w:eastAsia="仿宋_GB2312" w:hint="eastAsia"/>
          <w:sz w:val="22"/>
        </w:rPr>
        <w:t>高端装备制造企业希望</w:t>
      </w:r>
      <w:r w:rsidR="00BD0836">
        <w:rPr>
          <w:rFonts w:ascii="仿宋_GB2312" w:eastAsia="仿宋_GB2312" w:hint="eastAsia"/>
          <w:sz w:val="22"/>
        </w:rPr>
        <w:t>获得生产设备更新换代上的</w:t>
      </w:r>
      <w:r w:rsidR="00F04CBA">
        <w:rPr>
          <w:rFonts w:ascii="仿宋_GB2312" w:eastAsia="仿宋_GB2312" w:hint="eastAsia"/>
          <w:sz w:val="22"/>
        </w:rPr>
        <w:t>政策</w:t>
      </w:r>
      <w:r w:rsidR="00BD0836">
        <w:rPr>
          <w:rFonts w:ascii="仿宋_GB2312" w:eastAsia="仿宋_GB2312" w:hint="eastAsia"/>
          <w:sz w:val="22"/>
        </w:rPr>
        <w:t>支持，</w:t>
      </w:r>
      <w:r w:rsidR="00F04CBA">
        <w:rPr>
          <w:rFonts w:ascii="仿宋_GB2312" w:eastAsia="仿宋_GB2312" w:hint="eastAsia"/>
          <w:sz w:val="22"/>
        </w:rPr>
        <w:t>并</w:t>
      </w:r>
      <w:r w:rsidR="0091436F">
        <w:rPr>
          <w:rFonts w:ascii="仿宋_GB2312" w:eastAsia="仿宋_GB2312" w:hint="eastAsia"/>
          <w:sz w:val="22"/>
        </w:rPr>
        <w:t>利用“走出去”和“一带一路”战略</w:t>
      </w:r>
      <w:r w:rsidR="00BD0836">
        <w:rPr>
          <w:rFonts w:ascii="仿宋_GB2312" w:eastAsia="仿宋_GB2312" w:hint="eastAsia"/>
          <w:sz w:val="22"/>
        </w:rPr>
        <w:t>取得</w:t>
      </w:r>
      <w:r w:rsidR="0091436F">
        <w:rPr>
          <w:rFonts w:ascii="仿宋_GB2312" w:eastAsia="仿宋_GB2312" w:hint="eastAsia"/>
          <w:sz w:val="22"/>
        </w:rPr>
        <w:t>出口方面的政策保护；</w:t>
      </w:r>
      <w:r w:rsidR="00D920DC">
        <w:rPr>
          <w:rFonts w:ascii="仿宋_GB2312" w:eastAsia="仿宋_GB2312" w:hint="eastAsia"/>
          <w:sz w:val="22"/>
        </w:rPr>
        <w:t>新材料企业</w:t>
      </w:r>
      <w:r w:rsidR="00226FB0">
        <w:rPr>
          <w:rFonts w:ascii="仿宋_GB2312" w:eastAsia="仿宋_GB2312" w:hint="eastAsia"/>
          <w:sz w:val="22"/>
        </w:rPr>
        <w:t>最频繁表达的诉求是资金扶持、税收优惠和完善知识产权保护；</w:t>
      </w:r>
      <w:r w:rsidR="00764EE8">
        <w:rPr>
          <w:rFonts w:ascii="仿宋_GB2312" w:eastAsia="仿宋_GB2312" w:hint="eastAsia"/>
          <w:sz w:val="22"/>
        </w:rPr>
        <w:t>新一代信息技术企业的诉求多为</w:t>
      </w:r>
      <w:r w:rsidR="0023243D">
        <w:rPr>
          <w:rFonts w:ascii="仿宋_GB2312" w:eastAsia="仿宋_GB2312" w:hint="eastAsia"/>
          <w:sz w:val="22"/>
        </w:rPr>
        <w:t>高端人才引进、信息安全</w:t>
      </w:r>
      <w:r w:rsidR="00FE52C8">
        <w:rPr>
          <w:rFonts w:ascii="仿宋_GB2312" w:eastAsia="仿宋_GB2312" w:hint="eastAsia"/>
          <w:sz w:val="22"/>
        </w:rPr>
        <w:t>法规的落实以及智慧城市和</w:t>
      </w:r>
      <w:proofErr w:type="gramStart"/>
      <w:r w:rsidR="00FE52C8">
        <w:rPr>
          <w:rFonts w:ascii="仿宋_GB2312" w:eastAsia="仿宋_GB2312" w:hint="eastAsia"/>
          <w:sz w:val="22"/>
        </w:rPr>
        <w:t>云计算</w:t>
      </w:r>
      <w:proofErr w:type="gramEnd"/>
      <w:r w:rsidR="00FE52C8">
        <w:rPr>
          <w:rFonts w:ascii="仿宋_GB2312" w:eastAsia="仿宋_GB2312" w:hint="eastAsia"/>
          <w:sz w:val="22"/>
        </w:rPr>
        <w:t>等新兴信息技术的产业支持；</w:t>
      </w:r>
      <w:r w:rsidR="00F33741">
        <w:rPr>
          <w:rFonts w:ascii="仿宋_GB2312" w:eastAsia="仿宋_GB2312" w:hint="eastAsia"/>
          <w:sz w:val="22"/>
        </w:rPr>
        <w:t>生物</w:t>
      </w:r>
      <w:r w:rsidR="000971FD">
        <w:rPr>
          <w:rFonts w:ascii="仿宋_GB2312" w:eastAsia="仿宋_GB2312" w:hint="eastAsia"/>
          <w:sz w:val="22"/>
        </w:rPr>
        <w:t>企业</w:t>
      </w:r>
      <w:r w:rsidR="00AB6DA7">
        <w:rPr>
          <w:rFonts w:ascii="仿宋_GB2312" w:eastAsia="仿宋_GB2312" w:hint="eastAsia"/>
          <w:sz w:val="22"/>
        </w:rPr>
        <w:t>希望获得中药材基地建设、中药现代化、医药招标和新药、新医疗器械审批方面的支持；</w:t>
      </w:r>
      <w:r w:rsidR="000971FD">
        <w:rPr>
          <w:rFonts w:ascii="仿宋_GB2312" w:eastAsia="仿宋_GB2312" w:hint="eastAsia"/>
          <w:sz w:val="22"/>
        </w:rPr>
        <w:t>新能源</w:t>
      </w:r>
      <w:r w:rsidR="001A0556">
        <w:rPr>
          <w:rFonts w:ascii="仿宋_GB2312" w:eastAsia="仿宋_GB2312" w:hint="eastAsia"/>
          <w:sz w:val="22"/>
        </w:rPr>
        <w:t>企业</w:t>
      </w:r>
      <w:r w:rsidR="00693A09">
        <w:rPr>
          <w:rFonts w:ascii="仿宋_GB2312" w:eastAsia="仿宋_GB2312" w:hint="eastAsia"/>
          <w:sz w:val="22"/>
        </w:rPr>
        <w:t>在</w:t>
      </w:r>
      <w:r w:rsidR="000D4ED7">
        <w:rPr>
          <w:rFonts w:ascii="仿宋_GB2312" w:eastAsia="仿宋_GB2312" w:hint="eastAsia"/>
          <w:sz w:val="22"/>
        </w:rPr>
        <w:t>电价补贴和融资方面的问题较为集中；</w:t>
      </w:r>
      <w:r w:rsidR="006B5660">
        <w:rPr>
          <w:rFonts w:ascii="仿宋_GB2312" w:eastAsia="仿宋_GB2312" w:hint="eastAsia"/>
          <w:sz w:val="22"/>
        </w:rPr>
        <w:t>除资金和补贴外，</w:t>
      </w:r>
      <w:r w:rsidR="008E7BB4">
        <w:rPr>
          <w:rFonts w:ascii="仿宋_GB2312" w:eastAsia="仿宋_GB2312" w:hint="eastAsia"/>
          <w:sz w:val="22"/>
        </w:rPr>
        <w:t>新能源汽车企业</w:t>
      </w:r>
      <w:r w:rsidR="0023243D">
        <w:rPr>
          <w:rFonts w:ascii="仿宋_GB2312" w:eastAsia="仿宋_GB2312" w:hint="eastAsia"/>
          <w:sz w:val="22"/>
        </w:rPr>
        <w:t>还希望政府能</w:t>
      </w:r>
      <w:r w:rsidR="006B5660">
        <w:rPr>
          <w:rFonts w:ascii="仿宋_GB2312" w:eastAsia="仿宋_GB2312" w:hint="eastAsia"/>
          <w:sz w:val="22"/>
        </w:rPr>
        <w:t>持续进行市场推广和基础配套设施建设，并对产业集成加以扶持；</w:t>
      </w:r>
      <w:r w:rsidR="00274F16">
        <w:rPr>
          <w:rFonts w:ascii="仿宋_GB2312" w:eastAsia="仿宋_GB2312" w:hint="eastAsia"/>
          <w:sz w:val="22"/>
        </w:rPr>
        <w:t>节能环保企业</w:t>
      </w:r>
      <w:r w:rsidR="006912E8">
        <w:rPr>
          <w:rFonts w:ascii="仿宋_GB2312" w:eastAsia="仿宋_GB2312" w:hint="eastAsia"/>
          <w:sz w:val="22"/>
        </w:rPr>
        <w:t>则希望政府能够在产品推广、税收优惠和人才引进方面给予政策支持。</w:t>
      </w:r>
    </w:p>
    <w:sectPr w:rsidR="00A12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91"/>
    <w:rsid w:val="0000764A"/>
    <w:rsid w:val="000122FD"/>
    <w:rsid w:val="00015A15"/>
    <w:rsid w:val="000268C4"/>
    <w:rsid w:val="00031575"/>
    <w:rsid w:val="000626C5"/>
    <w:rsid w:val="00065BD7"/>
    <w:rsid w:val="00077443"/>
    <w:rsid w:val="00086359"/>
    <w:rsid w:val="000971FD"/>
    <w:rsid w:val="000A6760"/>
    <w:rsid w:val="000B5E37"/>
    <w:rsid w:val="000C2589"/>
    <w:rsid w:val="000C7AEB"/>
    <w:rsid w:val="000D4ED7"/>
    <w:rsid w:val="000E73B7"/>
    <w:rsid w:val="000E74FF"/>
    <w:rsid w:val="000F71B3"/>
    <w:rsid w:val="00103964"/>
    <w:rsid w:val="00110ECE"/>
    <w:rsid w:val="00117EF8"/>
    <w:rsid w:val="00120AC5"/>
    <w:rsid w:val="001214FB"/>
    <w:rsid w:val="00137AE2"/>
    <w:rsid w:val="00155032"/>
    <w:rsid w:val="0016368A"/>
    <w:rsid w:val="00171286"/>
    <w:rsid w:val="00175C41"/>
    <w:rsid w:val="00177CE8"/>
    <w:rsid w:val="00181451"/>
    <w:rsid w:val="0018559C"/>
    <w:rsid w:val="00193C4D"/>
    <w:rsid w:val="0019683B"/>
    <w:rsid w:val="001A0556"/>
    <w:rsid w:val="001A068E"/>
    <w:rsid w:val="001A0DEF"/>
    <w:rsid w:val="001B29BA"/>
    <w:rsid w:val="001B6A9C"/>
    <w:rsid w:val="001D189D"/>
    <w:rsid w:val="001E611F"/>
    <w:rsid w:val="001F6511"/>
    <w:rsid w:val="00204018"/>
    <w:rsid w:val="00204AB8"/>
    <w:rsid w:val="00206EB1"/>
    <w:rsid w:val="0021002D"/>
    <w:rsid w:val="00226FB0"/>
    <w:rsid w:val="0023243D"/>
    <w:rsid w:val="002410BA"/>
    <w:rsid w:val="002475F2"/>
    <w:rsid w:val="00254262"/>
    <w:rsid w:val="00254F28"/>
    <w:rsid w:val="00262B58"/>
    <w:rsid w:val="00274F16"/>
    <w:rsid w:val="00275FCD"/>
    <w:rsid w:val="002A390E"/>
    <w:rsid w:val="002E471A"/>
    <w:rsid w:val="00300259"/>
    <w:rsid w:val="00305E32"/>
    <w:rsid w:val="0030614D"/>
    <w:rsid w:val="00311082"/>
    <w:rsid w:val="0031776C"/>
    <w:rsid w:val="00317C58"/>
    <w:rsid w:val="0032412D"/>
    <w:rsid w:val="003314D9"/>
    <w:rsid w:val="00332A1A"/>
    <w:rsid w:val="00334887"/>
    <w:rsid w:val="00344F7E"/>
    <w:rsid w:val="00366231"/>
    <w:rsid w:val="0036754E"/>
    <w:rsid w:val="00372DB3"/>
    <w:rsid w:val="00381B66"/>
    <w:rsid w:val="00383466"/>
    <w:rsid w:val="00384695"/>
    <w:rsid w:val="00391F9E"/>
    <w:rsid w:val="003A61D2"/>
    <w:rsid w:val="003C2B3F"/>
    <w:rsid w:val="003C48A9"/>
    <w:rsid w:val="003C6655"/>
    <w:rsid w:val="003D6D80"/>
    <w:rsid w:val="003E1B9C"/>
    <w:rsid w:val="003E37BA"/>
    <w:rsid w:val="00400DAB"/>
    <w:rsid w:val="00404782"/>
    <w:rsid w:val="00414AA7"/>
    <w:rsid w:val="00417A20"/>
    <w:rsid w:val="00425D32"/>
    <w:rsid w:val="00426908"/>
    <w:rsid w:val="00430557"/>
    <w:rsid w:val="00434C8E"/>
    <w:rsid w:val="00436F82"/>
    <w:rsid w:val="004410E5"/>
    <w:rsid w:val="0045084C"/>
    <w:rsid w:val="004529EE"/>
    <w:rsid w:val="00457A1C"/>
    <w:rsid w:val="00472808"/>
    <w:rsid w:val="00474DC0"/>
    <w:rsid w:val="004773AC"/>
    <w:rsid w:val="00487073"/>
    <w:rsid w:val="00487DF8"/>
    <w:rsid w:val="00495848"/>
    <w:rsid w:val="004A6EC9"/>
    <w:rsid w:val="004B07D5"/>
    <w:rsid w:val="004B2AFA"/>
    <w:rsid w:val="004C4097"/>
    <w:rsid w:val="004C799E"/>
    <w:rsid w:val="004D12D8"/>
    <w:rsid w:val="004E5492"/>
    <w:rsid w:val="004F7FF4"/>
    <w:rsid w:val="00500717"/>
    <w:rsid w:val="005117F1"/>
    <w:rsid w:val="00521F1B"/>
    <w:rsid w:val="00526246"/>
    <w:rsid w:val="00537AB8"/>
    <w:rsid w:val="0056453D"/>
    <w:rsid w:val="005779AB"/>
    <w:rsid w:val="00582724"/>
    <w:rsid w:val="00587389"/>
    <w:rsid w:val="00587ED3"/>
    <w:rsid w:val="00593180"/>
    <w:rsid w:val="005A1647"/>
    <w:rsid w:val="005A5012"/>
    <w:rsid w:val="005B058A"/>
    <w:rsid w:val="005B4450"/>
    <w:rsid w:val="005B6FC9"/>
    <w:rsid w:val="005C4DC8"/>
    <w:rsid w:val="005E44F1"/>
    <w:rsid w:val="005E5074"/>
    <w:rsid w:val="005E6000"/>
    <w:rsid w:val="005F3E2C"/>
    <w:rsid w:val="0060000B"/>
    <w:rsid w:val="00615571"/>
    <w:rsid w:val="006300CE"/>
    <w:rsid w:val="006307A2"/>
    <w:rsid w:val="00635F21"/>
    <w:rsid w:val="00640632"/>
    <w:rsid w:val="00652FA4"/>
    <w:rsid w:val="00654111"/>
    <w:rsid w:val="00656589"/>
    <w:rsid w:val="00664831"/>
    <w:rsid w:val="00665872"/>
    <w:rsid w:val="006660C3"/>
    <w:rsid w:val="006729B5"/>
    <w:rsid w:val="0067589E"/>
    <w:rsid w:val="0067703B"/>
    <w:rsid w:val="006822DD"/>
    <w:rsid w:val="006912E8"/>
    <w:rsid w:val="006917E5"/>
    <w:rsid w:val="006933C7"/>
    <w:rsid w:val="006939BD"/>
    <w:rsid w:val="00693A09"/>
    <w:rsid w:val="006A72CB"/>
    <w:rsid w:val="006A7843"/>
    <w:rsid w:val="006B18CD"/>
    <w:rsid w:val="006B3965"/>
    <w:rsid w:val="006B5660"/>
    <w:rsid w:val="006B7313"/>
    <w:rsid w:val="006C1FA0"/>
    <w:rsid w:val="006E680E"/>
    <w:rsid w:val="006E6C9E"/>
    <w:rsid w:val="00707759"/>
    <w:rsid w:val="00711922"/>
    <w:rsid w:val="00714CA9"/>
    <w:rsid w:val="007163AE"/>
    <w:rsid w:val="007263B5"/>
    <w:rsid w:val="007359D7"/>
    <w:rsid w:val="00740CC8"/>
    <w:rsid w:val="00741D42"/>
    <w:rsid w:val="007540FF"/>
    <w:rsid w:val="007625CB"/>
    <w:rsid w:val="00764EE8"/>
    <w:rsid w:val="007756FF"/>
    <w:rsid w:val="007772E1"/>
    <w:rsid w:val="00780314"/>
    <w:rsid w:val="00786C41"/>
    <w:rsid w:val="0079650D"/>
    <w:rsid w:val="007B65C8"/>
    <w:rsid w:val="007C02D3"/>
    <w:rsid w:val="007F5D41"/>
    <w:rsid w:val="007F7E67"/>
    <w:rsid w:val="00801D64"/>
    <w:rsid w:val="0080679A"/>
    <w:rsid w:val="00807A27"/>
    <w:rsid w:val="00820E5C"/>
    <w:rsid w:val="0082610B"/>
    <w:rsid w:val="00831587"/>
    <w:rsid w:val="00837552"/>
    <w:rsid w:val="00837D67"/>
    <w:rsid w:val="00853B3C"/>
    <w:rsid w:val="008630FC"/>
    <w:rsid w:val="0086447E"/>
    <w:rsid w:val="00867182"/>
    <w:rsid w:val="00867817"/>
    <w:rsid w:val="00871CE0"/>
    <w:rsid w:val="00871EB8"/>
    <w:rsid w:val="00877E7F"/>
    <w:rsid w:val="00880493"/>
    <w:rsid w:val="00880DDA"/>
    <w:rsid w:val="008912A6"/>
    <w:rsid w:val="008A1ABD"/>
    <w:rsid w:val="008A4854"/>
    <w:rsid w:val="008B1DD6"/>
    <w:rsid w:val="008D6ABC"/>
    <w:rsid w:val="008E3305"/>
    <w:rsid w:val="008E5DF2"/>
    <w:rsid w:val="008E7BB4"/>
    <w:rsid w:val="008F3D9A"/>
    <w:rsid w:val="008F7264"/>
    <w:rsid w:val="0091436F"/>
    <w:rsid w:val="009201EF"/>
    <w:rsid w:val="00923B6D"/>
    <w:rsid w:val="00945A61"/>
    <w:rsid w:val="00951994"/>
    <w:rsid w:val="00991A73"/>
    <w:rsid w:val="00992890"/>
    <w:rsid w:val="009A18DC"/>
    <w:rsid w:val="009A53CB"/>
    <w:rsid w:val="009A5C7D"/>
    <w:rsid w:val="009B2903"/>
    <w:rsid w:val="009B533F"/>
    <w:rsid w:val="009C0C4D"/>
    <w:rsid w:val="009D4211"/>
    <w:rsid w:val="009E4482"/>
    <w:rsid w:val="009F742D"/>
    <w:rsid w:val="00A02236"/>
    <w:rsid w:val="00A07A38"/>
    <w:rsid w:val="00A12E01"/>
    <w:rsid w:val="00A41468"/>
    <w:rsid w:val="00A5120E"/>
    <w:rsid w:val="00A51344"/>
    <w:rsid w:val="00A53C70"/>
    <w:rsid w:val="00A543AB"/>
    <w:rsid w:val="00A56281"/>
    <w:rsid w:val="00A6297C"/>
    <w:rsid w:val="00A73260"/>
    <w:rsid w:val="00A87D79"/>
    <w:rsid w:val="00A92BC9"/>
    <w:rsid w:val="00AA1E21"/>
    <w:rsid w:val="00AB0BF3"/>
    <w:rsid w:val="00AB67A7"/>
    <w:rsid w:val="00AB6DA7"/>
    <w:rsid w:val="00AC02F7"/>
    <w:rsid w:val="00B11D43"/>
    <w:rsid w:val="00B205F0"/>
    <w:rsid w:val="00B324FF"/>
    <w:rsid w:val="00B55214"/>
    <w:rsid w:val="00B554C9"/>
    <w:rsid w:val="00B65064"/>
    <w:rsid w:val="00B71E06"/>
    <w:rsid w:val="00B9061D"/>
    <w:rsid w:val="00B97F11"/>
    <w:rsid w:val="00BB2FDE"/>
    <w:rsid w:val="00BB3A61"/>
    <w:rsid w:val="00BD0836"/>
    <w:rsid w:val="00BE04CC"/>
    <w:rsid w:val="00C17024"/>
    <w:rsid w:val="00C2275E"/>
    <w:rsid w:val="00C22B43"/>
    <w:rsid w:val="00C31FC9"/>
    <w:rsid w:val="00C338F7"/>
    <w:rsid w:val="00C343BA"/>
    <w:rsid w:val="00C35EE5"/>
    <w:rsid w:val="00C37767"/>
    <w:rsid w:val="00C548B4"/>
    <w:rsid w:val="00C56B84"/>
    <w:rsid w:val="00C63714"/>
    <w:rsid w:val="00C75193"/>
    <w:rsid w:val="00C91F51"/>
    <w:rsid w:val="00C97CFE"/>
    <w:rsid w:val="00CB25F7"/>
    <w:rsid w:val="00CC19F8"/>
    <w:rsid w:val="00CD1F0C"/>
    <w:rsid w:val="00CD3D48"/>
    <w:rsid w:val="00CE35F0"/>
    <w:rsid w:val="00CE377C"/>
    <w:rsid w:val="00CE4C63"/>
    <w:rsid w:val="00CE6A31"/>
    <w:rsid w:val="00CE7749"/>
    <w:rsid w:val="00CF3515"/>
    <w:rsid w:val="00D10494"/>
    <w:rsid w:val="00D1283B"/>
    <w:rsid w:val="00D22B5B"/>
    <w:rsid w:val="00D34746"/>
    <w:rsid w:val="00D405AD"/>
    <w:rsid w:val="00D471A9"/>
    <w:rsid w:val="00D816CB"/>
    <w:rsid w:val="00D81E7F"/>
    <w:rsid w:val="00D83E9D"/>
    <w:rsid w:val="00D87470"/>
    <w:rsid w:val="00D920DC"/>
    <w:rsid w:val="00D93D66"/>
    <w:rsid w:val="00D96458"/>
    <w:rsid w:val="00D96703"/>
    <w:rsid w:val="00D96F22"/>
    <w:rsid w:val="00DA2DF3"/>
    <w:rsid w:val="00DB0792"/>
    <w:rsid w:val="00DB7B14"/>
    <w:rsid w:val="00DC5231"/>
    <w:rsid w:val="00DD274D"/>
    <w:rsid w:val="00DE2AB6"/>
    <w:rsid w:val="00DE2B07"/>
    <w:rsid w:val="00DE5E1C"/>
    <w:rsid w:val="00DE6304"/>
    <w:rsid w:val="00DF3791"/>
    <w:rsid w:val="00E0129C"/>
    <w:rsid w:val="00E11929"/>
    <w:rsid w:val="00E278F9"/>
    <w:rsid w:val="00E412B9"/>
    <w:rsid w:val="00E53173"/>
    <w:rsid w:val="00E770EF"/>
    <w:rsid w:val="00E871A0"/>
    <w:rsid w:val="00EA3442"/>
    <w:rsid w:val="00EA3762"/>
    <w:rsid w:val="00EA3A21"/>
    <w:rsid w:val="00EA3B9B"/>
    <w:rsid w:val="00EB451A"/>
    <w:rsid w:val="00EB643D"/>
    <w:rsid w:val="00EB6F62"/>
    <w:rsid w:val="00EB7639"/>
    <w:rsid w:val="00EC093B"/>
    <w:rsid w:val="00EC379D"/>
    <w:rsid w:val="00EC4AE4"/>
    <w:rsid w:val="00ED0153"/>
    <w:rsid w:val="00ED2B5D"/>
    <w:rsid w:val="00ED3510"/>
    <w:rsid w:val="00ED3C89"/>
    <w:rsid w:val="00EF1DC3"/>
    <w:rsid w:val="00F02C07"/>
    <w:rsid w:val="00F034E7"/>
    <w:rsid w:val="00F04CBA"/>
    <w:rsid w:val="00F10561"/>
    <w:rsid w:val="00F33741"/>
    <w:rsid w:val="00F42D33"/>
    <w:rsid w:val="00F44691"/>
    <w:rsid w:val="00F46A8E"/>
    <w:rsid w:val="00F47708"/>
    <w:rsid w:val="00F54173"/>
    <w:rsid w:val="00F57BF9"/>
    <w:rsid w:val="00F82744"/>
    <w:rsid w:val="00F954C2"/>
    <w:rsid w:val="00F96D17"/>
    <w:rsid w:val="00FA160F"/>
    <w:rsid w:val="00FA589D"/>
    <w:rsid w:val="00FB05EF"/>
    <w:rsid w:val="00FB4A6B"/>
    <w:rsid w:val="00FB6471"/>
    <w:rsid w:val="00FC1B2E"/>
    <w:rsid w:val="00FC1FD1"/>
    <w:rsid w:val="00FC7BE2"/>
    <w:rsid w:val="00FD0CD4"/>
    <w:rsid w:val="00FD14D7"/>
    <w:rsid w:val="00FE1BE5"/>
    <w:rsid w:val="00FE309E"/>
    <w:rsid w:val="00FE52C8"/>
    <w:rsid w:val="00FE5BC4"/>
    <w:rsid w:val="00FE5E1E"/>
    <w:rsid w:val="00FF0D19"/>
    <w:rsid w:val="00FF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83B"/>
    <w:rPr>
      <w:sz w:val="18"/>
      <w:szCs w:val="18"/>
    </w:rPr>
  </w:style>
  <w:style w:type="character" w:customStyle="1" w:styleId="Char">
    <w:name w:val="批注框文本 Char"/>
    <w:basedOn w:val="a0"/>
    <w:link w:val="a3"/>
    <w:uiPriority w:val="99"/>
    <w:semiHidden/>
    <w:rsid w:val="00D1283B"/>
    <w:rPr>
      <w:sz w:val="18"/>
      <w:szCs w:val="18"/>
    </w:rPr>
  </w:style>
  <w:style w:type="table" w:styleId="a4">
    <w:name w:val="Table Grid"/>
    <w:basedOn w:val="a1"/>
    <w:uiPriority w:val="59"/>
    <w:rsid w:val="008B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97CFE"/>
    <w:rPr>
      <w:sz w:val="21"/>
      <w:szCs w:val="21"/>
    </w:rPr>
  </w:style>
  <w:style w:type="paragraph" w:styleId="a6">
    <w:name w:val="annotation text"/>
    <w:basedOn w:val="a"/>
    <w:link w:val="Char0"/>
    <w:uiPriority w:val="99"/>
    <w:semiHidden/>
    <w:unhideWhenUsed/>
    <w:rsid w:val="00C97CFE"/>
    <w:pPr>
      <w:jc w:val="left"/>
    </w:pPr>
  </w:style>
  <w:style w:type="character" w:customStyle="1" w:styleId="Char0">
    <w:name w:val="批注文字 Char"/>
    <w:basedOn w:val="a0"/>
    <w:link w:val="a6"/>
    <w:uiPriority w:val="99"/>
    <w:semiHidden/>
    <w:rsid w:val="00C97CFE"/>
  </w:style>
  <w:style w:type="paragraph" w:styleId="a7">
    <w:name w:val="annotation subject"/>
    <w:basedOn w:val="a6"/>
    <w:next w:val="a6"/>
    <w:link w:val="Char1"/>
    <w:uiPriority w:val="99"/>
    <w:semiHidden/>
    <w:unhideWhenUsed/>
    <w:rsid w:val="00C97CFE"/>
    <w:rPr>
      <w:b/>
      <w:bCs/>
    </w:rPr>
  </w:style>
  <w:style w:type="character" w:customStyle="1" w:styleId="Char1">
    <w:name w:val="批注主题 Char"/>
    <w:basedOn w:val="Char0"/>
    <w:link w:val="a7"/>
    <w:uiPriority w:val="99"/>
    <w:semiHidden/>
    <w:rsid w:val="00C97C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83B"/>
    <w:rPr>
      <w:sz w:val="18"/>
      <w:szCs w:val="18"/>
    </w:rPr>
  </w:style>
  <w:style w:type="character" w:customStyle="1" w:styleId="Char">
    <w:name w:val="批注框文本 Char"/>
    <w:basedOn w:val="a0"/>
    <w:link w:val="a3"/>
    <w:uiPriority w:val="99"/>
    <w:semiHidden/>
    <w:rsid w:val="00D1283B"/>
    <w:rPr>
      <w:sz w:val="18"/>
      <w:szCs w:val="18"/>
    </w:rPr>
  </w:style>
  <w:style w:type="table" w:styleId="a4">
    <w:name w:val="Table Grid"/>
    <w:basedOn w:val="a1"/>
    <w:uiPriority w:val="59"/>
    <w:rsid w:val="008B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97CFE"/>
    <w:rPr>
      <w:sz w:val="21"/>
      <w:szCs w:val="21"/>
    </w:rPr>
  </w:style>
  <w:style w:type="paragraph" w:styleId="a6">
    <w:name w:val="annotation text"/>
    <w:basedOn w:val="a"/>
    <w:link w:val="Char0"/>
    <w:uiPriority w:val="99"/>
    <w:semiHidden/>
    <w:unhideWhenUsed/>
    <w:rsid w:val="00C97CFE"/>
    <w:pPr>
      <w:jc w:val="left"/>
    </w:pPr>
  </w:style>
  <w:style w:type="character" w:customStyle="1" w:styleId="Char0">
    <w:name w:val="批注文字 Char"/>
    <w:basedOn w:val="a0"/>
    <w:link w:val="a6"/>
    <w:uiPriority w:val="99"/>
    <w:semiHidden/>
    <w:rsid w:val="00C97CFE"/>
  </w:style>
  <w:style w:type="paragraph" w:styleId="a7">
    <w:name w:val="annotation subject"/>
    <w:basedOn w:val="a6"/>
    <w:next w:val="a6"/>
    <w:link w:val="Char1"/>
    <w:uiPriority w:val="99"/>
    <w:semiHidden/>
    <w:unhideWhenUsed/>
    <w:rsid w:val="00C97CFE"/>
    <w:rPr>
      <w:b/>
      <w:bCs/>
    </w:rPr>
  </w:style>
  <w:style w:type="character" w:customStyle="1" w:styleId="Char1">
    <w:name w:val="批注主题 Char"/>
    <w:basedOn w:val="Char0"/>
    <w:link w:val="a7"/>
    <w:uiPriority w:val="99"/>
    <w:semiHidden/>
    <w:rsid w:val="00C97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7994">
      <w:bodyDiv w:val="1"/>
      <w:marLeft w:val="0"/>
      <w:marRight w:val="0"/>
      <w:marTop w:val="0"/>
      <w:marBottom w:val="0"/>
      <w:divBdr>
        <w:top w:val="none" w:sz="0" w:space="0" w:color="auto"/>
        <w:left w:val="none" w:sz="0" w:space="0" w:color="auto"/>
        <w:bottom w:val="none" w:sz="0" w:space="0" w:color="auto"/>
        <w:right w:val="none" w:sz="0" w:space="0" w:color="auto"/>
      </w:divBdr>
    </w:div>
    <w:div w:id="1635745669">
      <w:bodyDiv w:val="1"/>
      <w:marLeft w:val="0"/>
      <w:marRight w:val="0"/>
      <w:marTop w:val="0"/>
      <w:marBottom w:val="0"/>
      <w:divBdr>
        <w:top w:val="none" w:sz="0" w:space="0" w:color="auto"/>
        <w:left w:val="none" w:sz="0" w:space="0" w:color="auto"/>
        <w:bottom w:val="none" w:sz="0" w:space="0" w:color="auto"/>
        <w:right w:val="none" w:sz="0" w:space="0" w:color="auto"/>
      </w:divBdr>
    </w:div>
    <w:div w:id="1659574171">
      <w:bodyDiv w:val="1"/>
      <w:marLeft w:val="0"/>
      <w:marRight w:val="0"/>
      <w:marTop w:val="0"/>
      <w:marBottom w:val="0"/>
      <w:divBdr>
        <w:top w:val="none" w:sz="0" w:space="0" w:color="auto"/>
        <w:left w:val="none" w:sz="0" w:space="0" w:color="auto"/>
        <w:bottom w:val="none" w:sz="0" w:space="0" w:color="auto"/>
        <w:right w:val="none" w:sz="0" w:space="0" w:color="auto"/>
      </w:divBdr>
    </w:div>
    <w:div w:id="1729458203">
      <w:bodyDiv w:val="1"/>
      <w:marLeft w:val="0"/>
      <w:marRight w:val="0"/>
      <w:marTop w:val="0"/>
      <w:marBottom w:val="0"/>
      <w:divBdr>
        <w:top w:val="none" w:sz="0" w:space="0" w:color="auto"/>
        <w:left w:val="none" w:sz="0" w:space="0" w:color="auto"/>
        <w:bottom w:val="none" w:sz="0" w:space="0" w:color="auto"/>
        <w:right w:val="none" w:sz="0" w:space="0" w:color="auto"/>
      </w:divBdr>
    </w:div>
    <w:div w:id="1954358425">
      <w:bodyDiv w:val="1"/>
      <w:marLeft w:val="0"/>
      <w:marRight w:val="0"/>
      <w:marTop w:val="0"/>
      <w:marBottom w:val="0"/>
      <w:divBdr>
        <w:top w:val="none" w:sz="0" w:space="0" w:color="auto"/>
        <w:left w:val="none" w:sz="0" w:space="0" w:color="auto"/>
        <w:bottom w:val="none" w:sz="0" w:space="0" w:color="auto"/>
        <w:right w:val="none" w:sz="0" w:space="0" w:color="auto"/>
      </w:divBdr>
    </w:div>
    <w:div w:id="19894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microsoft.com/office/2007/relationships/stylesWithEffects" Target="stylesWithEffects.xml"/><Relationship Id="rId16"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c\Desktop\&#20225;&#19994;&#35843;&#26597;2016Q1\&#20225;&#19994;&#35843;&#26597;2016Q1&#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48023514055381E-2"/>
          <c:y val="5.0925925925925923E-2"/>
          <c:w val="0.73578014733846997"/>
          <c:h val="0.76436789151356077"/>
        </c:manualLayout>
      </c:layout>
      <c:lineChart>
        <c:grouping val="standard"/>
        <c:varyColors val="0"/>
        <c:ser>
          <c:idx val="0"/>
          <c:order val="0"/>
          <c:tx>
            <c:strRef>
              <c:f>指数持续更新!$A$3</c:f>
              <c:strCache>
                <c:ptCount val="1"/>
                <c:pt idx="0">
                  <c:v>企业家信心指数</c:v>
                </c:pt>
              </c:strCache>
            </c:strRef>
          </c:tx>
          <c:spPr>
            <a:ln w="28575" cap="rnd">
              <a:solidFill>
                <a:schemeClr val="accent1">
                  <a:lumMod val="75000"/>
                </a:schemeClr>
              </a:solidFill>
              <a:round/>
            </a:ln>
            <a:effectLst/>
          </c:spPr>
          <c:marker>
            <c:symbol val="none"/>
          </c:marker>
          <c:cat>
            <c:multiLvlStrRef>
              <c:f>指数持续更新!$B$1:$J$2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指数持续更新!$B$3:$J$3</c:f>
              <c:numCache>
                <c:formatCode>General</c:formatCode>
                <c:ptCount val="9"/>
                <c:pt idx="0">
                  <c:v>143.6</c:v>
                </c:pt>
                <c:pt idx="1">
                  <c:v>152.6</c:v>
                </c:pt>
                <c:pt idx="2">
                  <c:v>148.30000000000001</c:v>
                </c:pt>
                <c:pt idx="3">
                  <c:v>154.19999999999999</c:v>
                </c:pt>
                <c:pt idx="4">
                  <c:v>145.19999999999999</c:v>
                </c:pt>
                <c:pt idx="5">
                  <c:v>150.5</c:v>
                </c:pt>
                <c:pt idx="6">
                  <c:v>137.5</c:v>
                </c:pt>
                <c:pt idx="7">
                  <c:v>140.30000000000001</c:v>
                </c:pt>
                <c:pt idx="8">
                  <c:v>144.80000000000001</c:v>
                </c:pt>
              </c:numCache>
            </c:numRef>
          </c:val>
          <c:smooth val="0"/>
        </c:ser>
        <c:ser>
          <c:idx val="1"/>
          <c:order val="1"/>
          <c:tx>
            <c:strRef>
              <c:f>指数持续更新!$A$4</c:f>
              <c:strCache>
                <c:ptCount val="1"/>
                <c:pt idx="0">
                  <c:v>行业景气指数</c:v>
                </c:pt>
              </c:strCache>
            </c:strRef>
          </c:tx>
          <c:spPr>
            <a:ln w="28575" cap="rnd">
              <a:solidFill>
                <a:srgbClr val="C00000"/>
              </a:solidFill>
              <a:round/>
            </a:ln>
            <a:effectLst/>
          </c:spPr>
          <c:marker>
            <c:symbol val="none"/>
          </c:marker>
          <c:cat>
            <c:multiLvlStrRef>
              <c:f>指数持续更新!$B$1:$J$2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指数持续更新!$B$4:$J$4</c:f>
              <c:numCache>
                <c:formatCode>General</c:formatCode>
                <c:ptCount val="9"/>
                <c:pt idx="0">
                  <c:v>146.1</c:v>
                </c:pt>
                <c:pt idx="1">
                  <c:v>156.69999999999999</c:v>
                </c:pt>
                <c:pt idx="2">
                  <c:v>152.6</c:v>
                </c:pt>
                <c:pt idx="3">
                  <c:v>154.19999999999999</c:v>
                </c:pt>
                <c:pt idx="4">
                  <c:v>147.5</c:v>
                </c:pt>
                <c:pt idx="5">
                  <c:v>150.5</c:v>
                </c:pt>
                <c:pt idx="6">
                  <c:v>144.4</c:v>
                </c:pt>
                <c:pt idx="7">
                  <c:v>141.1</c:v>
                </c:pt>
                <c:pt idx="8">
                  <c:v>138.5</c:v>
                </c:pt>
              </c:numCache>
            </c:numRef>
          </c:val>
          <c:smooth val="0"/>
        </c:ser>
        <c:dLbls>
          <c:showLegendKey val="0"/>
          <c:showVal val="0"/>
          <c:showCatName val="0"/>
          <c:showSerName val="0"/>
          <c:showPercent val="0"/>
          <c:showBubbleSize val="0"/>
        </c:dLbls>
        <c:marker val="1"/>
        <c:smooth val="0"/>
        <c:axId val="146429440"/>
        <c:axId val="146430976"/>
      </c:lineChart>
      <c:catAx>
        <c:axId val="14642944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6430976"/>
        <c:crosses val="autoZero"/>
        <c:auto val="1"/>
        <c:lblAlgn val="ctr"/>
        <c:lblOffset val="100"/>
        <c:noMultiLvlLbl val="0"/>
      </c:catAx>
      <c:valAx>
        <c:axId val="146430976"/>
        <c:scaling>
          <c:orientation val="minMax"/>
          <c:max val="170"/>
          <c:min val="10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6429440"/>
        <c:crosses val="autoZero"/>
        <c:crossBetween val="between"/>
      </c:valAx>
      <c:spPr>
        <a:noFill/>
        <a:ln>
          <a:noFill/>
        </a:ln>
        <a:effectLst/>
      </c:spPr>
    </c:plotArea>
    <c:legend>
      <c:legendPos val="r"/>
      <c:layout>
        <c:manualLayout>
          <c:xMode val="edge"/>
          <c:yMode val="edge"/>
          <c:x val="0.76144202010526862"/>
          <c:y val="0.50983741615631384"/>
          <c:w val="0.23855795580662637"/>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政策环境!$B$1:$J$2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政策环境!$B$3:$J$3</c:f>
              <c:numCache>
                <c:formatCode>General</c:formatCode>
                <c:ptCount val="9"/>
                <c:pt idx="0">
                  <c:v>131.19999999999999</c:v>
                </c:pt>
                <c:pt idx="1">
                  <c:v>142.30000000000001</c:v>
                </c:pt>
                <c:pt idx="2">
                  <c:v>129.4</c:v>
                </c:pt>
                <c:pt idx="3">
                  <c:v>132.1</c:v>
                </c:pt>
                <c:pt idx="4">
                  <c:v>134.6</c:v>
                </c:pt>
                <c:pt idx="5">
                  <c:v>136</c:v>
                </c:pt>
                <c:pt idx="6">
                  <c:v>132.5</c:v>
                </c:pt>
                <c:pt idx="7">
                  <c:v>134.6</c:v>
                </c:pt>
                <c:pt idx="8">
                  <c:v>131.9</c:v>
                </c:pt>
              </c:numCache>
            </c:numRef>
          </c:val>
        </c:ser>
        <c:dLbls>
          <c:showLegendKey val="0"/>
          <c:showVal val="0"/>
          <c:showCatName val="0"/>
          <c:showSerName val="0"/>
          <c:showPercent val="0"/>
          <c:showBubbleSize val="0"/>
        </c:dLbls>
        <c:gapWidth val="219"/>
        <c:overlap val="-27"/>
        <c:axId val="150017152"/>
        <c:axId val="150018688"/>
      </c:barChart>
      <c:catAx>
        <c:axId val="15001715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018688"/>
        <c:crossesAt val="100"/>
        <c:auto val="1"/>
        <c:lblAlgn val="ctr"/>
        <c:lblOffset val="100"/>
        <c:noMultiLvlLbl val="0"/>
      </c:catAx>
      <c:valAx>
        <c:axId val="150018688"/>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01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指数持续更新!$A$115</c:f>
              <c:strCache>
                <c:ptCount val="1"/>
                <c:pt idx="0">
                  <c:v>2016Q1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指数持续更新!$B$114:$C$114</c:f>
              <c:strCache>
                <c:ptCount val="2"/>
                <c:pt idx="0">
                  <c:v>行业景气指数</c:v>
                </c:pt>
                <c:pt idx="1">
                  <c:v>企业家信心指数</c:v>
                </c:pt>
              </c:strCache>
            </c:strRef>
          </c:cat>
          <c:val>
            <c:numRef>
              <c:f>指数持续更新!$B$115:$C$115</c:f>
              <c:numCache>
                <c:formatCode>General</c:formatCode>
                <c:ptCount val="2"/>
                <c:pt idx="0">
                  <c:v>138.5</c:v>
                </c:pt>
                <c:pt idx="1">
                  <c:v>144.80000000000001</c:v>
                </c:pt>
              </c:numCache>
            </c:numRef>
          </c:val>
        </c:ser>
        <c:ser>
          <c:idx val="1"/>
          <c:order val="1"/>
          <c:tx>
            <c:strRef>
              <c:f>指数持续更新!$A$116</c:f>
              <c:strCache>
                <c:ptCount val="1"/>
                <c:pt idx="0">
                  <c:v>2016Q2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指数持续更新!$B$114:$C$114</c:f>
              <c:strCache>
                <c:ptCount val="2"/>
                <c:pt idx="0">
                  <c:v>行业景气指数</c:v>
                </c:pt>
                <c:pt idx="1">
                  <c:v>企业家信心指数</c:v>
                </c:pt>
              </c:strCache>
            </c:strRef>
          </c:cat>
          <c:val>
            <c:numRef>
              <c:f>指数持续更新!$B$116:$C$116</c:f>
              <c:numCache>
                <c:formatCode>General</c:formatCode>
                <c:ptCount val="2"/>
                <c:pt idx="0">
                  <c:v>156.1</c:v>
                </c:pt>
                <c:pt idx="1">
                  <c:v>150.80000000000001</c:v>
                </c:pt>
              </c:numCache>
            </c:numRef>
          </c:val>
        </c:ser>
        <c:dLbls>
          <c:showLegendKey val="0"/>
          <c:showVal val="0"/>
          <c:showCatName val="0"/>
          <c:showSerName val="0"/>
          <c:showPercent val="0"/>
          <c:showBubbleSize val="0"/>
        </c:dLbls>
        <c:gapWidth val="150"/>
        <c:axId val="150052224"/>
        <c:axId val="150062208"/>
      </c:barChart>
      <c:catAx>
        <c:axId val="15005222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062208"/>
        <c:crossesAt val="100"/>
        <c:auto val="1"/>
        <c:lblAlgn val="ctr"/>
        <c:lblOffset val="100"/>
        <c:noMultiLvlLbl val="0"/>
      </c:catAx>
      <c:valAx>
        <c:axId val="150062208"/>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0522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指数持续更新!$A$132</c:f>
              <c:strCache>
                <c:ptCount val="1"/>
                <c:pt idx="0">
                  <c:v>东部</c:v>
                </c:pt>
              </c:strCache>
            </c:strRef>
          </c:tx>
          <c:spPr>
            <a:ln w="28575" cap="rnd">
              <a:solidFill>
                <a:schemeClr val="accent1"/>
              </a:solidFill>
              <a:round/>
            </a:ln>
            <a:effectLst/>
          </c:spPr>
          <c:marker>
            <c:symbol val="none"/>
          </c:marker>
          <c:cat>
            <c:multiLvlStrRef>
              <c:f>指数持续更新!$B$130:$J$131</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指数持续更新!$B$132:$J$132</c:f>
              <c:numCache>
                <c:formatCode>General</c:formatCode>
                <c:ptCount val="9"/>
                <c:pt idx="0">
                  <c:v>148.4</c:v>
                </c:pt>
                <c:pt idx="1">
                  <c:v>160.1</c:v>
                </c:pt>
                <c:pt idx="2">
                  <c:v>156.80000000000001</c:v>
                </c:pt>
                <c:pt idx="3">
                  <c:v>159</c:v>
                </c:pt>
                <c:pt idx="4">
                  <c:v>152.4</c:v>
                </c:pt>
                <c:pt idx="5">
                  <c:v>157.9</c:v>
                </c:pt>
                <c:pt idx="6">
                  <c:v>150.19999999999999</c:v>
                </c:pt>
                <c:pt idx="7">
                  <c:v>142.80000000000001</c:v>
                </c:pt>
                <c:pt idx="8">
                  <c:v>140.5</c:v>
                </c:pt>
              </c:numCache>
            </c:numRef>
          </c:val>
          <c:smooth val="0"/>
        </c:ser>
        <c:ser>
          <c:idx val="1"/>
          <c:order val="1"/>
          <c:tx>
            <c:strRef>
              <c:f>指数持续更新!$A$133</c:f>
              <c:strCache>
                <c:ptCount val="1"/>
                <c:pt idx="0">
                  <c:v>中部</c:v>
                </c:pt>
              </c:strCache>
            </c:strRef>
          </c:tx>
          <c:spPr>
            <a:ln w="28575" cap="rnd">
              <a:solidFill>
                <a:schemeClr val="accent2"/>
              </a:solidFill>
              <a:round/>
            </a:ln>
            <a:effectLst/>
          </c:spPr>
          <c:marker>
            <c:symbol val="none"/>
          </c:marker>
          <c:cat>
            <c:multiLvlStrRef>
              <c:f>指数持续更新!$B$130:$J$131</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指数持续更新!$B$133:$J$133</c:f>
              <c:numCache>
                <c:formatCode>General</c:formatCode>
                <c:ptCount val="9"/>
                <c:pt idx="0">
                  <c:v>138.1</c:v>
                </c:pt>
                <c:pt idx="1">
                  <c:v>147.1</c:v>
                </c:pt>
                <c:pt idx="2">
                  <c:v>142.5</c:v>
                </c:pt>
                <c:pt idx="3">
                  <c:v>143</c:v>
                </c:pt>
                <c:pt idx="4">
                  <c:v>134.80000000000001</c:v>
                </c:pt>
                <c:pt idx="5">
                  <c:v>142.30000000000001</c:v>
                </c:pt>
                <c:pt idx="6">
                  <c:v>120.7</c:v>
                </c:pt>
                <c:pt idx="7">
                  <c:v>130.1</c:v>
                </c:pt>
                <c:pt idx="8">
                  <c:v>121.7</c:v>
                </c:pt>
              </c:numCache>
            </c:numRef>
          </c:val>
          <c:smooth val="0"/>
        </c:ser>
        <c:ser>
          <c:idx val="2"/>
          <c:order val="2"/>
          <c:tx>
            <c:strRef>
              <c:f>指数持续更新!$A$134</c:f>
              <c:strCache>
                <c:ptCount val="1"/>
                <c:pt idx="0">
                  <c:v>西部</c:v>
                </c:pt>
              </c:strCache>
            </c:strRef>
          </c:tx>
          <c:spPr>
            <a:ln w="28575" cap="rnd">
              <a:solidFill>
                <a:schemeClr val="accent3"/>
              </a:solidFill>
              <a:round/>
            </a:ln>
            <a:effectLst/>
          </c:spPr>
          <c:marker>
            <c:symbol val="none"/>
          </c:marker>
          <c:cat>
            <c:multiLvlStrRef>
              <c:f>指数持续更新!$B$130:$J$131</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指数持续更新!$B$134:$J$134</c:f>
              <c:numCache>
                <c:formatCode>General</c:formatCode>
                <c:ptCount val="9"/>
                <c:pt idx="0">
                  <c:v>133.6</c:v>
                </c:pt>
                <c:pt idx="1">
                  <c:v>138.9</c:v>
                </c:pt>
                <c:pt idx="2">
                  <c:v>127.8</c:v>
                </c:pt>
                <c:pt idx="3">
                  <c:v>125.8</c:v>
                </c:pt>
                <c:pt idx="4">
                  <c:v>124.8</c:v>
                </c:pt>
                <c:pt idx="5">
                  <c:v>131.4</c:v>
                </c:pt>
                <c:pt idx="6">
                  <c:v>127.3</c:v>
                </c:pt>
                <c:pt idx="7">
                  <c:v>117.3</c:v>
                </c:pt>
                <c:pt idx="8">
                  <c:v>122.9</c:v>
                </c:pt>
              </c:numCache>
            </c:numRef>
          </c:val>
          <c:smooth val="0"/>
        </c:ser>
        <c:ser>
          <c:idx val="3"/>
          <c:order val="3"/>
          <c:tx>
            <c:strRef>
              <c:f>指数持续更新!$A$135</c:f>
              <c:strCache>
                <c:ptCount val="1"/>
                <c:pt idx="0">
                  <c:v>东北</c:v>
                </c:pt>
              </c:strCache>
            </c:strRef>
          </c:tx>
          <c:spPr>
            <a:ln w="28575" cap="rnd">
              <a:solidFill>
                <a:schemeClr val="accent4"/>
              </a:solidFill>
              <a:round/>
            </a:ln>
            <a:effectLst/>
          </c:spPr>
          <c:marker>
            <c:symbol val="none"/>
          </c:marker>
          <c:cat>
            <c:multiLvlStrRef>
              <c:f>指数持续更新!$B$130:$J$131</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指数持续更新!$B$135:$J$135</c:f>
              <c:numCache>
                <c:formatCode>General</c:formatCode>
                <c:ptCount val="9"/>
                <c:pt idx="0">
                  <c:v>146.69999999999999</c:v>
                </c:pt>
                <c:pt idx="1">
                  <c:v>144.9</c:v>
                </c:pt>
                <c:pt idx="2">
                  <c:v>145.6</c:v>
                </c:pt>
                <c:pt idx="3">
                  <c:v>140.69999999999999</c:v>
                </c:pt>
                <c:pt idx="4">
                  <c:v>130.6</c:v>
                </c:pt>
                <c:pt idx="5">
                  <c:v>140.69999999999999</c:v>
                </c:pt>
                <c:pt idx="6">
                  <c:v>118.9</c:v>
                </c:pt>
                <c:pt idx="7">
                  <c:v>120.8</c:v>
                </c:pt>
                <c:pt idx="8">
                  <c:v>131.30000000000001</c:v>
                </c:pt>
              </c:numCache>
            </c:numRef>
          </c:val>
          <c:smooth val="0"/>
        </c:ser>
        <c:dLbls>
          <c:showLegendKey val="0"/>
          <c:showVal val="0"/>
          <c:showCatName val="0"/>
          <c:showSerName val="0"/>
          <c:showPercent val="0"/>
          <c:showBubbleSize val="0"/>
        </c:dLbls>
        <c:marker val="1"/>
        <c:smooth val="0"/>
        <c:axId val="149830656"/>
        <c:axId val="149832448"/>
      </c:lineChart>
      <c:catAx>
        <c:axId val="14983065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832448"/>
        <c:crossesAt val="100"/>
        <c:auto val="1"/>
        <c:lblAlgn val="ctr"/>
        <c:lblOffset val="100"/>
        <c:noMultiLvlLbl val="0"/>
      </c:catAx>
      <c:valAx>
        <c:axId val="149832448"/>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830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指数持续更新!$A$144</c:f>
              <c:strCache>
                <c:ptCount val="1"/>
                <c:pt idx="0">
                  <c:v>新一代信息技术</c:v>
                </c:pt>
              </c:strCache>
            </c:strRef>
          </c:tx>
          <c:spPr>
            <a:ln w="28575" cap="rnd">
              <a:solidFill>
                <a:schemeClr val="accent1"/>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指数持续更新!$B$144:$F$144</c:f>
              <c:numCache>
                <c:formatCode>General</c:formatCode>
                <c:ptCount val="5"/>
                <c:pt idx="0">
                  <c:v>150</c:v>
                </c:pt>
                <c:pt idx="1">
                  <c:v>162.30000000000001</c:v>
                </c:pt>
                <c:pt idx="2">
                  <c:v>152.30000000000001</c:v>
                </c:pt>
                <c:pt idx="3">
                  <c:v>153.1</c:v>
                </c:pt>
                <c:pt idx="4">
                  <c:v>130.19999999999999</c:v>
                </c:pt>
              </c:numCache>
            </c:numRef>
          </c:val>
          <c:smooth val="0"/>
        </c:ser>
        <c:ser>
          <c:idx val="1"/>
          <c:order val="1"/>
          <c:tx>
            <c:strRef>
              <c:f>指数持续更新!$A$145</c:f>
              <c:strCache>
                <c:ptCount val="1"/>
                <c:pt idx="0">
                  <c:v>新能源汽车</c:v>
                </c:pt>
              </c:strCache>
            </c:strRef>
          </c:tx>
          <c:spPr>
            <a:ln w="28575" cap="rnd">
              <a:solidFill>
                <a:schemeClr val="accent2"/>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指数持续更新!$B$145:$F$145</c:f>
              <c:numCache>
                <c:formatCode>General</c:formatCode>
                <c:ptCount val="5"/>
                <c:pt idx="0">
                  <c:v>142.6</c:v>
                </c:pt>
                <c:pt idx="1">
                  <c:v>158.5</c:v>
                </c:pt>
                <c:pt idx="2">
                  <c:v>150.9</c:v>
                </c:pt>
                <c:pt idx="3">
                  <c:v>160.9</c:v>
                </c:pt>
                <c:pt idx="4">
                  <c:v>136.19999999999999</c:v>
                </c:pt>
              </c:numCache>
            </c:numRef>
          </c:val>
          <c:smooth val="0"/>
        </c:ser>
        <c:ser>
          <c:idx val="2"/>
          <c:order val="2"/>
          <c:tx>
            <c:strRef>
              <c:f>指数持续更新!$A$146</c:f>
              <c:strCache>
                <c:ptCount val="1"/>
                <c:pt idx="0">
                  <c:v>生物</c:v>
                </c:pt>
              </c:strCache>
            </c:strRef>
          </c:tx>
          <c:spPr>
            <a:ln w="28575" cap="rnd">
              <a:solidFill>
                <a:schemeClr val="accent3"/>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指数持续更新!$B$146:$F$146</c:f>
              <c:numCache>
                <c:formatCode>General</c:formatCode>
                <c:ptCount val="5"/>
                <c:pt idx="0">
                  <c:v>149.6</c:v>
                </c:pt>
                <c:pt idx="1">
                  <c:v>156.30000000000001</c:v>
                </c:pt>
                <c:pt idx="2">
                  <c:v>143.19999999999999</c:v>
                </c:pt>
                <c:pt idx="3">
                  <c:v>136.19999999999999</c:v>
                </c:pt>
                <c:pt idx="4">
                  <c:v>143.6</c:v>
                </c:pt>
              </c:numCache>
            </c:numRef>
          </c:val>
          <c:smooth val="0"/>
        </c:ser>
        <c:ser>
          <c:idx val="3"/>
          <c:order val="3"/>
          <c:tx>
            <c:strRef>
              <c:f>指数持续更新!$A$147</c:f>
              <c:strCache>
                <c:ptCount val="1"/>
                <c:pt idx="0">
                  <c:v>新能源</c:v>
                </c:pt>
              </c:strCache>
            </c:strRef>
          </c:tx>
          <c:spPr>
            <a:ln w="28575" cap="rnd">
              <a:solidFill>
                <a:schemeClr val="accent4"/>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指数持续更新!$B$147:$F$147</c:f>
              <c:numCache>
                <c:formatCode>General</c:formatCode>
                <c:ptCount val="5"/>
                <c:pt idx="0">
                  <c:v>145.69999999999999</c:v>
                </c:pt>
                <c:pt idx="1">
                  <c:v>145</c:v>
                </c:pt>
                <c:pt idx="2">
                  <c:v>140.9</c:v>
                </c:pt>
                <c:pt idx="3">
                  <c:v>142.69999999999999</c:v>
                </c:pt>
                <c:pt idx="4">
                  <c:v>145.1</c:v>
                </c:pt>
              </c:numCache>
            </c:numRef>
          </c:val>
          <c:smooth val="0"/>
        </c:ser>
        <c:ser>
          <c:idx val="4"/>
          <c:order val="4"/>
          <c:tx>
            <c:strRef>
              <c:f>指数持续更新!$A$148</c:f>
              <c:strCache>
                <c:ptCount val="1"/>
                <c:pt idx="0">
                  <c:v>高端装备制造</c:v>
                </c:pt>
              </c:strCache>
            </c:strRef>
          </c:tx>
          <c:spPr>
            <a:ln w="28575" cap="rnd">
              <a:solidFill>
                <a:schemeClr val="accent5"/>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指数持续更新!$B$148:$F$148</c:f>
              <c:numCache>
                <c:formatCode>General</c:formatCode>
                <c:ptCount val="5"/>
                <c:pt idx="0">
                  <c:v>131.19999999999999</c:v>
                </c:pt>
                <c:pt idx="1">
                  <c:v>142.4</c:v>
                </c:pt>
                <c:pt idx="2">
                  <c:v>119.1</c:v>
                </c:pt>
                <c:pt idx="3">
                  <c:v>119.9</c:v>
                </c:pt>
                <c:pt idx="4">
                  <c:v>124.5</c:v>
                </c:pt>
              </c:numCache>
            </c:numRef>
          </c:val>
          <c:smooth val="0"/>
        </c:ser>
        <c:ser>
          <c:idx val="5"/>
          <c:order val="5"/>
          <c:tx>
            <c:strRef>
              <c:f>指数持续更新!$A$149</c:f>
              <c:strCache>
                <c:ptCount val="1"/>
                <c:pt idx="0">
                  <c:v>新材料</c:v>
                </c:pt>
              </c:strCache>
            </c:strRef>
          </c:tx>
          <c:spPr>
            <a:ln w="28575" cap="rnd">
              <a:solidFill>
                <a:schemeClr val="accent6"/>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指数持续更新!$B$149:$F$149</c:f>
              <c:numCache>
                <c:formatCode>General</c:formatCode>
                <c:ptCount val="5"/>
                <c:pt idx="0">
                  <c:v>120.5</c:v>
                </c:pt>
                <c:pt idx="1">
                  <c:v>134.30000000000001</c:v>
                </c:pt>
                <c:pt idx="2">
                  <c:v>121.5</c:v>
                </c:pt>
                <c:pt idx="3">
                  <c:v>112.3</c:v>
                </c:pt>
                <c:pt idx="4">
                  <c:v>122.5</c:v>
                </c:pt>
              </c:numCache>
            </c:numRef>
          </c:val>
          <c:smooth val="0"/>
        </c:ser>
        <c:ser>
          <c:idx val="6"/>
          <c:order val="6"/>
          <c:tx>
            <c:strRef>
              <c:f>指数持续更新!$A$150</c:f>
              <c:strCache>
                <c:ptCount val="1"/>
                <c:pt idx="0">
                  <c:v>节能环保</c:v>
                </c:pt>
              </c:strCache>
            </c:strRef>
          </c:tx>
          <c:spPr>
            <a:ln w="28575" cap="rnd">
              <a:solidFill>
                <a:schemeClr val="accent1">
                  <a:lumMod val="60000"/>
                </a:schemeClr>
              </a:solidFill>
              <a:round/>
            </a:ln>
            <a:effectLst/>
          </c:spPr>
          <c:marker>
            <c:symbol val="none"/>
          </c:marker>
          <c:cat>
            <c:multiLvlStrRef>
              <c:f>指数持续更新!$B$142:$F$143</c:f>
              <c:multiLvlStrCache>
                <c:ptCount val="5"/>
                <c:lvl>
                  <c:pt idx="0">
                    <c:v>Q1</c:v>
                  </c:pt>
                  <c:pt idx="1">
                    <c:v>Q2</c:v>
                  </c:pt>
                  <c:pt idx="2">
                    <c:v>Q3</c:v>
                  </c:pt>
                  <c:pt idx="3">
                    <c:v>Q4</c:v>
                  </c:pt>
                  <c:pt idx="4">
                    <c:v>Q1</c:v>
                  </c:pt>
                </c:lvl>
                <c:lvl>
                  <c:pt idx="0">
                    <c:v>2015</c:v>
                  </c:pt>
                  <c:pt idx="4">
                    <c:v>2016</c:v>
                  </c:pt>
                </c:lvl>
              </c:multiLvlStrCache>
            </c:multiLvlStrRef>
          </c:cat>
          <c:val>
            <c:numRef>
              <c:f>指数持续更新!$B$150:$F$150</c:f>
              <c:numCache>
                <c:formatCode>General</c:formatCode>
                <c:ptCount val="5"/>
                <c:pt idx="0">
                  <c:v>132.19999999999999</c:v>
                </c:pt>
                <c:pt idx="1">
                  <c:v>134</c:v>
                </c:pt>
                <c:pt idx="2">
                  <c:v>126.4</c:v>
                </c:pt>
                <c:pt idx="3">
                  <c:v>121.1</c:v>
                </c:pt>
                <c:pt idx="4">
                  <c:v>119.4</c:v>
                </c:pt>
              </c:numCache>
            </c:numRef>
          </c:val>
          <c:smooth val="0"/>
        </c:ser>
        <c:dLbls>
          <c:showLegendKey val="0"/>
          <c:showVal val="0"/>
          <c:showCatName val="0"/>
          <c:showSerName val="0"/>
          <c:showPercent val="0"/>
          <c:showBubbleSize val="0"/>
        </c:dLbls>
        <c:marker val="1"/>
        <c:smooth val="0"/>
        <c:axId val="150148224"/>
        <c:axId val="150149760"/>
      </c:lineChart>
      <c:catAx>
        <c:axId val="15014822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149760"/>
        <c:crossesAt val="100"/>
        <c:auto val="1"/>
        <c:lblAlgn val="ctr"/>
        <c:lblOffset val="100"/>
        <c:noMultiLvlLbl val="0"/>
      </c:catAx>
      <c:valAx>
        <c:axId val="150149760"/>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1482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指数持续更新!$A$10</c:f>
              <c:strCache>
                <c:ptCount val="1"/>
                <c:pt idx="0">
                  <c:v>生产总指数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指数持续更新!$B$8:$J$9</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指数持续更新!$B$10:$J$10</c:f>
              <c:numCache>
                <c:formatCode>General</c:formatCode>
                <c:ptCount val="9"/>
                <c:pt idx="0">
                  <c:v>116.8</c:v>
                </c:pt>
                <c:pt idx="1">
                  <c:v>130.4</c:v>
                </c:pt>
                <c:pt idx="2">
                  <c:v>122.3</c:v>
                </c:pt>
                <c:pt idx="3">
                  <c:v>124.5</c:v>
                </c:pt>
                <c:pt idx="4">
                  <c:v>117.2</c:v>
                </c:pt>
                <c:pt idx="5">
                  <c:v>129.1</c:v>
                </c:pt>
                <c:pt idx="6">
                  <c:v>117.3</c:v>
                </c:pt>
                <c:pt idx="7">
                  <c:v>120.4</c:v>
                </c:pt>
                <c:pt idx="8">
                  <c:v>107.7</c:v>
                </c:pt>
              </c:numCache>
            </c:numRef>
          </c:val>
        </c:ser>
        <c:dLbls>
          <c:showLegendKey val="0"/>
          <c:showVal val="0"/>
          <c:showCatName val="0"/>
          <c:showSerName val="0"/>
          <c:showPercent val="0"/>
          <c:showBubbleSize val="0"/>
        </c:dLbls>
        <c:gapWidth val="219"/>
        <c:overlap val="-27"/>
        <c:axId val="343796736"/>
        <c:axId val="343798528"/>
      </c:barChart>
      <c:catAx>
        <c:axId val="34379673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43798528"/>
        <c:crossesAt val="100"/>
        <c:auto val="1"/>
        <c:lblAlgn val="ctr"/>
        <c:lblOffset val="100"/>
        <c:noMultiLvlLbl val="0"/>
      </c:catAx>
      <c:valAx>
        <c:axId val="343798528"/>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4379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指数持续更新!$A$15</c:f>
              <c:strCache>
                <c:ptCount val="1"/>
                <c:pt idx="0">
                  <c:v>用工</c:v>
                </c:pt>
              </c:strCache>
            </c:strRef>
          </c:tx>
          <c:spPr>
            <a:ln w="28575" cap="rnd">
              <a:solidFill>
                <a:schemeClr val="accent1">
                  <a:lumMod val="75000"/>
                </a:schemeClr>
              </a:solidFill>
              <a:round/>
            </a:ln>
            <a:effectLst/>
          </c:spPr>
          <c:marker>
            <c:symbol val="none"/>
          </c:marker>
          <c:cat>
            <c:multiLvlStrRef>
              <c:f>指数持续更新!$B$13:$J$14</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指数持续更新!$B$15:$J$15</c:f>
              <c:numCache>
                <c:formatCode>General</c:formatCode>
                <c:ptCount val="9"/>
                <c:pt idx="0">
                  <c:v>122.5</c:v>
                </c:pt>
                <c:pt idx="1">
                  <c:v>143.69999999999999</c:v>
                </c:pt>
                <c:pt idx="2">
                  <c:v>132.9</c:v>
                </c:pt>
                <c:pt idx="3">
                  <c:v>131.4</c:v>
                </c:pt>
                <c:pt idx="4">
                  <c:v>122.3</c:v>
                </c:pt>
                <c:pt idx="5">
                  <c:v>133.1</c:v>
                </c:pt>
                <c:pt idx="6">
                  <c:v>124.8</c:v>
                </c:pt>
                <c:pt idx="7">
                  <c:v>126.4</c:v>
                </c:pt>
                <c:pt idx="8">
                  <c:v>107.2</c:v>
                </c:pt>
              </c:numCache>
            </c:numRef>
          </c:val>
          <c:smooth val="0"/>
        </c:ser>
        <c:ser>
          <c:idx val="1"/>
          <c:order val="1"/>
          <c:tx>
            <c:strRef>
              <c:f>指数持续更新!$A$16</c:f>
              <c:strCache>
                <c:ptCount val="1"/>
                <c:pt idx="0">
                  <c:v>设备</c:v>
                </c:pt>
              </c:strCache>
            </c:strRef>
          </c:tx>
          <c:spPr>
            <a:ln w="28575" cap="rnd">
              <a:solidFill>
                <a:srgbClr val="C00000"/>
              </a:solidFill>
              <a:round/>
            </a:ln>
            <a:effectLst/>
          </c:spPr>
          <c:marker>
            <c:symbol val="none"/>
          </c:marker>
          <c:cat>
            <c:multiLvlStrRef>
              <c:f>指数持续更新!$B$13:$J$14</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指数持续更新!$B$16:$J$16</c:f>
              <c:numCache>
                <c:formatCode>General</c:formatCode>
                <c:ptCount val="9"/>
                <c:pt idx="0">
                  <c:v>129.30000000000001</c:v>
                </c:pt>
                <c:pt idx="1">
                  <c:v>150.80000000000001</c:v>
                </c:pt>
                <c:pt idx="2">
                  <c:v>135.19999999999999</c:v>
                </c:pt>
                <c:pt idx="3">
                  <c:v>139.4</c:v>
                </c:pt>
                <c:pt idx="4">
                  <c:v>127.5</c:v>
                </c:pt>
                <c:pt idx="5">
                  <c:v>144.30000000000001</c:v>
                </c:pt>
                <c:pt idx="6">
                  <c:v>126.3</c:v>
                </c:pt>
                <c:pt idx="7">
                  <c:v>132.69999999999999</c:v>
                </c:pt>
                <c:pt idx="8">
                  <c:v>115</c:v>
                </c:pt>
              </c:numCache>
            </c:numRef>
          </c:val>
          <c:smooth val="0"/>
        </c:ser>
        <c:ser>
          <c:idx val="2"/>
          <c:order val="2"/>
          <c:tx>
            <c:strRef>
              <c:f>指数持续更新!$A$17</c:f>
              <c:strCache>
                <c:ptCount val="1"/>
                <c:pt idx="0">
                  <c:v>库存</c:v>
                </c:pt>
              </c:strCache>
            </c:strRef>
          </c:tx>
          <c:spPr>
            <a:ln w="28575" cap="rnd">
              <a:solidFill>
                <a:schemeClr val="accent6"/>
              </a:solidFill>
              <a:round/>
            </a:ln>
            <a:effectLst/>
          </c:spPr>
          <c:marker>
            <c:symbol val="none"/>
          </c:marker>
          <c:cat>
            <c:multiLvlStrRef>
              <c:f>指数持续更新!$B$13:$J$14</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指数持续更新!$B$17:$J$17</c:f>
              <c:numCache>
                <c:formatCode>General</c:formatCode>
                <c:ptCount val="9"/>
                <c:pt idx="0">
                  <c:v>95.5</c:v>
                </c:pt>
                <c:pt idx="1">
                  <c:v>91.4</c:v>
                </c:pt>
                <c:pt idx="2">
                  <c:v>94.5</c:v>
                </c:pt>
                <c:pt idx="3">
                  <c:v>96</c:v>
                </c:pt>
                <c:pt idx="4">
                  <c:v>96.9</c:v>
                </c:pt>
                <c:pt idx="5">
                  <c:v>102.9</c:v>
                </c:pt>
                <c:pt idx="6">
                  <c:v>96.2</c:v>
                </c:pt>
                <c:pt idx="7">
                  <c:v>95.2</c:v>
                </c:pt>
                <c:pt idx="8">
                  <c:v>98.7</c:v>
                </c:pt>
              </c:numCache>
            </c:numRef>
          </c:val>
          <c:smooth val="0"/>
        </c:ser>
        <c:dLbls>
          <c:showLegendKey val="0"/>
          <c:showVal val="0"/>
          <c:showCatName val="0"/>
          <c:showSerName val="0"/>
          <c:showPercent val="0"/>
          <c:showBubbleSize val="0"/>
        </c:dLbls>
        <c:marker val="1"/>
        <c:smooth val="0"/>
        <c:axId val="149567360"/>
        <c:axId val="149568896"/>
      </c:lineChart>
      <c:catAx>
        <c:axId val="14956736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568896"/>
        <c:crossesAt val="100"/>
        <c:auto val="1"/>
        <c:lblAlgn val="ctr"/>
        <c:lblOffset val="100"/>
        <c:noMultiLvlLbl val="0"/>
      </c:catAx>
      <c:valAx>
        <c:axId val="14956889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567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指数持续更新!$A$38</c:f>
              <c:strCache>
                <c:ptCount val="1"/>
                <c:pt idx="0">
                  <c:v>销售总指数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指数持续更新!$B$36:$J$37</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指数持续更新!$B$38:$J$38</c:f>
              <c:numCache>
                <c:formatCode>General</c:formatCode>
                <c:ptCount val="9"/>
                <c:pt idx="0">
                  <c:v>126.9</c:v>
                </c:pt>
                <c:pt idx="1">
                  <c:v>148.30000000000001</c:v>
                </c:pt>
                <c:pt idx="2">
                  <c:v>136.30000000000001</c:v>
                </c:pt>
                <c:pt idx="3">
                  <c:v>140.6</c:v>
                </c:pt>
                <c:pt idx="4">
                  <c:v>121.4</c:v>
                </c:pt>
                <c:pt idx="5">
                  <c:v>141.19999999999999</c:v>
                </c:pt>
                <c:pt idx="6">
                  <c:v>128.6</c:v>
                </c:pt>
                <c:pt idx="7">
                  <c:v>132.30000000000001</c:v>
                </c:pt>
                <c:pt idx="8">
                  <c:v>112.3</c:v>
                </c:pt>
              </c:numCache>
            </c:numRef>
          </c:val>
        </c:ser>
        <c:dLbls>
          <c:showLegendKey val="0"/>
          <c:showVal val="0"/>
          <c:showCatName val="0"/>
          <c:showSerName val="0"/>
          <c:showPercent val="0"/>
          <c:showBubbleSize val="0"/>
        </c:dLbls>
        <c:gapWidth val="219"/>
        <c:overlap val="-27"/>
        <c:axId val="149609856"/>
        <c:axId val="149611648"/>
      </c:barChart>
      <c:catAx>
        <c:axId val="14960985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611648"/>
        <c:crossesAt val="100"/>
        <c:auto val="1"/>
        <c:lblAlgn val="ctr"/>
        <c:lblOffset val="100"/>
        <c:noMultiLvlLbl val="0"/>
      </c:catAx>
      <c:valAx>
        <c:axId val="149611648"/>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60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指数持续更新!$A$43</c:f>
              <c:strCache>
                <c:ptCount val="1"/>
                <c:pt idx="0">
                  <c:v>市场需求</c:v>
                </c:pt>
              </c:strCache>
            </c:strRef>
          </c:tx>
          <c:spPr>
            <a:ln w="28575" cap="rnd">
              <a:solidFill>
                <a:schemeClr val="accent1"/>
              </a:solidFill>
              <a:round/>
            </a:ln>
            <a:effectLst/>
          </c:spPr>
          <c:marker>
            <c:symbol val="none"/>
          </c:marker>
          <c:cat>
            <c:multiLvlStrRef>
              <c:f>指数持续更新!$B$41:$J$42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指数持续更新!$B$43:$J$43</c:f>
              <c:numCache>
                <c:formatCode>General</c:formatCode>
                <c:ptCount val="9"/>
                <c:pt idx="0">
                  <c:v>147.19999999999999</c:v>
                </c:pt>
                <c:pt idx="1">
                  <c:v>157.9</c:v>
                </c:pt>
                <c:pt idx="2">
                  <c:v>136.19999999999999</c:v>
                </c:pt>
                <c:pt idx="3">
                  <c:v>141.9</c:v>
                </c:pt>
                <c:pt idx="4">
                  <c:v>132.69999999999999</c:v>
                </c:pt>
                <c:pt idx="5">
                  <c:v>141.9</c:v>
                </c:pt>
                <c:pt idx="6">
                  <c:v>131.6</c:v>
                </c:pt>
                <c:pt idx="7">
                  <c:v>136.5</c:v>
                </c:pt>
                <c:pt idx="8">
                  <c:v>121.5</c:v>
                </c:pt>
              </c:numCache>
            </c:numRef>
          </c:val>
          <c:smooth val="0"/>
        </c:ser>
        <c:ser>
          <c:idx val="1"/>
          <c:order val="1"/>
          <c:tx>
            <c:strRef>
              <c:f>指数持续更新!$A$44</c:f>
              <c:strCache>
                <c:ptCount val="1"/>
                <c:pt idx="0">
                  <c:v>销售价格</c:v>
                </c:pt>
              </c:strCache>
            </c:strRef>
          </c:tx>
          <c:spPr>
            <a:ln w="28575" cap="rnd">
              <a:solidFill>
                <a:schemeClr val="accent2"/>
              </a:solidFill>
              <a:round/>
            </a:ln>
            <a:effectLst/>
          </c:spPr>
          <c:marker>
            <c:symbol val="none"/>
          </c:marker>
          <c:cat>
            <c:multiLvlStrRef>
              <c:f>指数持续更新!$B$41:$J$42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指数持续更新!$B$44:$J$44</c:f>
              <c:numCache>
                <c:formatCode>General</c:formatCode>
                <c:ptCount val="9"/>
                <c:pt idx="0">
                  <c:v>123.4</c:v>
                </c:pt>
                <c:pt idx="1">
                  <c:v>111.9</c:v>
                </c:pt>
                <c:pt idx="2">
                  <c:v>107.8</c:v>
                </c:pt>
                <c:pt idx="3">
                  <c:v>107.1</c:v>
                </c:pt>
                <c:pt idx="4">
                  <c:v>103.6</c:v>
                </c:pt>
                <c:pt idx="5">
                  <c:v>105.2</c:v>
                </c:pt>
                <c:pt idx="6">
                  <c:v>99</c:v>
                </c:pt>
                <c:pt idx="7">
                  <c:v>103.3</c:v>
                </c:pt>
                <c:pt idx="8">
                  <c:v>101.5</c:v>
                </c:pt>
              </c:numCache>
            </c:numRef>
          </c:val>
          <c:smooth val="0"/>
        </c:ser>
        <c:ser>
          <c:idx val="2"/>
          <c:order val="2"/>
          <c:tx>
            <c:strRef>
              <c:f>指数持续更新!$A$45</c:f>
              <c:strCache>
                <c:ptCount val="1"/>
                <c:pt idx="0">
                  <c:v>订单</c:v>
                </c:pt>
              </c:strCache>
            </c:strRef>
          </c:tx>
          <c:spPr>
            <a:ln w="28575" cap="rnd">
              <a:solidFill>
                <a:schemeClr val="accent3"/>
              </a:solidFill>
              <a:round/>
            </a:ln>
            <a:effectLst/>
          </c:spPr>
          <c:marker>
            <c:symbol val="none"/>
          </c:marker>
          <c:cat>
            <c:multiLvlStrRef>
              <c:f>指数持续更新!$B$41:$J$42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指数持续更新!$B$45:$J$45</c:f>
              <c:numCache>
                <c:formatCode>General</c:formatCode>
                <c:ptCount val="9"/>
                <c:pt idx="0">
                  <c:v>103.8</c:v>
                </c:pt>
                <c:pt idx="1">
                  <c:v>154.69999999999999</c:v>
                </c:pt>
                <c:pt idx="2">
                  <c:v>142.9</c:v>
                </c:pt>
                <c:pt idx="3">
                  <c:v>143.69999999999999</c:v>
                </c:pt>
                <c:pt idx="4">
                  <c:v>118.3</c:v>
                </c:pt>
                <c:pt idx="5">
                  <c:v>151.6</c:v>
                </c:pt>
                <c:pt idx="6">
                  <c:v>132.80000000000001</c:v>
                </c:pt>
                <c:pt idx="7">
                  <c:v>132.4</c:v>
                </c:pt>
                <c:pt idx="8">
                  <c:v>104.3</c:v>
                </c:pt>
              </c:numCache>
            </c:numRef>
          </c:val>
          <c:smooth val="0"/>
        </c:ser>
        <c:ser>
          <c:idx val="3"/>
          <c:order val="3"/>
          <c:tx>
            <c:strRef>
              <c:f>指数持续更新!$A$46</c:f>
              <c:strCache>
                <c:ptCount val="1"/>
                <c:pt idx="0">
                  <c:v>盈亏</c:v>
                </c:pt>
              </c:strCache>
            </c:strRef>
          </c:tx>
          <c:spPr>
            <a:ln w="28575" cap="rnd">
              <a:solidFill>
                <a:schemeClr val="accent4"/>
              </a:solidFill>
              <a:round/>
            </a:ln>
            <a:effectLst/>
          </c:spPr>
          <c:marker>
            <c:symbol val="none"/>
          </c:marker>
          <c:cat>
            <c:multiLvlStrRef>
              <c:f>指数持续更新!$B$41:$J$42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指数持续更新!$B$46:$J$46</c:f>
              <c:numCache>
                <c:formatCode>General</c:formatCode>
                <c:ptCount val="9"/>
                <c:pt idx="0">
                  <c:v>121.7</c:v>
                </c:pt>
                <c:pt idx="1">
                  <c:v>153.19999999999999</c:v>
                </c:pt>
                <c:pt idx="2">
                  <c:v>145.69999999999999</c:v>
                </c:pt>
                <c:pt idx="3">
                  <c:v>154.4</c:v>
                </c:pt>
                <c:pt idx="4">
                  <c:v>121.8</c:v>
                </c:pt>
                <c:pt idx="5">
                  <c:v>151.1</c:v>
                </c:pt>
                <c:pt idx="6">
                  <c:v>138.19999999999999</c:v>
                </c:pt>
                <c:pt idx="7">
                  <c:v>145.4</c:v>
                </c:pt>
                <c:pt idx="8">
                  <c:v>116.7</c:v>
                </c:pt>
              </c:numCache>
            </c:numRef>
          </c:val>
          <c:smooth val="0"/>
        </c:ser>
        <c:dLbls>
          <c:showLegendKey val="0"/>
          <c:showVal val="0"/>
          <c:showCatName val="0"/>
          <c:showSerName val="0"/>
          <c:showPercent val="0"/>
          <c:showBubbleSize val="0"/>
        </c:dLbls>
        <c:marker val="1"/>
        <c:smooth val="0"/>
        <c:axId val="149752832"/>
        <c:axId val="149758720"/>
      </c:lineChart>
      <c:catAx>
        <c:axId val="14975283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758720"/>
        <c:crossesAt val="100"/>
        <c:auto val="1"/>
        <c:lblAlgn val="ctr"/>
        <c:lblOffset val="100"/>
        <c:noMultiLvlLbl val="0"/>
      </c:catAx>
      <c:valAx>
        <c:axId val="149758720"/>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7528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指数持续更新!$A$68</c:f>
              <c:strCache>
                <c:ptCount val="1"/>
                <c:pt idx="0">
                  <c:v>资金景气指数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指数持续更新!$B$66:$J$67</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指数持续更新!$B$68:$J$68</c:f>
              <c:numCache>
                <c:formatCode>General</c:formatCode>
                <c:ptCount val="9"/>
                <c:pt idx="0">
                  <c:v>138.6</c:v>
                </c:pt>
                <c:pt idx="1">
                  <c:v>146.19999999999999</c:v>
                </c:pt>
                <c:pt idx="2">
                  <c:v>144.19999999999999</c:v>
                </c:pt>
                <c:pt idx="3">
                  <c:v>142.1</c:v>
                </c:pt>
                <c:pt idx="4">
                  <c:v>138.30000000000001</c:v>
                </c:pt>
                <c:pt idx="5">
                  <c:v>141.69999999999999</c:v>
                </c:pt>
                <c:pt idx="6">
                  <c:v>137.9</c:v>
                </c:pt>
                <c:pt idx="7">
                  <c:v>131.9</c:v>
                </c:pt>
                <c:pt idx="8">
                  <c:v>134.5</c:v>
                </c:pt>
              </c:numCache>
            </c:numRef>
          </c:val>
        </c:ser>
        <c:dLbls>
          <c:showLegendKey val="0"/>
          <c:showVal val="0"/>
          <c:showCatName val="0"/>
          <c:showSerName val="0"/>
          <c:showPercent val="0"/>
          <c:showBubbleSize val="0"/>
        </c:dLbls>
        <c:gapWidth val="219"/>
        <c:overlap val="-27"/>
        <c:axId val="149784064"/>
        <c:axId val="149785600"/>
      </c:barChart>
      <c:catAx>
        <c:axId val="14978406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785600"/>
        <c:crossesAt val="100"/>
        <c:auto val="1"/>
        <c:lblAlgn val="ctr"/>
        <c:lblOffset val="100"/>
        <c:noMultiLvlLbl val="0"/>
      </c:catAx>
      <c:valAx>
        <c:axId val="149785600"/>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78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指数持续更新!$A$73</c:f>
              <c:strCache>
                <c:ptCount val="1"/>
                <c:pt idx="0">
                  <c:v>融资</c:v>
                </c:pt>
              </c:strCache>
            </c:strRef>
          </c:tx>
          <c:spPr>
            <a:ln w="28575" cap="rnd">
              <a:solidFill>
                <a:schemeClr val="accent1"/>
              </a:solidFill>
              <a:round/>
            </a:ln>
            <a:effectLst/>
          </c:spPr>
          <c:marker>
            <c:symbol val="none"/>
          </c:marker>
          <c:cat>
            <c:multiLvlStrRef>
              <c:f>指数持续更新!$B$71:$J$72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指数持续更新!$B$73:$J$73</c:f>
              <c:numCache>
                <c:formatCode>General</c:formatCode>
                <c:ptCount val="9"/>
                <c:pt idx="0">
                  <c:v>122.2</c:v>
                </c:pt>
                <c:pt idx="1">
                  <c:v>140.9</c:v>
                </c:pt>
                <c:pt idx="2">
                  <c:v>128.6</c:v>
                </c:pt>
                <c:pt idx="3">
                  <c:v>121.6</c:v>
                </c:pt>
                <c:pt idx="4">
                  <c:v>117</c:v>
                </c:pt>
                <c:pt idx="5">
                  <c:v>135.5</c:v>
                </c:pt>
                <c:pt idx="6">
                  <c:v>125.2</c:v>
                </c:pt>
                <c:pt idx="7">
                  <c:v>118</c:v>
                </c:pt>
                <c:pt idx="8">
                  <c:v>116.2</c:v>
                </c:pt>
              </c:numCache>
            </c:numRef>
          </c:val>
          <c:smooth val="0"/>
        </c:ser>
        <c:ser>
          <c:idx val="1"/>
          <c:order val="1"/>
          <c:tx>
            <c:strRef>
              <c:f>指数持续更新!$A$74</c:f>
              <c:strCache>
                <c:ptCount val="1"/>
                <c:pt idx="0">
                  <c:v>投资</c:v>
                </c:pt>
              </c:strCache>
            </c:strRef>
          </c:tx>
          <c:spPr>
            <a:ln w="28575" cap="rnd">
              <a:solidFill>
                <a:schemeClr val="accent2"/>
              </a:solidFill>
              <a:round/>
            </a:ln>
            <a:effectLst/>
          </c:spPr>
          <c:marker>
            <c:symbol val="none"/>
          </c:marker>
          <c:cat>
            <c:multiLvlStrRef>
              <c:f>指数持续更新!$B$71:$J$72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指数持续更新!$B$74:$J$74</c:f>
              <c:numCache>
                <c:formatCode>General</c:formatCode>
                <c:ptCount val="9"/>
                <c:pt idx="0">
                  <c:v>124</c:v>
                </c:pt>
                <c:pt idx="1">
                  <c:v>131</c:v>
                </c:pt>
                <c:pt idx="2">
                  <c:v>126.2</c:v>
                </c:pt>
                <c:pt idx="3">
                  <c:v>121.9</c:v>
                </c:pt>
                <c:pt idx="4">
                  <c:v>124</c:v>
                </c:pt>
                <c:pt idx="5">
                  <c:v>122.3</c:v>
                </c:pt>
                <c:pt idx="6">
                  <c:v>116.2</c:v>
                </c:pt>
                <c:pt idx="7">
                  <c:v>119.1</c:v>
                </c:pt>
                <c:pt idx="8">
                  <c:v>107.7</c:v>
                </c:pt>
              </c:numCache>
            </c:numRef>
          </c:val>
          <c:smooth val="0"/>
        </c:ser>
        <c:ser>
          <c:idx val="2"/>
          <c:order val="2"/>
          <c:tx>
            <c:strRef>
              <c:f>指数持续更新!$A$75</c:f>
              <c:strCache>
                <c:ptCount val="1"/>
                <c:pt idx="0">
                  <c:v>资金周转</c:v>
                </c:pt>
              </c:strCache>
            </c:strRef>
          </c:tx>
          <c:spPr>
            <a:ln w="28575" cap="rnd">
              <a:solidFill>
                <a:schemeClr val="accent3"/>
              </a:solidFill>
              <a:round/>
            </a:ln>
            <a:effectLst/>
          </c:spPr>
          <c:marker>
            <c:symbol val="none"/>
          </c:marker>
          <c:cat>
            <c:multiLvlStrRef>
              <c:f>指数持续更新!$B$71:$J$72</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指数持续更新!$B$75:$J$75</c:f>
              <c:numCache>
                <c:formatCode>General</c:formatCode>
                <c:ptCount val="9"/>
                <c:pt idx="0">
                  <c:v>146.6</c:v>
                </c:pt>
                <c:pt idx="1">
                  <c:v>151.4</c:v>
                </c:pt>
                <c:pt idx="2">
                  <c:v>152.4</c:v>
                </c:pt>
                <c:pt idx="3">
                  <c:v>152</c:v>
                </c:pt>
                <c:pt idx="4">
                  <c:v>147.19999999999999</c:v>
                </c:pt>
                <c:pt idx="5">
                  <c:v>148.9</c:v>
                </c:pt>
                <c:pt idx="6">
                  <c:v>146.5</c:v>
                </c:pt>
                <c:pt idx="7">
                  <c:v>137.80000000000001</c:v>
                </c:pt>
                <c:pt idx="8">
                  <c:v>145.6</c:v>
                </c:pt>
              </c:numCache>
            </c:numRef>
          </c:val>
          <c:smooth val="0"/>
        </c:ser>
        <c:dLbls>
          <c:showLegendKey val="0"/>
          <c:showVal val="0"/>
          <c:showCatName val="0"/>
          <c:showSerName val="0"/>
          <c:showPercent val="0"/>
          <c:showBubbleSize val="0"/>
        </c:dLbls>
        <c:marker val="1"/>
        <c:smooth val="0"/>
        <c:axId val="149802368"/>
        <c:axId val="149808256"/>
      </c:lineChart>
      <c:catAx>
        <c:axId val="14980236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808256"/>
        <c:crossesAt val="100"/>
        <c:auto val="1"/>
        <c:lblAlgn val="ctr"/>
        <c:lblOffset val="100"/>
        <c:noMultiLvlLbl val="0"/>
      </c:catAx>
      <c:valAx>
        <c:axId val="14980825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802368"/>
        <c:crosses val="autoZero"/>
        <c:crossBetween val="between"/>
      </c:valAx>
      <c:spPr>
        <a:noFill/>
        <a:ln>
          <a:noFill/>
        </a:ln>
        <a:effectLst/>
      </c:spPr>
    </c:plotArea>
    <c:legend>
      <c:legendPos val="r"/>
      <c:layout>
        <c:manualLayout>
          <c:xMode val="edge"/>
          <c:yMode val="edge"/>
          <c:x val="0.8"/>
          <c:y val="0.33651538349372989"/>
          <c:w val="0.18333333333333332"/>
          <c:h val="0.2343766404199475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指数持续更新!$A$81</c:f>
              <c:strCache>
                <c:ptCount val="1"/>
                <c:pt idx="0">
                  <c:v>创新景气指数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指数持续更新!$B$79:$J$80</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指数持续更新!$B$81:$J$81</c:f>
              <c:numCache>
                <c:formatCode>General</c:formatCode>
                <c:ptCount val="9"/>
                <c:pt idx="0">
                  <c:v>134.1</c:v>
                </c:pt>
                <c:pt idx="1">
                  <c:v>149.9</c:v>
                </c:pt>
                <c:pt idx="2">
                  <c:v>138</c:v>
                </c:pt>
                <c:pt idx="3">
                  <c:v>132.1</c:v>
                </c:pt>
                <c:pt idx="4">
                  <c:v>123.8</c:v>
                </c:pt>
                <c:pt idx="5">
                  <c:v>147.19999999999999</c:v>
                </c:pt>
                <c:pt idx="6">
                  <c:v>135.69999999999999</c:v>
                </c:pt>
                <c:pt idx="7">
                  <c:v>136</c:v>
                </c:pt>
                <c:pt idx="8">
                  <c:v>118.8</c:v>
                </c:pt>
              </c:numCache>
            </c:numRef>
          </c:val>
        </c:ser>
        <c:dLbls>
          <c:showLegendKey val="0"/>
          <c:showVal val="0"/>
          <c:showCatName val="0"/>
          <c:showSerName val="0"/>
          <c:showPercent val="0"/>
          <c:showBubbleSize val="0"/>
        </c:dLbls>
        <c:gapWidth val="219"/>
        <c:overlap val="-27"/>
        <c:axId val="149959808"/>
        <c:axId val="149961344"/>
      </c:barChart>
      <c:catAx>
        <c:axId val="14995980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961344"/>
        <c:crossesAt val="100"/>
        <c:auto val="1"/>
        <c:lblAlgn val="ctr"/>
        <c:lblOffset val="100"/>
        <c:noMultiLvlLbl val="0"/>
      </c:catAx>
      <c:valAx>
        <c:axId val="149961344"/>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95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指数持续更新!$A$104</c:f>
              <c:strCache>
                <c:ptCount val="1"/>
                <c:pt idx="0">
                  <c:v>研发投入</c:v>
                </c:pt>
              </c:strCache>
            </c:strRef>
          </c:tx>
          <c:spPr>
            <a:ln w="28575" cap="rnd">
              <a:solidFill>
                <a:schemeClr val="accent1"/>
              </a:solidFill>
              <a:round/>
            </a:ln>
            <a:effectLst/>
          </c:spPr>
          <c:marker>
            <c:symbol val="none"/>
          </c:marker>
          <c:cat>
            <c:multiLvlStrRef>
              <c:f>指数持续更新!$B$102:$J$103</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指数持续更新!$B$104:$J$104</c:f>
              <c:numCache>
                <c:formatCode>General</c:formatCode>
                <c:ptCount val="9"/>
                <c:pt idx="0">
                  <c:v>136</c:v>
                </c:pt>
                <c:pt idx="1">
                  <c:v>152</c:v>
                </c:pt>
                <c:pt idx="2">
                  <c:v>139.80000000000001</c:v>
                </c:pt>
                <c:pt idx="3">
                  <c:v>133.5</c:v>
                </c:pt>
                <c:pt idx="4">
                  <c:v>126.2</c:v>
                </c:pt>
                <c:pt idx="5">
                  <c:v>149.80000000000001</c:v>
                </c:pt>
                <c:pt idx="6">
                  <c:v>137</c:v>
                </c:pt>
                <c:pt idx="7">
                  <c:v>136.4</c:v>
                </c:pt>
                <c:pt idx="8">
                  <c:v>120.9</c:v>
                </c:pt>
              </c:numCache>
            </c:numRef>
          </c:val>
          <c:smooth val="0"/>
        </c:ser>
        <c:ser>
          <c:idx val="1"/>
          <c:order val="1"/>
          <c:tx>
            <c:strRef>
              <c:f>指数持续更新!$A$105</c:f>
              <c:strCache>
                <c:ptCount val="1"/>
                <c:pt idx="0">
                  <c:v>专利</c:v>
                </c:pt>
              </c:strCache>
            </c:strRef>
          </c:tx>
          <c:spPr>
            <a:ln w="28575" cap="rnd">
              <a:solidFill>
                <a:schemeClr val="accent2"/>
              </a:solidFill>
              <a:round/>
            </a:ln>
            <a:effectLst/>
          </c:spPr>
          <c:marker>
            <c:symbol val="none"/>
          </c:marker>
          <c:cat>
            <c:multiLvlStrRef>
              <c:f>指数持续更新!$B$102:$J$103</c:f>
              <c:multiLvlStrCache>
                <c:ptCount val="9"/>
                <c:lvl>
                  <c:pt idx="0">
                    <c:v>Q1</c:v>
                  </c:pt>
                  <c:pt idx="1">
                    <c:v>Q2</c:v>
                  </c:pt>
                  <c:pt idx="2">
                    <c:v>Q3</c:v>
                  </c:pt>
                  <c:pt idx="3">
                    <c:v>Q4</c:v>
                  </c:pt>
                  <c:pt idx="4">
                    <c:v>Q1</c:v>
                  </c:pt>
                  <c:pt idx="5">
                    <c:v>Q2</c:v>
                  </c:pt>
                  <c:pt idx="6">
                    <c:v>Q3</c:v>
                  </c:pt>
                  <c:pt idx="7">
                    <c:v>Q4</c:v>
                  </c:pt>
                  <c:pt idx="8">
                    <c:v>Q1</c:v>
                  </c:pt>
                </c:lvl>
                <c:lvl>
                  <c:pt idx="0">
                    <c:v>2014</c:v>
                  </c:pt>
                  <c:pt idx="4">
                    <c:v>2015</c:v>
                  </c:pt>
                  <c:pt idx="8">
                    <c:v>2016</c:v>
                  </c:pt>
                </c:lvl>
              </c:multiLvlStrCache>
            </c:multiLvlStrRef>
          </c:cat>
          <c:val>
            <c:numRef>
              <c:f>指数持续更新!$B$105:$J$105</c:f>
              <c:numCache>
                <c:formatCode>General</c:formatCode>
                <c:ptCount val="9"/>
                <c:pt idx="0">
                  <c:v>122.5</c:v>
                </c:pt>
                <c:pt idx="1">
                  <c:v>137.9</c:v>
                </c:pt>
                <c:pt idx="2">
                  <c:v>127.4</c:v>
                </c:pt>
                <c:pt idx="3">
                  <c:v>122.9</c:v>
                </c:pt>
                <c:pt idx="4">
                  <c:v>107.7</c:v>
                </c:pt>
                <c:pt idx="5">
                  <c:v>129.69999999999999</c:v>
                </c:pt>
                <c:pt idx="6">
                  <c:v>128.6</c:v>
                </c:pt>
                <c:pt idx="7">
                  <c:v>133.30000000000001</c:v>
                </c:pt>
                <c:pt idx="8">
                  <c:v>103.1</c:v>
                </c:pt>
              </c:numCache>
            </c:numRef>
          </c:val>
          <c:smooth val="0"/>
        </c:ser>
        <c:dLbls>
          <c:showLegendKey val="0"/>
          <c:showVal val="0"/>
          <c:showCatName val="0"/>
          <c:showSerName val="0"/>
          <c:showPercent val="0"/>
          <c:showBubbleSize val="0"/>
        </c:dLbls>
        <c:marker val="1"/>
        <c:smooth val="0"/>
        <c:axId val="149998592"/>
        <c:axId val="150000384"/>
      </c:lineChart>
      <c:catAx>
        <c:axId val="14999859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50000384"/>
        <c:crossesAt val="100"/>
        <c:auto val="1"/>
        <c:lblAlgn val="ctr"/>
        <c:lblOffset val="100"/>
        <c:noMultiLvlLbl val="0"/>
      </c:catAx>
      <c:valAx>
        <c:axId val="150000384"/>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4999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589</Words>
  <Characters>3362</Characters>
  <Application>Microsoft Office Word</Application>
  <DocSecurity>0</DocSecurity>
  <Lines>28</Lines>
  <Paragraphs>7</Paragraphs>
  <ScaleCrop>false</ScaleCrop>
  <Company>Lenovo</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dcterms:created xsi:type="dcterms:W3CDTF">2016-11-04T09:33:00Z</dcterms:created>
  <dcterms:modified xsi:type="dcterms:W3CDTF">2016-11-04T09:33:00Z</dcterms:modified>
</cp:coreProperties>
</file>