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05C5C" w14:textId="77777777" w:rsidR="00582724" w:rsidRPr="00582724" w:rsidRDefault="00582724" w:rsidP="00380A45">
      <w:pPr>
        <w:spacing w:line="360" w:lineRule="auto"/>
        <w:ind w:firstLineChars="200" w:firstLine="440"/>
        <w:rPr>
          <w:rFonts w:ascii="仿宋_GB2312" w:eastAsia="仿宋_GB2312"/>
          <w:sz w:val="22"/>
        </w:rPr>
      </w:pPr>
    </w:p>
    <w:p w14:paraId="5143F376" w14:textId="77777777" w:rsidR="00FB4A6B" w:rsidRPr="00582724" w:rsidRDefault="00F44691" w:rsidP="00582724">
      <w:pPr>
        <w:spacing w:line="360" w:lineRule="auto"/>
        <w:jc w:val="center"/>
        <w:rPr>
          <w:rFonts w:ascii="黑体" w:eastAsia="黑体" w:hAnsi="黑体"/>
          <w:sz w:val="22"/>
        </w:rPr>
      </w:pPr>
      <w:r w:rsidRPr="00582724">
        <w:rPr>
          <w:rFonts w:ascii="黑体" w:eastAsia="黑体" w:hAnsi="黑体" w:hint="eastAsia"/>
          <w:sz w:val="28"/>
        </w:rPr>
        <w:t>201</w:t>
      </w:r>
      <w:r w:rsidR="002A390E">
        <w:rPr>
          <w:rFonts w:ascii="黑体" w:eastAsia="黑体" w:hAnsi="黑体" w:hint="eastAsia"/>
          <w:sz w:val="28"/>
        </w:rPr>
        <w:t>6</w:t>
      </w:r>
      <w:r w:rsidRPr="00582724">
        <w:rPr>
          <w:rFonts w:ascii="黑体" w:eastAsia="黑体" w:hAnsi="黑体" w:hint="eastAsia"/>
          <w:sz w:val="28"/>
        </w:rPr>
        <w:t>年</w:t>
      </w:r>
      <w:r w:rsidR="00FE2C6E">
        <w:rPr>
          <w:rFonts w:ascii="黑体" w:eastAsia="黑体" w:hAnsi="黑体" w:hint="eastAsia"/>
          <w:sz w:val="28"/>
        </w:rPr>
        <w:t>二</w:t>
      </w:r>
      <w:r w:rsidR="00EB7639" w:rsidRPr="00582724">
        <w:rPr>
          <w:rFonts w:ascii="黑体" w:eastAsia="黑体" w:hAnsi="黑体" w:hint="eastAsia"/>
          <w:sz w:val="28"/>
        </w:rPr>
        <w:t>季度</w:t>
      </w:r>
      <w:r w:rsidRPr="00582724">
        <w:rPr>
          <w:rFonts w:ascii="黑体" w:eastAsia="黑体" w:hAnsi="黑体" w:hint="eastAsia"/>
          <w:sz w:val="28"/>
        </w:rPr>
        <w:t>战略性新兴产业</w:t>
      </w:r>
      <w:r w:rsidR="003A72FF">
        <w:rPr>
          <w:rFonts w:ascii="黑体" w:eastAsia="黑体" w:hAnsi="黑体" w:hint="eastAsia"/>
          <w:sz w:val="28"/>
        </w:rPr>
        <w:t>行业</w:t>
      </w:r>
      <w:r w:rsidRPr="00582724">
        <w:rPr>
          <w:rFonts w:ascii="黑体" w:eastAsia="黑体" w:hAnsi="黑体" w:hint="eastAsia"/>
          <w:sz w:val="28"/>
        </w:rPr>
        <w:t>景气指数</w:t>
      </w:r>
      <w:r w:rsidR="00A80A4B">
        <w:rPr>
          <w:rFonts w:ascii="黑体" w:eastAsia="黑体" w:hAnsi="黑体" w:hint="eastAsia"/>
          <w:sz w:val="28"/>
        </w:rPr>
        <w:t>继续下滑</w:t>
      </w:r>
    </w:p>
    <w:p w14:paraId="36DFDEFE" w14:textId="77777777" w:rsidR="00F44691" w:rsidRDefault="00F44691" w:rsidP="00582724">
      <w:pPr>
        <w:spacing w:line="360" w:lineRule="auto"/>
        <w:ind w:firstLineChars="200" w:firstLine="440"/>
        <w:rPr>
          <w:rFonts w:ascii="仿宋_GB2312" w:eastAsia="仿宋_GB2312"/>
          <w:sz w:val="22"/>
        </w:rPr>
      </w:pPr>
    </w:p>
    <w:p w14:paraId="6EF9FEC9" w14:textId="36E82768" w:rsidR="00AC23DB" w:rsidRPr="00582724" w:rsidRDefault="00AC23DB" w:rsidP="00AC23DB">
      <w:pPr>
        <w:spacing w:line="360" w:lineRule="auto"/>
        <w:ind w:firstLineChars="200" w:firstLine="440"/>
        <w:rPr>
          <w:rFonts w:ascii="仿宋_GB2312" w:eastAsia="仿宋_GB2312"/>
          <w:sz w:val="22"/>
        </w:rPr>
      </w:pPr>
      <w:r>
        <w:rPr>
          <w:rFonts w:ascii="仿宋_GB2312" w:eastAsia="仿宋_GB2312" w:hint="eastAsia"/>
          <w:sz w:val="22"/>
        </w:rPr>
        <w:t>2016年二</w:t>
      </w:r>
      <w:r w:rsidRPr="00C63714">
        <w:rPr>
          <w:rFonts w:ascii="仿宋_GB2312" w:eastAsia="仿宋_GB2312" w:hint="eastAsia"/>
          <w:sz w:val="22"/>
        </w:rPr>
        <w:t>季度</w:t>
      </w:r>
      <w:r>
        <w:rPr>
          <w:rFonts w:ascii="仿宋_GB2312" w:eastAsia="仿宋_GB2312" w:hint="eastAsia"/>
          <w:sz w:val="22"/>
        </w:rPr>
        <w:t>，</w:t>
      </w:r>
      <w:r w:rsidRPr="00C63714">
        <w:rPr>
          <w:rFonts w:ascii="仿宋_GB2312" w:eastAsia="仿宋_GB2312" w:hint="eastAsia"/>
          <w:sz w:val="22"/>
        </w:rPr>
        <w:t>战略性新兴产业行业景气指数</w:t>
      </w:r>
      <w:r>
        <w:rPr>
          <w:rFonts w:ascii="仿宋_GB2312" w:eastAsia="仿宋_GB2312" w:hint="eastAsia"/>
          <w:sz w:val="22"/>
        </w:rPr>
        <w:t>继续下滑，企业家信心指数也较一季度有所回落。产销和效益指标均出现季度性回升，但仍低于往年同期水</w:t>
      </w:r>
      <w:bookmarkStart w:id="0" w:name="_GoBack"/>
      <w:bookmarkEnd w:id="0"/>
      <w:r>
        <w:rPr>
          <w:rFonts w:ascii="仿宋_GB2312" w:eastAsia="仿宋_GB2312" w:hint="eastAsia"/>
          <w:sz w:val="22"/>
        </w:rPr>
        <w:t>平。资金</w:t>
      </w:r>
      <w:r w:rsidR="0067046E">
        <w:rPr>
          <w:rFonts w:ascii="仿宋_GB2312" w:eastAsia="仿宋_GB2312" w:hint="eastAsia"/>
          <w:sz w:val="22"/>
        </w:rPr>
        <w:t>活跃度小幅下滑，融资难的问题依然存在，创新活力有所提高，政策指标</w:t>
      </w:r>
      <w:r w:rsidR="00886FD1">
        <w:rPr>
          <w:rFonts w:ascii="仿宋_GB2312" w:eastAsia="仿宋_GB2312" w:hint="eastAsia"/>
          <w:sz w:val="22"/>
        </w:rPr>
        <w:t>略有</w:t>
      </w:r>
      <w:r w:rsidR="0083130D">
        <w:rPr>
          <w:rFonts w:ascii="仿宋_GB2312" w:eastAsia="仿宋_GB2312" w:hint="eastAsia"/>
          <w:sz w:val="22"/>
        </w:rPr>
        <w:t>回落</w:t>
      </w:r>
      <w:r>
        <w:rPr>
          <w:rFonts w:ascii="仿宋_GB2312" w:eastAsia="仿宋_GB2312" w:hint="eastAsia"/>
          <w:sz w:val="22"/>
        </w:rPr>
        <w:t>。</w:t>
      </w:r>
    </w:p>
    <w:p w14:paraId="090EA4B0" w14:textId="77777777" w:rsidR="001E001F" w:rsidRPr="00AC23DB" w:rsidRDefault="001E001F" w:rsidP="00582724">
      <w:pPr>
        <w:spacing w:line="360" w:lineRule="auto"/>
        <w:ind w:firstLineChars="200" w:firstLine="442"/>
        <w:rPr>
          <w:rFonts w:ascii="仿宋_GB2312" w:eastAsia="仿宋_GB2312"/>
          <w:b/>
          <w:sz w:val="22"/>
        </w:rPr>
      </w:pPr>
    </w:p>
    <w:p w14:paraId="11D09B81" w14:textId="77777777" w:rsidR="00F44691" w:rsidRPr="00C63714" w:rsidRDefault="00F44691" w:rsidP="00582724">
      <w:pPr>
        <w:spacing w:line="360" w:lineRule="auto"/>
        <w:ind w:firstLineChars="200" w:firstLine="442"/>
        <w:rPr>
          <w:rFonts w:ascii="仿宋_GB2312" w:eastAsia="仿宋_GB2312"/>
          <w:b/>
          <w:sz w:val="22"/>
        </w:rPr>
      </w:pPr>
      <w:r w:rsidRPr="00C63714">
        <w:rPr>
          <w:rFonts w:ascii="仿宋_GB2312" w:eastAsia="仿宋_GB2312" w:hint="eastAsia"/>
          <w:b/>
          <w:sz w:val="22"/>
        </w:rPr>
        <w:t>一、总体情况</w:t>
      </w:r>
    </w:p>
    <w:p w14:paraId="0AEA53BF" w14:textId="77777777" w:rsidR="00C63714" w:rsidRDefault="00AD01F5" w:rsidP="00582724">
      <w:pPr>
        <w:spacing w:line="360" w:lineRule="auto"/>
        <w:ind w:firstLineChars="200" w:firstLine="440"/>
        <w:rPr>
          <w:rFonts w:ascii="仿宋_GB2312" w:eastAsia="仿宋_GB2312"/>
          <w:sz w:val="22"/>
        </w:rPr>
      </w:pPr>
      <w:r w:rsidRPr="00AD01F5">
        <w:rPr>
          <w:rFonts w:ascii="仿宋_GB2312" w:eastAsia="仿宋_GB2312"/>
          <w:sz w:val="22"/>
        </w:rPr>
        <w:t>据</w:t>
      </w:r>
      <w:r w:rsidRPr="00AD01F5">
        <w:rPr>
          <w:rFonts w:ascii="仿宋_GB2312" w:eastAsia="仿宋_GB2312" w:hint="eastAsia"/>
          <w:sz w:val="22"/>
        </w:rPr>
        <w:t>战略性新兴产业企业景气</w:t>
      </w:r>
      <w:r w:rsidRPr="00AD01F5">
        <w:rPr>
          <w:rFonts w:ascii="仿宋_GB2312" w:eastAsia="仿宋_GB2312"/>
          <w:sz w:val="22"/>
        </w:rPr>
        <w:t>调查显示</w:t>
      </w:r>
      <w:r w:rsidRPr="00AD01F5">
        <w:rPr>
          <w:rFonts w:ascii="仿宋_GB2312" w:eastAsia="仿宋_GB2312" w:hint="eastAsia"/>
          <w:sz w:val="22"/>
        </w:rPr>
        <w:t>（</w:t>
      </w:r>
      <w:r w:rsidRPr="00AD01F5">
        <w:rPr>
          <w:rFonts w:ascii="仿宋_GB2312" w:eastAsia="仿宋_GB2312"/>
          <w:sz w:val="22"/>
        </w:rPr>
        <w:t>全国2</w:t>
      </w:r>
      <w:r w:rsidRPr="00AD01F5">
        <w:rPr>
          <w:rFonts w:ascii="仿宋_GB2312" w:eastAsia="仿宋_GB2312" w:hint="eastAsia"/>
          <w:sz w:val="22"/>
        </w:rPr>
        <w:t>8</w:t>
      </w:r>
      <w:r w:rsidRPr="00AD01F5">
        <w:rPr>
          <w:rFonts w:ascii="仿宋_GB2312" w:eastAsia="仿宋_GB2312"/>
          <w:sz w:val="22"/>
        </w:rPr>
        <w:t>个省份、</w:t>
      </w:r>
      <w:r w:rsidR="00493799">
        <w:rPr>
          <w:rFonts w:ascii="仿宋_GB2312" w:eastAsia="仿宋_GB2312" w:hint="eastAsia"/>
          <w:sz w:val="22"/>
        </w:rPr>
        <w:t>974</w:t>
      </w:r>
      <w:r w:rsidRPr="00AD01F5">
        <w:rPr>
          <w:rFonts w:ascii="仿宋_GB2312" w:eastAsia="仿宋_GB2312"/>
          <w:sz w:val="22"/>
        </w:rPr>
        <w:t>家战略性新兴产业企业</w:t>
      </w:r>
      <w:r w:rsidRPr="00AD01F5">
        <w:rPr>
          <w:rFonts w:ascii="仿宋_GB2312" w:eastAsia="仿宋_GB2312" w:hint="eastAsia"/>
          <w:sz w:val="22"/>
        </w:rPr>
        <w:t>）</w:t>
      </w:r>
      <w:r w:rsidRPr="00AD01F5">
        <w:rPr>
          <w:rFonts w:ascii="仿宋_GB2312" w:eastAsia="仿宋_GB2312"/>
          <w:sz w:val="22"/>
        </w:rPr>
        <w:t>，</w:t>
      </w:r>
      <w:r w:rsidR="00C63714">
        <w:rPr>
          <w:rFonts w:ascii="仿宋_GB2312" w:eastAsia="仿宋_GB2312" w:hint="eastAsia"/>
          <w:sz w:val="22"/>
        </w:rPr>
        <w:t>2016年</w:t>
      </w:r>
      <w:r w:rsidR="003E538E">
        <w:rPr>
          <w:rFonts w:ascii="仿宋_GB2312" w:eastAsia="仿宋_GB2312" w:hint="eastAsia"/>
          <w:sz w:val="22"/>
        </w:rPr>
        <w:t>二</w:t>
      </w:r>
      <w:r w:rsidR="00B11D43" w:rsidRPr="00C63714">
        <w:rPr>
          <w:rFonts w:ascii="仿宋_GB2312" w:eastAsia="仿宋_GB2312" w:hint="eastAsia"/>
          <w:sz w:val="22"/>
        </w:rPr>
        <w:t>季度</w:t>
      </w:r>
      <w:r w:rsidR="007359D7">
        <w:rPr>
          <w:rFonts w:ascii="仿宋_GB2312" w:eastAsia="仿宋_GB2312" w:hint="eastAsia"/>
          <w:sz w:val="22"/>
        </w:rPr>
        <w:t>，</w:t>
      </w:r>
      <w:r w:rsidR="00A51344" w:rsidRPr="00C63714">
        <w:rPr>
          <w:rFonts w:ascii="仿宋_GB2312" w:eastAsia="仿宋_GB2312" w:hint="eastAsia"/>
          <w:sz w:val="22"/>
        </w:rPr>
        <w:t>战略性新兴产业行业景气指数</w:t>
      </w:r>
      <w:r w:rsidR="00A80A4B">
        <w:rPr>
          <w:rFonts w:ascii="仿宋_GB2312" w:eastAsia="仿宋_GB2312" w:hint="eastAsia"/>
          <w:sz w:val="22"/>
        </w:rPr>
        <w:t>连续</w:t>
      </w:r>
      <w:r w:rsidR="00DC5A0A">
        <w:rPr>
          <w:rFonts w:ascii="仿宋_GB2312" w:eastAsia="仿宋_GB2312" w:hint="eastAsia"/>
          <w:sz w:val="22"/>
        </w:rPr>
        <w:t>四</w:t>
      </w:r>
      <w:r w:rsidR="00A80A4B">
        <w:rPr>
          <w:rFonts w:ascii="仿宋_GB2312" w:eastAsia="仿宋_GB2312" w:hint="eastAsia"/>
          <w:sz w:val="22"/>
        </w:rPr>
        <w:t>个季度下滑，</w:t>
      </w:r>
      <w:r w:rsidR="00E770EF">
        <w:rPr>
          <w:rFonts w:ascii="仿宋_GB2312" w:eastAsia="仿宋_GB2312" w:hint="eastAsia"/>
          <w:sz w:val="22"/>
        </w:rPr>
        <w:t>由</w:t>
      </w:r>
      <w:r w:rsidR="003E538E">
        <w:rPr>
          <w:rFonts w:ascii="仿宋_GB2312" w:eastAsia="仿宋_GB2312" w:hint="eastAsia"/>
          <w:sz w:val="22"/>
        </w:rPr>
        <w:t>一</w:t>
      </w:r>
      <w:r w:rsidR="00E770EF">
        <w:rPr>
          <w:rFonts w:ascii="仿宋_GB2312" w:eastAsia="仿宋_GB2312" w:hint="eastAsia"/>
          <w:sz w:val="22"/>
        </w:rPr>
        <w:t>季度的</w:t>
      </w:r>
      <w:r w:rsidR="003E538E">
        <w:rPr>
          <w:rFonts w:ascii="仿宋_GB2312" w:eastAsia="仿宋_GB2312" w:hint="eastAsia"/>
          <w:sz w:val="22"/>
        </w:rPr>
        <w:t>138.5</w:t>
      </w:r>
      <w:r w:rsidR="00A51344" w:rsidRPr="00C63714">
        <w:rPr>
          <w:rFonts w:ascii="仿宋_GB2312" w:eastAsia="仿宋_GB2312" w:hint="eastAsia"/>
          <w:sz w:val="22"/>
        </w:rPr>
        <w:t>下探到</w:t>
      </w:r>
      <w:r w:rsidR="00C63714">
        <w:rPr>
          <w:rFonts w:ascii="仿宋_GB2312" w:eastAsia="仿宋_GB2312" w:hint="eastAsia"/>
          <w:sz w:val="22"/>
        </w:rPr>
        <w:t>13</w:t>
      </w:r>
      <w:r w:rsidR="003E538E">
        <w:rPr>
          <w:rFonts w:ascii="仿宋_GB2312" w:eastAsia="仿宋_GB2312" w:hint="eastAsia"/>
          <w:sz w:val="22"/>
        </w:rPr>
        <w:t>6.9</w:t>
      </w:r>
      <w:r w:rsidR="002E471A" w:rsidRPr="00C63714">
        <w:rPr>
          <w:rFonts w:ascii="仿宋_GB2312" w:eastAsia="仿宋_GB2312" w:hint="eastAsia"/>
          <w:sz w:val="22"/>
        </w:rPr>
        <w:t>（见图1）</w:t>
      </w:r>
      <w:r w:rsidR="00A51344" w:rsidRPr="00C63714">
        <w:rPr>
          <w:rFonts w:ascii="仿宋_GB2312" w:eastAsia="仿宋_GB2312" w:hint="eastAsia"/>
          <w:sz w:val="22"/>
        </w:rPr>
        <w:t>，</w:t>
      </w:r>
      <w:r w:rsidR="003E538E">
        <w:rPr>
          <w:rFonts w:ascii="仿宋_GB2312" w:eastAsia="仿宋_GB2312" w:hint="eastAsia"/>
          <w:sz w:val="22"/>
        </w:rPr>
        <w:t>刷新了</w:t>
      </w:r>
      <w:r w:rsidR="006D267A">
        <w:rPr>
          <w:rFonts w:ascii="仿宋_GB2312" w:eastAsia="仿宋_GB2312" w:hint="eastAsia"/>
          <w:sz w:val="22"/>
        </w:rPr>
        <w:t>开始</w:t>
      </w:r>
      <w:r w:rsidR="003E538E">
        <w:rPr>
          <w:rFonts w:ascii="仿宋_GB2312" w:eastAsia="仿宋_GB2312" w:hint="eastAsia"/>
          <w:sz w:val="22"/>
        </w:rPr>
        <w:t>调查以来的最低值</w:t>
      </w:r>
      <w:r w:rsidR="002E471A" w:rsidRPr="00C63714">
        <w:rPr>
          <w:rFonts w:ascii="仿宋_GB2312" w:eastAsia="仿宋_GB2312" w:hint="eastAsia"/>
          <w:sz w:val="22"/>
        </w:rPr>
        <w:t>。</w:t>
      </w:r>
      <w:r w:rsidR="00A51344" w:rsidRPr="00C63714">
        <w:rPr>
          <w:rFonts w:ascii="仿宋_GB2312" w:eastAsia="仿宋_GB2312" w:hint="eastAsia"/>
          <w:sz w:val="22"/>
        </w:rPr>
        <w:t>企业家信心指数</w:t>
      </w:r>
      <w:r w:rsidR="000F4457">
        <w:rPr>
          <w:rFonts w:ascii="仿宋_GB2312" w:eastAsia="仿宋_GB2312" w:hint="eastAsia"/>
          <w:sz w:val="22"/>
        </w:rPr>
        <w:t>较一季度</w:t>
      </w:r>
      <w:r w:rsidR="003E538E">
        <w:rPr>
          <w:rFonts w:ascii="仿宋_GB2312" w:eastAsia="仿宋_GB2312" w:hint="eastAsia"/>
          <w:sz w:val="22"/>
        </w:rPr>
        <w:t>有所回落</w:t>
      </w:r>
      <w:r w:rsidR="00A51344" w:rsidRPr="00C63714">
        <w:rPr>
          <w:rFonts w:ascii="仿宋_GB2312" w:eastAsia="仿宋_GB2312" w:hint="eastAsia"/>
          <w:sz w:val="22"/>
        </w:rPr>
        <w:t>，</w:t>
      </w:r>
      <w:r w:rsidR="003E538E">
        <w:rPr>
          <w:rFonts w:ascii="仿宋_GB2312" w:eastAsia="仿宋_GB2312" w:hint="eastAsia"/>
          <w:sz w:val="22"/>
        </w:rPr>
        <w:t>由144.8下降至141.2</w:t>
      </w:r>
      <w:r w:rsidR="002E471A" w:rsidRPr="00C63714">
        <w:rPr>
          <w:rFonts w:ascii="仿宋_GB2312" w:eastAsia="仿宋_GB2312" w:hint="eastAsia"/>
          <w:sz w:val="22"/>
        </w:rPr>
        <w:t>，</w:t>
      </w:r>
      <w:r w:rsidR="003E538E">
        <w:rPr>
          <w:rFonts w:ascii="仿宋_GB2312" w:eastAsia="仿宋_GB2312" w:hint="eastAsia"/>
          <w:sz w:val="22"/>
        </w:rPr>
        <w:t>较</w:t>
      </w:r>
      <w:r w:rsidR="00E770EF">
        <w:rPr>
          <w:rFonts w:ascii="仿宋_GB2312" w:eastAsia="仿宋_GB2312" w:hint="eastAsia"/>
          <w:sz w:val="22"/>
        </w:rPr>
        <w:t>去年同期</w:t>
      </w:r>
      <w:r w:rsidR="003E538E">
        <w:rPr>
          <w:rFonts w:ascii="仿宋_GB2312" w:eastAsia="仿宋_GB2312" w:hint="eastAsia"/>
          <w:sz w:val="22"/>
        </w:rPr>
        <w:t>下降9.3</w:t>
      </w:r>
      <w:r w:rsidR="00E770EF">
        <w:rPr>
          <w:rFonts w:ascii="仿宋_GB2312" w:eastAsia="仿宋_GB2312" w:hint="eastAsia"/>
          <w:sz w:val="22"/>
        </w:rPr>
        <w:t>。</w:t>
      </w:r>
    </w:p>
    <w:p w14:paraId="5A9B7C7C" w14:textId="77777777" w:rsidR="00E770EF" w:rsidRPr="00F47708" w:rsidRDefault="00FE2C6E" w:rsidP="00F65A8A">
      <w:pPr>
        <w:spacing w:line="360" w:lineRule="auto"/>
        <w:jc w:val="center"/>
        <w:rPr>
          <w:rFonts w:ascii="仿宋_GB2312" w:eastAsia="仿宋_GB2312"/>
          <w:sz w:val="22"/>
          <w:highlight w:val="lightGray"/>
        </w:rPr>
      </w:pPr>
      <w:r>
        <w:rPr>
          <w:noProof/>
        </w:rPr>
        <w:drawing>
          <wp:inline distT="0" distB="0" distL="0" distR="0" wp14:anchorId="6C96C587" wp14:editId="6F24B71D">
            <wp:extent cx="5257800" cy="2238375"/>
            <wp:effectExtent l="0" t="0" r="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03806F" w14:textId="77777777" w:rsidR="00537AB8" w:rsidRPr="00E770EF" w:rsidRDefault="00537AB8" w:rsidP="00537AB8">
      <w:pPr>
        <w:spacing w:line="360" w:lineRule="auto"/>
        <w:jc w:val="center"/>
        <w:rPr>
          <w:rFonts w:asciiTheme="minorEastAsia" w:hAnsiTheme="minorEastAsia"/>
          <w:sz w:val="22"/>
        </w:rPr>
      </w:pPr>
      <w:r w:rsidRPr="00E770EF">
        <w:rPr>
          <w:rFonts w:asciiTheme="minorEastAsia" w:hAnsiTheme="minorEastAsia" w:hint="eastAsia"/>
          <w:sz w:val="20"/>
        </w:rPr>
        <w:t xml:space="preserve">图1 </w:t>
      </w:r>
      <w:r w:rsidR="005B6FC9" w:rsidRPr="00E770EF">
        <w:rPr>
          <w:rFonts w:asciiTheme="minorEastAsia" w:hAnsiTheme="minorEastAsia" w:hint="eastAsia"/>
          <w:sz w:val="20"/>
        </w:rPr>
        <w:t>2014年以来战略性新兴产业</w:t>
      </w:r>
      <w:r w:rsidRPr="00E770EF">
        <w:rPr>
          <w:rFonts w:asciiTheme="minorEastAsia" w:hAnsiTheme="minorEastAsia" w:hint="eastAsia"/>
          <w:sz w:val="20"/>
        </w:rPr>
        <w:t>企业家信心指数和行业景气指数时间序列</w:t>
      </w:r>
    </w:p>
    <w:p w14:paraId="1362DE92" w14:textId="77777777" w:rsidR="006B18CD" w:rsidRPr="00F47708" w:rsidRDefault="006B18CD" w:rsidP="00582724">
      <w:pPr>
        <w:spacing w:line="360" w:lineRule="auto"/>
        <w:ind w:firstLineChars="200" w:firstLine="440"/>
        <w:rPr>
          <w:rFonts w:ascii="仿宋_GB2312" w:eastAsia="仿宋_GB2312"/>
          <w:sz w:val="22"/>
          <w:highlight w:val="lightGray"/>
        </w:rPr>
      </w:pPr>
    </w:p>
    <w:p w14:paraId="71682909" w14:textId="163D3952" w:rsidR="009B182F" w:rsidRPr="00DC6200" w:rsidRDefault="00EF62B4" w:rsidP="00DC6200">
      <w:pPr>
        <w:spacing w:line="360" w:lineRule="auto"/>
        <w:ind w:firstLineChars="200" w:firstLine="440"/>
        <w:rPr>
          <w:rFonts w:ascii="仿宋_GB2312" w:eastAsia="仿宋_GB2312"/>
          <w:sz w:val="22"/>
        </w:rPr>
      </w:pPr>
      <w:r>
        <w:rPr>
          <w:rFonts w:ascii="仿宋_GB2312" w:eastAsia="仿宋_GB2312" w:hint="eastAsia"/>
          <w:sz w:val="22"/>
        </w:rPr>
        <w:t>全国总体指数的下滑主要是由于部分战略性新兴产业发展较好的省市如广东、上海和四川</w:t>
      </w:r>
      <w:r w:rsidR="00DD1011">
        <w:rPr>
          <w:rFonts w:ascii="仿宋_GB2312" w:eastAsia="仿宋_GB2312" w:hint="eastAsia"/>
          <w:sz w:val="22"/>
        </w:rPr>
        <w:t>景气</w:t>
      </w:r>
      <w:r w:rsidR="009B182F">
        <w:rPr>
          <w:rFonts w:ascii="仿宋_GB2312" w:eastAsia="仿宋_GB2312" w:hint="eastAsia"/>
          <w:sz w:val="22"/>
        </w:rPr>
        <w:t>指数</w:t>
      </w:r>
      <w:r w:rsidR="00DC6200">
        <w:rPr>
          <w:rFonts w:ascii="仿宋_GB2312" w:eastAsia="仿宋_GB2312" w:hint="eastAsia"/>
          <w:sz w:val="22"/>
        </w:rPr>
        <w:t>大幅下滑。</w:t>
      </w:r>
      <w:r>
        <w:rPr>
          <w:rFonts w:ascii="仿宋_GB2312" w:eastAsia="仿宋_GB2312" w:hint="eastAsia"/>
          <w:sz w:val="22"/>
        </w:rPr>
        <w:t>其中，广东省二季度行业景气指数由148.4大幅下跌至132.7，降幅高达10.6%</w:t>
      </w:r>
      <w:r w:rsidR="00DC6200">
        <w:rPr>
          <w:rFonts w:ascii="仿宋_GB2312" w:eastAsia="仿宋_GB2312" w:hint="eastAsia"/>
          <w:sz w:val="22"/>
        </w:rPr>
        <w:t>，位</w:t>
      </w:r>
      <w:proofErr w:type="gramStart"/>
      <w:r w:rsidR="00DC6200">
        <w:rPr>
          <w:rFonts w:ascii="仿宋_GB2312" w:eastAsia="仿宋_GB2312" w:hint="eastAsia"/>
          <w:sz w:val="22"/>
        </w:rPr>
        <w:t>列行</w:t>
      </w:r>
      <w:proofErr w:type="gramEnd"/>
      <w:r w:rsidR="00DC6200">
        <w:rPr>
          <w:rFonts w:ascii="仿宋_GB2312" w:eastAsia="仿宋_GB2312" w:hint="eastAsia"/>
          <w:sz w:val="22"/>
        </w:rPr>
        <w:t>业景气</w:t>
      </w:r>
      <w:proofErr w:type="gramStart"/>
      <w:r w:rsidR="00DC6200">
        <w:rPr>
          <w:rFonts w:ascii="仿宋_GB2312" w:eastAsia="仿宋_GB2312" w:hint="eastAsia"/>
          <w:sz w:val="22"/>
        </w:rPr>
        <w:t>指数减差排序</w:t>
      </w:r>
      <w:proofErr w:type="gramEnd"/>
      <w:r w:rsidR="00DC6200">
        <w:rPr>
          <w:rFonts w:ascii="仿宋_GB2312" w:eastAsia="仿宋_GB2312" w:hint="eastAsia"/>
          <w:sz w:val="22"/>
        </w:rPr>
        <w:t>榜首</w:t>
      </w:r>
      <w:r>
        <w:rPr>
          <w:rFonts w:ascii="仿宋_GB2312" w:eastAsia="仿宋_GB2312" w:hint="eastAsia"/>
          <w:sz w:val="22"/>
        </w:rPr>
        <w:t>（见</w:t>
      </w:r>
      <w:r w:rsidR="007653DF">
        <w:rPr>
          <w:rFonts w:ascii="仿宋_GB2312" w:eastAsia="仿宋_GB2312" w:hint="eastAsia"/>
          <w:sz w:val="22"/>
        </w:rPr>
        <w:t>表1</w:t>
      </w:r>
      <w:r>
        <w:rPr>
          <w:rFonts w:ascii="仿宋_GB2312" w:eastAsia="仿宋_GB2312" w:hint="eastAsia"/>
          <w:sz w:val="22"/>
        </w:rPr>
        <w:t>）。</w:t>
      </w:r>
      <w:r w:rsidR="00DC6200">
        <w:rPr>
          <w:rFonts w:ascii="仿宋_GB2312" w:eastAsia="仿宋_GB2312" w:hint="eastAsia"/>
          <w:sz w:val="22"/>
        </w:rPr>
        <w:t>整体来看，</w:t>
      </w:r>
      <w:r w:rsidR="00A87ACB">
        <w:rPr>
          <w:rFonts w:ascii="仿宋_GB2312" w:eastAsia="仿宋_GB2312" w:hint="eastAsia"/>
          <w:sz w:val="22"/>
        </w:rPr>
        <w:t>行业景气较高</w:t>
      </w:r>
      <w:r w:rsidR="00DC6200">
        <w:rPr>
          <w:rFonts w:ascii="仿宋_GB2312" w:eastAsia="仿宋_GB2312" w:hint="eastAsia"/>
          <w:sz w:val="22"/>
        </w:rPr>
        <w:t>的依旧以经济水平较为发达的东部省份为主，</w:t>
      </w:r>
      <w:r w:rsidR="00A87ACB">
        <w:rPr>
          <w:rFonts w:ascii="仿宋_GB2312" w:eastAsia="仿宋_GB2312" w:hint="eastAsia"/>
          <w:sz w:val="22"/>
        </w:rPr>
        <w:t>相对不景气</w:t>
      </w:r>
      <w:r w:rsidR="00DC6200">
        <w:rPr>
          <w:rFonts w:ascii="仿宋_GB2312" w:eastAsia="仿宋_GB2312" w:hint="eastAsia"/>
          <w:sz w:val="22"/>
        </w:rPr>
        <w:t>的省市集中分布在西部和东北地区，与当前经济发展水平吻合。值得注意的是，二季度中部地区部分省份表现抢眼，如安徽和湖南分别以148.6和146.6的水平位居前列。根据统计学原理,样本量高于30才初步具备统计意义。因此,对于部分样本量不足30的省份其景气指数仅供参考。</w:t>
      </w:r>
    </w:p>
    <w:p w14:paraId="572839DA" w14:textId="6C1B7FD4" w:rsidR="007653DF" w:rsidRDefault="007653DF" w:rsidP="007653DF">
      <w:pPr>
        <w:spacing w:line="360" w:lineRule="auto"/>
        <w:jc w:val="center"/>
        <w:rPr>
          <w:rFonts w:asciiTheme="minorEastAsia" w:hAnsiTheme="minorEastAsia"/>
          <w:sz w:val="20"/>
        </w:rPr>
      </w:pPr>
      <w:r w:rsidRPr="00831587">
        <w:rPr>
          <w:rFonts w:asciiTheme="minorEastAsia" w:hAnsiTheme="minorEastAsia" w:hint="eastAsia"/>
          <w:sz w:val="20"/>
        </w:rPr>
        <w:lastRenderedPageBreak/>
        <w:t>表</w:t>
      </w:r>
      <w:r>
        <w:rPr>
          <w:rFonts w:asciiTheme="minorEastAsia" w:hAnsiTheme="minorEastAsia" w:hint="eastAsia"/>
          <w:sz w:val="20"/>
        </w:rPr>
        <w:t>1</w:t>
      </w:r>
      <w:r w:rsidRPr="00831587">
        <w:rPr>
          <w:rFonts w:asciiTheme="minorEastAsia" w:hAnsiTheme="minorEastAsia" w:hint="eastAsia"/>
          <w:sz w:val="20"/>
        </w:rPr>
        <w:t xml:space="preserve">  201</w:t>
      </w:r>
      <w:r>
        <w:rPr>
          <w:rFonts w:asciiTheme="minorEastAsia" w:hAnsiTheme="minorEastAsia" w:hint="eastAsia"/>
          <w:sz w:val="20"/>
        </w:rPr>
        <w:t>6</w:t>
      </w:r>
      <w:r w:rsidRPr="00831587">
        <w:rPr>
          <w:rFonts w:asciiTheme="minorEastAsia" w:hAnsiTheme="minorEastAsia" w:hint="eastAsia"/>
          <w:sz w:val="20"/>
        </w:rPr>
        <w:t>年</w:t>
      </w:r>
      <w:r>
        <w:rPr>
          <w:rFonts w:asciiTheme="minorEastAsia" w:hAnsiTheme="minorEastAsia" w:hint="eastAsia"/>
          <w:sz w:val="20"/>
        </w:rPr>
        <w:t>各省份战略性新兴产业行业景气</w:t>
      </w:r>
      <w:proofErr w:type="gramStart"/>
      <w:r>
        <w:rPr>
          <w:rFonts w:asciiTheme="minorEastAsia" w:hAnsiTheme="minorEastAsia" w:hint="eastAsia"/>
          <w:sz w:val="20"/>
        </w:rPr>
        <w:t>指数减差排序</w:t>
      </w:r>
      <w:proofErr w:type="gramEnd"/>
    </w:p>
    <w:p w14:paraId="19F495EC" w14:textId="65CE081E" w:rsidR="007653DF" w:rsidRPr="007653DF" w:rsidRDefault="007653DF" w:rsidP="007653DF">
      <w:pPr>
        <w:spacing w:line="360" w:lineRule="auto"/>
        <w:jc w:val="center"/>
        <w:rPr>
          <w:rFonts w:ascii="仿宋_GB2312" w:eastAsia="仿宋_GB2312"/>
          <w:sz w:val="22"/>
        </w:rPr>
      </w:pPr>
      <w:r>
        <w:rPr>
          <w:rFonts w:asciiTheme="minorEastAsia" w:hAnsiTheme="minorEastAsia" w:hint="eastAsia"/>
          <w:sz w:val="20"/>
        </w:rPr>
        <w:t>（红色省份样本量偏少，数据仅供参考）</w:t>
      </w:r>
    </w:p>
    <w:tbl>
      <w:tblP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1080"/>
        <w:gridCol w:w="1080"/>
        <w:gridCol w:w="1080"/>
        <w:gridCol w:w="1080"/>
        <w:gridCol w:w="1080"/>
        <w:gridCol w:w="1080"/>
        <w:gridCol w:w="1080"/>
      </w:tblGrid>
      <w:tr w:rsidR="007653DF" w:rsidRPr="007653DF" w14:paraId="03506AFF" w14:textId="77777777" w:rsidTr="007653DF">
        <w:trPr>
          <w:trHeight w:val="540"/>
        </w:trPr>
        <w:tc>
          <w:tcPr>
            <w:tcW w:w="1080" w:type="dxa"/>
            <w:shd w:val="clear" w:color="000000" w:fill="F2F2F2"/>
            <w:vAlign w:val="center"/>
            <w:hideMark/>
          </w:tcPr>
          <w:p w14:paraId="241F9616"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省份</w:t>
            </w:r>
          </w:p>
        </w:tc>
        <w:tc>
          <w:tcPr>
            <w:tcW w:w="1080" w:type="dxa"/>
            <w:shd w:val="clear" w:color="auto" w:fill="auto"/>
            <w:vAlign w:val="center"/>
            <w:hideMark/>
          </w:tcPr>
          <w:p w14:paraId="6ACD8C27" w14:textId="7A7D057C" w:rsidR="007653DF" w:rsidRPr="007653DF" w:rsidRDefault="007653DF" w:rsidP="007653D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2016</w:t>
            </w:r>
            <w:r w:rsidRPr="007653DF">
              <w:rPr>
                <w:rFonts w:ascii="仿宋_GB2312" w:eastAsia="仿宋_GB2312" w:hAnsi="宋体" w:cs="宋体" w:hint="eastAsia"/>
                <w:color w:val="000000"/>
                <w:kern w:val="0"/>
                <w:sz w:val="22"/>
              </w:rPr>
              <w:t xml:space="preserve">Q1 </w:t>
            </w:r>
          </w:p>
        </w:tc>
        <w:tc>
          <w:tcPr>
            <w:tcW w:w="1080" w:type="dxa"/>
            <w:shd w:val="clear" w:color="auto" w:fill="auto"/>
            <w:vAlign w:val="center"/>
            <w:hideMark/>
          </w:tcPr>
          <w:p w14:paraId="6A869CEA" w14:textId="00364720" w:rsidR="007653DF" w:rsidRPr="007653DF" w:rsidRDefault="007653DF" w:rsidP="007653D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2016</w:t>
            </w:r>
            <w:r w:rsidRPr="007653DF">
              <w:rPr>
                <w:rFonts w:ascii="仿宋_GB2312" w:eastAsia="仿宋_GB2312" w:hAnsi="宋体" w:cs="宋体" w:hint="eastAsia"/>
                <w:color w:val="000000"/>
                <w:kern w:val="0"/>
                <w:sz w:val="22"/>
              </w:rPr>
              <w:t xml:space="preserve">Q2 </w:t>
            </w:r>
          </w:p>
        </w:tc>
        <w:tc>
          <w:tcPr>
            <w:tcW w:w="1080" w:type="dxa"/>
            <w:shd w:val="clear" w:color="auto" w:fill="auto"/>
            <w:vAlign w:val="center"/>
            <w:hideMark/>
          </w:tcPr>
          <w:p w14:paraId="493EBAD0"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减差值</w:t>
            </w:r>
          </w:p>
        </w:tc>
        <w:tc>
          <w:tcPr>
            <w:tcW w:w="1080" w:type="dxa"/>
            <w:shd w:val="clear" w:color="000000" w:fill="F2F2F2"/>
            <w:vAlign w:val="center"/>
            <w:hideMark/>
          </w:tcPr>
          <w:p w14:paraId="0691966E"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省份</w:t>
            </w:r>
          </w:p>
        </w:tc>
        <w:tc>
          <w:tcPr>
            <w:tcW w:w="1080" w:type="dxa"/>
            <w:shd w:val="clear" w:color="auto" w:fill="auto"/>
            <w:vAlign w:val="center"/>
            <w:hideMark/>
          </w:tcPr>
          <w:p w14:paraId="1A44BDC6" w14:textId="7AA0DB1B" w:rsidR="007653DF" w:rsidRPr="007653DF" w:rsidRDefault="007653DF" w:rsidP="007653D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2016</w:t>
            </w:r>
            <w:r w:rsidRPr="007653DF">
              <w:rPr>
                <w:rFonts w:ascii="仿宋_GB2312" w:eastAsia="仿宋_GB2312" w:hAnsi="宋体" w:cs="宋体" w:hint="eastAsia"/>
                <w:color w:val="000000"/>
                <w:kern w:val="0"/>
                <w:sz w:val="22"/>
              </w:rPr>
              <w:t>Q1</w:t>
            </w:r>
          </w:p>
        </w:tc>
        <w:tc>
          <w:tcPr>
            <w:tcW w:w="1080" w:type="dxa"/>
            <w:shd w:val="clear" w:color="auto" w:fill="auto"/>
            <w:vAlign w:val="center"/>
            <w:hideMark/>
          </w:tcPr>
          <w:p w14:paraId="5A31172A" w14:textId="53CAE121" w:rsidR="007653DF" w:rsidRPr="007653DF" w:rsidRDefault="007653DF" w:rsidP="007653D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2016</w:t>
            </w:r>
            <w:r w:rsidRPr="007653DF">
              <w:rPr>
                <w:rFonts w:ascii="仿宋_GB2312" w:eastAsia="仿宋_GB2312" w:hAnsi="宋体" w:cs="宋体" w:hint="eastAsia"/>
                <w:color w:val="000000"/>
                <w:kern w:val="0"/>
                <w:sz w:val="22"/>
              </w:rPr>
              <w:t>Q2</w:t>
            </w:r>
          </w:p>
        </w:tc>
        <w:tc>
          <w:tcPr>
            <w:tcW w:w="1080" w:type="dxa"/>
            <w:shd w:val="clear" w:color="auto" w:fill="auto"/>
            <w:vAlign w:val="center"/>
            <w:hideMark/>
          </w:tcPr>
          <w:p w14:paraId="285295FA"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减差值</w:t>
            </w:r>
          </w:p>
        </w:tc>
      </w:tr>
      <w:tr w:rsidR="007653DF" w:rsidRPr="007653DF" w14:paraId="745D854D" w14:textId="77777777" w:rsidTr="007653DF">
        <w:trPr>
          <w:trHeight w:val="270"/>
        </w:trPr>
        <w:tc>
          <w:tcPr>
            <w:tcW w:w="1080" w:type="dxa"/>
            <w:shd w:val="clear" w:color="000000" w:fill="F2F2F2"/>
            <w:vAlign w:val="center"/>
            <w:hideMark/>
          </w:tcPr>
          <w:p w14:paraId="3F255D94"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广东</w:t>
            </w:r>
          </w:p>
        </w:tc>
        <w:tc>
          <w:tcPr>
            <w:tcW w:w="1080" w:type="dxa"/>
            <w:shd w:val="clear" w:color="auto" w:fill="auto"/>
            <w:vAlign w:val="center"/>
            <w:hideMark/>
          </w:tcPr>
          <w:p w14:paraId="1783BF4D"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148.4</w:t>
            </w:r>
          </w:p>
        </w:tc>
        <w:tc>
          <w:tcPr>
            <w:tcW w:w="1080" w:type="dxa"/>
            <w:shd w:val="clear" w:color="auto" w:fill="auto"/>
            <w:vAlign w:val="center"/>
            <w:hideMark/>
          </w:tcPr>
          <w:p w14:paraId="344EB0DC"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132.7</w:t>
            </w:r>
          </w:p>
        </w:tc>
        <w:tc>
          <w:tcPr>
            <w:tcW w:w="1080" w:type="dxa"/>
            <w:shd w:val="clear" w:color="auto" w:fill="auto"/>
            <w:noWrap/>
            <w:vAlign w:val="center"/>
            <w:hideMark/>
          </w:tcPr>
          <w:p w14:paraId="49E3B120" w14:textId="551C7DA3" w:rsidR="007653DF" w:rsidRPr="007653DF" w:rsidRDefault="000720E3" w:rsidP="007653D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sidR="007653DF" w:rsidRPr="007653DF">
              <w:rPr>
                <w:rFonts w:ascii="宋体" w:eastAsia="宋体" w:hAnsi="宋体" w:cs="宋体" w:hint="eastAsia"/>
                <w:color w:val="000000"/>
                <w:kern w:val="0"/>
                <w:sz w:val="22"/>
              </w:rPr>
              <w:t>15.7</w:t>
            </w:r>
          </w:p>
        </w:tc>
        <w:tc>
          <w:tcPr>
            <w:tcW w:w="1080" w:type="dxa"/>
            <w:shd w:val="clear" w:color="000000" w:fill="F2F2F2"/>
            <w:vAlign w:val="center"/>
            <w:hideMark/>
          </w:tcPr>
          <w:p w14:paraId="3F0F0439"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宁夏</w:t>
            </w:r>
          </w:p>
        </w:tc>
        <w:tc>
          <w:tcPr>
            <w:tcW w:w="1080" w:type="dxa"/>
            <w:shd w:val="clear" w:color="auto" w:fill="auto"/>
            <w:vAlign w:val="center"/>
            <w:hideMark/>
          </w:tcPr>
          <w:p w14:paraId="3E21D241"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123.5</w:t>
            </w:r>
          </w:p>
        </w:tc>
        <w:tc>
          <w:tcPr>
            <w:tcW w:w="1080" w:type="dxa"/>
            <w:shd w:val="clear" w:color="auto" w:fill="auto"/>
            <w:vAlign w:val="center"/>
            <w:hideMark/>
          </w:tcPr>
          <w:p w14:paraId="328BCF65"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130</w:t>
            </w:r>
          </w:p>
        </w:tc>
        <w:tc>
          <w:tcPr>
            <w:tcW w:w="1080" w:type="dxa"/>
            <w:shd w:val="clear" w:color="auto" w:fill="auto"/>
            <w:noWrap/>
            <w:vAlign w:val="center"/>
            <w:hideMark/>
          </w:tcPr>
          <w:p w14:paraId="38A02FFB" w14:textId="6F115568"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6.5</w:t>
            </w:r>
          </w:p>
        </w:tc>
      </w:tr>
      <w:tr w:rsidR="007653DF" w:rsidRPr="007653DF" w14:paraId="51197C19" w14:textId="77777777" w:rsidTr="007653DF">
        <w:trPr>
          <w:trHeight w:val="270"/>
        </w:trPr>
        <w:tc>
          <w:tcPr>
            <w:tcW w:w="1080" w:type="dxa"/>
            <w:shd w:val="clear" w:color="000000" w:fill="F2F2F2"/>
            <w:vAlign w:val="center"/>
            <w:hideMark/>
          </w:tcPr>
          <w:p w14:paraId="42CFC200"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上海</w:t>
            </w:r>
          </w:p>
        </w:tc>
        <w:tc>
          <w:tcPr>
            <w:tcW w:w="1080" w:type="dxa"/>
            <w:shd w:val="clear" w:color="auto" w:fill="auto"/>
            <w:vAlign w:val="center"/>
            <w:hideMark/>
          </w:tcPr>
          <w:p w14:paraId="37524A8C"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144.3</w:t>
            </w:r>
          </w:p>
        </w:tc>
        <w:tc>
          <w:tcPr>
            <w:tcW w:w="1080" w:type="dxa"/>
            <w:shd w:val="clear" w:color="auto" w:fill="auto"/>
            <w:vAlign w:val="center"/>
            <w:hideMark/>
          </w:tcPr>
          <w:p w14:paraId="6B02C0D0"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135</w:t>
            </w:r>
          </w:p>
        </w:tc>
        <w:tc>
          <w:tcPr>
            <w:tcW w:w="1080" w:type="dxa"/>
            <w:shd w:val="clear" w:color="auto" w:fill="auto"/>
            <w:noWrap/>
            <w:vAlign w:val="center"/>
            <w:hideMark/>
          </w:tcPr>
          <w:p w14:paraId="63ABD13D" w14:textId="410CB8BF" w:rsidR="007653DF" w:rsidRPr="007653DF" w:rsidRDefault="000720E3" w:rsidP="007653D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sidR="007653DF" w:rsidRPr="007653DF">
              <w:rPr>
                <w:rFonts w:ascii="宋体" w:eastAsia="宋体" w:hAnsi="宋体" w:cs="宋体" w:hint="eastAsia"/>
                <w:color w:val="000000"/>
                <w:kern w:val="0"/>
                <w:sz w:val="22"/>
              </w:rPr>
              <w:t>9.3</w:t>
            </w:r>
          </w:p>
        </w:tc>
        <w:tc>
          <w:tcPr>
            <w:tcW w:w="1080" w:type="dxa"/>
            <w:shd w:val="clear" w:color="000000" w:fill="F2F2F2"/>
            <w:vAlign w:val="center"/>
            <w:hideMark/>
          </w:tcPr>
          <w:p w14:paraId="5186FDBB"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天津</w:t>
            </w:r>
          </w:p>
        </w:tc>
        <w:tc>
          <w:tcPr>
            <w:tcW w:w="1080" w:type="dxa"/>
            <w:shd w:val="clear" w:color="auto" w:fill="auto"/>
            <w:vAlign w:val="center"/>
            <w:hideMark/>
          </w:tcPr>
          <w:p w14:paraId="42C0D057"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134.6</w:t>
            </w:r>
          </w:p>
        </w:tc>
        <w:tc>
          <w:tcPr>
            <w:tcW w:w="1080" w:type="dxa"/>
            <w:shd w:val="clear" w:color="auto" w:fill="auto"/>
            <w:vAlign w:val="center"/>
            <w:hideMark/>
          </w:tcPr>
          <w:p w14:paraId="7A057889"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143.4</w:t>
            </w:r>
          </w:p>
        </w:tc>
        <w:tc>
          <w:tcPr>
            <w:tcW w:w="1080" w:type="dxa"/>
            <w:shd w:val="clear" w:color="auto" w:fill="auto"/>
            <w:noWrap/>
            <w:vAlign w:val="center"/>
            <w:hideMark/>
          </w:tcPr>
          <w:p w14:paraId="3EEE254B" w14:textId="070661B5"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8.8</w:t>
            </w:r>
          </w:p>
        </w:tc>
      </w:tr>
      <w:tr w:rsidR="007653DF" w:rsidRPr="007653DF" w14:paraId="10B7227B" w14:textId="77777777" w:rsidTr="007653DF">
        <w:trPr>
          <w:trHeight w:val="270"/>
        </w:trPr>
        <w:tc>
          <w:tcPr>
            <w:tcW w:w="1080" w:type="dxa"/>
            <w:shd w:val="clear" w:color="000000" w:fill="F2F2F2"/>
            <w:vAlign w:val="center"/>
            <w:hideMark/>
          </w:tcPr>
          <w:p w14:paraId="59BA9A5B"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陕西</w:t>
            </w:r>
          </w:p>
        </w:tc>
        <w:tc>
          <w:tcPr>
            <w:tcW w:w="1080" w:type="dxa"/>
            <w:shd w:val="clear" w:color="auto" w:fill="auto"/>
            <w:vAlign w:val="center"/>
            <w:hideMark/>
          </w:tcPr>
          <w:p w14:paraId="66C075A4"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128.6</w:t>
            </w:r>
          </w:p>
        </w:tc>
        <w:tc>
          <w:tcPr>
            <w:tcW w:w="1080" w:type="dxa"/>
            <w:shd w:val="clear" w:color="auto" w:fill="auto"/>
            <w:vAlign w:val="center"/>
            <w:hideMark/>
          </w:tcPr>
          <w:p w14:paraId="006DF397"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120</w:t>
            </w:r>
          </w:p>
        </w:tc>
        <w:tc>
          <w:tcPr>
            <w:tcW w:w="1080" w:type="dxa"/>
            <w:shd w:val="clear" w:color="auto" w:fill="auto"/>
            <w:noWrap/>
            <w:vAlign w:val="center"/>
            <w:hideMark/>
          </w:tcPr>
          <w:p w14:paraId="1526A79F" w14:textId="20184BC2" w:rsidR="007653DF" w:rsidRPr="007653DF" w:rsidRDefault="000720E3" w:rsidP="007653D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sidR="007653DF" w:rsidRPr="007653DF">
              <w:rPr>
                <w:rFonts w:ascii="宋体" w:eastAsia="宋体" w:hAnsi="宋体" w:cs="宋体" w:hint="eastAsia"/>
                <w:color w:val="000000"/>
                <w:kern w:val="0"/>
                <w:sz w:val="22"/>
              </w:rPr>
              <w:t>8.6</w:t>
            </w:r>
          </w:p>
        </w:tc>
        <w:tc>
          <w:tcPr>
            <w:tcW w:w="1080" w:type="dxa"/>
            <w:shd w:val="clear" w:color="000000" w:fill="F2F2F2"/>
            <w:vAlign w:val="center"/>
            <w:hideMark/>
          </w:tcPr>
          <w:p w14:paraId="06F94859"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江西</w:t>
            </w:r>
          </w:p>
        </w:tc>
        <w:tc>
          <w:tcPr>
            <w:tcW w:w="1080" w:type="dxa"/>
            <w:shd w:val="clear" w:color="auto" w:fill="auto"/>
            <w:vAlign w:val="center"/>
            <w:hideMark/>
          </w:tcPr>
          <w:p w14:paraId="2459252F"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115</w:t>
            </w:r>
          </w:p>
        </w:tc>
        <w:tc>
          <w:tcPr>
            <w:tcW w:w="1080" w:type="dxa"/>
            <w:shd w:val="clear" w:color="auto" w:fill="auto"/>
            <w:vAlign w:val="center"/>
            <w:hideMark/>
          </w:tcPr>
          <w:p w14:paraId="0AF449AB"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124.3</w:t>
            </w:r>
          </w:p>
        </w:tc>
        <w:tc>
          <w:tcPr>
            <w:tcW w:w="1080" w:type="dxa"/>
            <w:shd w:val="clear" w:color="auto" w:fill="auto"/>
            <w:noWrap/>
            <w:vAlign w:val="center"/>
            <w:hideMark/>
          </w:tcPr>
          <w:p w14:paraId="58BAC8D3" w14:textId="1ADF1806"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9.3</w:t>
            </w:r>
          </w:p>
        </w:tc>
      </w:tr>
      <w:tr w:rsidR="007653DF" w:rsidRPr="007653DF" w14:paraId="36E8631E" w14:textId="77777777" w:rsidTr="007653DF">
        <w:trPr>
          <w:trHeight w:val="270"/>
        </w:trPr>
        <w:tc>
          <w:tcPr>
            <w:tcW w:w="1080" w:type="dxa"/>
            <w:shd w:val="clear" w:color="000000" w:fill="F2F2F2"/>
            <w:vAlign w:val="center"/>
            <w:hideMark/>
          </w:tcPr>
          <w:p w14:paraId="5CB27FFB"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辽宁</w:t>
            </w:r>
          </w:p>
        </w:tc>
        <w:tc>
          <w:tcPr>
            <w:tcW w:w="1080" w:type="dxa"/>
            <w:shd w:val="clear" w:color="auto" w:fill="auto"/>
            <w:vAlign w:val="center"/>
            <w:hideMark/>
          </w:tcPr>
          <w:p w14:paraId="46E49BF8"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129.8</w:t>
            </w:r>
          </w:p>
        </w:tc>
        <w:tc>
          <w:tcPr>
            <w:tcW w:w="1080" w:type="dxa"/>
            <w:shd w:val="clear" w:color="auto" w:fill="auto"/>
            <w:vAlign w:val="center"/>
            <w:hideMark/>
          </w:tcPr>
          <w:p w14:paraId="4B40667D"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122.5</w:t>
            </w:r>
          </w:p>
        </w:tc>
        <w:tc>
          <w:tcPr>
            <w:tcW w:w="1080" w:type="dxa"/>
            <w:shd w:val="clear" w:color="auto" w:fill="auto"/>
            <w:noWrap/>
            <w:vAlign w:val="center"/>
            <w:hideMark/>
          </w:tcPr>
          <w:p w14:paraId="00A8AABF" w14:textId="5F1F192E" w:rsidR="007653DF" w:rsidRPr="007653DF" w:rsidRDefault="000720E3" w:rsidP="007653D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sidR="007653DF" w:rsidRPr="007653DF">
              <w:rPr>
                <w:rFonts w:ascii="宋体" w:eastAsia="宋体" w:hAnsi="宋体" w:cs="宋体" w:hint="eastAsia"/>
                <w:color w:val="000000"/>
                <w:kern w:val="0"/>
                <w:sz w:val="22"/>
              </w:rPr>
              <w:t>7.3</w:t>
            </w:r>
          </w:p>
        </w:tc>
        <w:tc>
          <w:tcPr>
            <w:tcW w:w="1080" w:type="dxa"/>
            <w:shd w:val="clear" w:color="000000" w:fill="F2F2F2"/>
            <w:vAlign w:val="center"/>
            <w:hideMark/>
          </w:tcPr>
          <w:p w14:paraId="61AB12FD"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新疆</w:t>
            </w:r>
          </w:p>
        </w:tc>
        <w:tc>
          <w:tcPr>
            <w:tcW w:w="1080" w:type="dxa"/>
            <w:shd w:val="clear" w:color="auto" w:fill="auto"/>
            <w:vAlign w:val="center"/>
            <w:hideMark/>
          </w:tcPr>
          <w:p w14:paraId="7B045730"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120</w:t>
            </w:r>
          </w:p>
        </w:tc>
        <w:tc>
          <w:tcPr>
            <w:tcW w:w="1080" w:type="dxa"/>
            <w:shd w:val="clear" w:color="auto" w:fill="auto"/>
            <w:vAlign w:val="center"/>
            <w:hideMark/>
          </w:tcPr>
          <w:p w14:paraId="7091CB97"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130.7</w:t>
            </w:r>
          </w:p>
        </w:tc>
        <w:tc>
          <w:tcPr>
            <w:tcW w:w="1080" w:type="dxa"/>
            <w:shd w:val="clear" w:color="auto" w:fill="auto"/>
            <w:noWrap/>
            <w:vAlign w:val="center"/>
            <w:hideMark/>
          </w:tcPr>
          <w:p w14:paraId="243C4323" w14:textId="7BA96BA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10.7</w:t>
            </w:r>
          </w:p>
        </w:tc>
      </w:tr>
      <w:tr w:rsidR="007653DF" w:rsidRPr="007653DF" w14:paraId="598D5D76" w14:textId="77777777" w:rsidTr="007653DF">
        <w:trPr>
          <w:trHeight w:val="270"/>
        </w:trPr>
        <w:tc>
          <w:tcPr>
            <w:tcW w:w="1080" w:type="dxa"/>
            <w:shd w:val="clear" w:color="000000" w:fill="F2F2F2"/>
            <w:vAlign w:val="center"/>
            <w:hideMark/>
          </w:tcPr>
          <w:p w14:paraId="0C2F41BB"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内蒙古</w:t>
            </w:r>
          </w:p>
        </w:tc>
        <w:tc>
          <w:tcPr>
            <w:tcW w:w="1080" w:type="dxa"/>
            <w:shd w:val="clear" w:color="auto" w:fill="auto"/>
            <w:vAlign w:val="center"/>
            <w:hideMark/>
          </w:tcPr>
          <w:p w14:paraId="0BF94F85"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114.3</w:t>
            </w:r>
          </w:p>
        </w:tc>
        <w:tc>
          <w:tcPr>
            <w:tcW w:w="1080" w:type="dxa"/>
            <w:shd w:val="clear" w:color="auto" w:fill="auto"/>
            <w:vAlign w:val="center"/>
            <w:hideMark/>
          </w:tcPr>
          <w:p w14:paraId="766C57B6"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108.3</w:t>
            </w:r>
          </w:p>
        </w:tc>
        <w:tc>
          <w:tcPr>
            <w:tcW w:w="1080" w:type="dxa"/>
            <w:shd w:val="clear" w:color="auto" w:fill="auto"/>
            <w:noWrap/>
            <w:vAlign w:val="center"/>
            <w:hideMark/>
          </w:tcPr>
          <w:p w14:paraId="356DDC60" w14:textId="7C8A4DA5" w:rsidR="007653DF" w:rsidRPr="007653DF" w:rsidRDefault="000720E3" w:rsidP="007653D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sidR="007653DF" w:rsidRPr="007653DF">
              <w:rPr>
                <w:rFonts w:ascii="宋体" w:eastAsia="宋体" w:hAnsi="宋体" w:cs="宋体" w:hint="eastAsia"/>
                <w:color w:val="000000"/>
                <w:kern w:val="0"/>
                <w:sz w:val="22"/>
              </w:rPr>
              <w:t>6</w:t>
            </w:r>
            <w:r>
              <w:rPr>
                <w:rFonts w:ascii="宋体" w:eastAsia="宋体" w:hAnsi="宋体" w:cs="宋体" w:hint="eastAsia"/>
                <w:color w:val="000000"/>
                <w:kern w:val="0"/>
                <w:sz w:val="22"/>
              </w:rPr>
              <w:t>.0</w:t>
            </w:r>
          </w:p>
        </w:tc>
        <w:tc>
          <w:tcPr>
            <w:tcW w:w="1080" w:type="dxa"/>
            <w:shd w:val="clear" w:color="000000" w:fill="F2F2F2"/>
            <w:vAlign w:val="center"/>
            <w:hideMark/>
          </w:tcPr>
          <w:p w14:paraId="52AC2112"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河南</w:t>
            </w:r>
          </w:p>
        </w:tc>
        <w:tc>
          <w:tcPr>
            <w:tcW w:w="1080" w:type="dxa"/>
            <w:shd w:val="clear" w:color="auto" w:fill="auto"/>
            <w:vAlign w:val="center"/>
            <w:hideMark/>
          </w:tcPr>
          <w:p w14:paraId="307D9358"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117.1</w:t>
            </w:r>
          </w:p>
        </w:tc>
        <w:tc>
          <w:tcPr>
            <w:tcW w:w="1080" w:type="dxa"/>
            <w:shd w:val="clear" w:color="auto" w:fill="auto"/>
            <w:vAlign w:val="center"/>
            <w:hideMark/>
          </w:tcPr>
          <w:p w14:paraId="5C8A6EB5"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127.9</w:t>
            </w:r>
          </w:p>
        </w:tc>
        <w:tc>
          <w:tcPr>
            <w:tcW w:w="1080" w:type="dxa"/>
            <w:shd w:val="clear" w:color="auto" w:fill="auto"/>
            <w:noWrap/>
            <w:vAlign w:val="center"/>
            <w:hideMark/>
          </w:tcPr>
          <w:p w14:paraId="45C60A7E" w14:textId="2D93DED4"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10.8</w:t>
            </w:r>
          </w:p>
        </w:tc>
      </w:tr>
      <w:tr w:rsidR="007653DF" w:rsidRPr="007653DF" w14:paraId="43F421AF" w14:textId="77777777" w:rsidTr="007653DF">
        <w:trPr>
          <w:trHeight w:val="270"/>
        </w:trPr>
        <w:tc>
          <w:tcPr>
            <w:tcW w:w="1080" w:type="dxa"/>
            <w:shd w:val="clear" w:color="000000" w:fill="F2F2F2"/>
            <w:vAlign w:val="center"/>
            <w:hideMark/>
          </w:tcPr>
          <w:p w14:paraId="1F4761F8"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四川</w:t>
            </w:r>
          </w:p>
        </w:tc>
        <w:tc>
          <w:tcPr>
            <w:tcW w:w="1080" w:type="dxa"/>
            <w:shd w:val="clear" w:color="auto" w:fill="auto"/>
            <w:vAlign w:val="center"/>
            <w:hideMark/>
          </w:tcPr>
          <w:p w14:paraId="1086225E"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130.2</w:t>
            </w:r>
          </w:p>
        </w:tc>
        <w:tc>
          <w:tcPr>
            <w:tcW w:w="1080" w:type="dxa"/>
            <w:shd w:val="clear" w:color="auto" w:fill="auto"/>
            <w:vAlign w:val="center"/>
            <w:hideMark/>
          </w:tcPr>
          <w:p w14:paraId="04E11744"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124.7</w:t>
            </w:r>
          </w:p>
        </w:tc>
        <w:tc>
          <w:tcPr>
            <w:tcW w:w="1080" w:type="dxa"/>
            <w:shd w:val="clear" w:color="auto" w:fill="auto"/>
            <w:noWrap/>
            <w:vAlign w:val="center"/>
            <w:hideMark/>
          </w:tcPr>
          <w:p w14:paraId="4A463823" w14:textId="60D1AC8C" w:rsidR="007653DF" w:rsidRPr="007653DF" w:rsidRDefault="000720E3" w:rsidP="007653DF">
            <w:pPr>
              <w:widowControl/>
              <w:jc w:val="center"/>
              <w:rPr>
                <w:rFonts w:ascii="宋体" w:eastAsia="宋体" w:hAnsi="宋体" w:cs="宋体"/>
                <w:color w:val="000000"/>
                <w:kern w:val="0"/>
                <w:sz w:val="22"/>
              </w:rPr>
            </w:pPr>
            <w:r>
              <w:rPr>
                <w:rFonts w:ascii="宋体" w:eastAsia="宋体" w:hAnsi="宋体" w:cs="宋体"/>
                <w:color w:val="000000"/>
                <w:kern w:val="0"/>
                <w:sz w:val="22"/>
              </w:rPr>
              <w:t>-</w:t>
            </w:r>
            <w:r w:rsidR="007653DF" w:rsidRPr="007653DF">
              <w:rPr>
                <w:rFonts w:ascii="宋体" w:eastAsia="宋体" w:hAnsi="宋体" w:cs="宋体" w:hint="eastAsia"/>
                <w:color w:val="000000"/>
                <w:kern w:val="0"/>
                <w:sz w:val="22"/>
              </w:rPr>
              <w:t>5.5</w:t>
            </w:r>
          </w:p>
        </w:tc>
        <w:tc>
          <w:tcPr>
            <w:tcW w:w="1080" w:type="dxa"/>
            <w:shd w:val="clear" w:color="000000" w:fill="F2F2F2"/>
            <w:vAlign w:val="center"/>
            <w:hideMark/>
          </w:tcPr>
          <w:p w14:paraId="02E4658B"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湖北</w:t>
            </w:r>
          </w:p>
        </w:tc>
        <w:tc>
          <w:tcPr>
            <w:tcW w:w="1080" w:type="dxa"/>
            <w:shd w:val="clear" w:color="auto" w:fill="auto"/>
            <w:vAlign w:val="center"/>
            <w:hideMark/>
          </w:tcPr>
          <w:p w14:paraId="0F183C46"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134.5</w:t>
            </w:r>
          </w:p>
        </w:tc>
        <w:tc>
          <w:tcPr>
            <w:tcW w:w="1080" w:type="dxa"/>
            <w:shd w:val="clear" w:color="auto" w:fill="auto"/>
            <w:vAlign w:val="center"/>
            <w:hideMark/>
          </w:tcPr>
          <w:p w14:paraId="2FCCF471"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145.5</w:t>
            </w:r>
          </w:p>
        </w:tc>
        <w:tc>
          <w:tcPr>
            <w:tcW w:w="1080" w:type="dxa"/>
            <w:shd w:val="clear" w:color="auto" w:fill="auto"/>
            <w:noWrap/>
            <w:vAlign w:val="center"/>
            <w:hideMark/>
          </w:tcPr>
          <w:p w14:paraId="64CA6791" w14:textId="2E32AA1D"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11</w:t>
            </w:r>
            <w:r w:rsidR="000720E3">
              <w:rPr>
                <w:rFonts w:ascii="宋体" w:eastAsia="宋体" w:hAnsi="宋体" w:cs="宋体"/>
                <w:color w:val="000000"/>
                <w:kern w:val="0"/>
                <w:sz w:val="22"/>
              </w:rPr>
              <w:t>.0</w:t>
            </w:r>
          </w:p>
        </w:tc>
      </w:tr>
      <w:tr w:rsidR="007653DF" w:rsidRPr="007653DF" w14:paraId="23C9884A" w14:textId="77777777" w:rsidTr="007653DF">
        <w:trPr>
          <w:trHeight w:val="270"/>
        </w:trPr>
        <w:tc>
          <w:tcPr>
            <w:tcW w:w="1080" w:type="dxa"/>
            <w:shd w:val="clear" w:color="000000" w:fill="F2F2F2"/>
            <w:vAlign w:val="center"/>
            <w:hideMark/>
          </w:tcPr>
          <w:p w14:paraId="07BD01A8"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北京</w:t>
            </w:r>
          </w:p>
        </w:tc>
        <w:tc>
          <w:tcPr>
            <w:tcW w:w="1080" w:type="dxa"/>
            <w:shd w:val="clear" w:color="auto" w:fill="auto"/>
            <w:vAlign w:val="center"/>
            <w:hideMark/>
          </w:tcPr>
          <w:p w14:paraId="78F53DA7"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143.9</w:t>
            </w:r>
          </w:p>
        </w:tc>
        <w:tc>
          <w:tcPr>
            <w:tcW w:w="1080" w:type="dxa"/>
            <w:shd w:val="clear" w:color="auto" w:fill="auto"/>
            <w:vAlign w:val="center"/>
            <w:hideMark/>
          </w:tcPr>
          <w:p w14:paraId="734B35A3"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140</w:t>
            </w:r>
          </w:p>
        </w:tc>
        <w:tc>
          <w:tcPr>
            <w:tcW w:w="1080" w:type="dxa"/>
            <w:shd w:val="clear" w:color="auto" w:fill="auto"/>
            <w:noWrap/>
            <w:vAlign w:val="center"/>
            <w:hideMark/>
          </w:tcPr>
          <w:p w14:paraId="2755A5BA" w14:textId="66D56F91" w:rsidR="007653DF" w:rsidRPr="007653DF" w:rsidRDefault="000720E3" w:rsidP="007653DF">
            <w:pPr>
              <w:widowControl/>
              <w:jc w:val="center"/>
              <w:rPr>
                <w:rFonts w:ascii="宋体" w:eastAsia="宋体" w:hAnsi="宋体" w:cs="宋体"/>
                <w:color w:val="000000"/>
                <w:kern w:val="0"/>
                <w:sz w:val="22"/>
              </w:rPr>
            </w:pPr>
            <w:r>
              <w:rPr>
                <w:rFonts w:ascii="宋体" w:eastAsia="宋体" w:hAnsi="宋体" w:cs="宋体"/>
                <w:color w:val="000000"/>
                <w:kern w:val="0"/>
                <w:sz w:val="22"/>
              </w:rPr>
              <w:t>-</w:t>
            </w:r>
            <w:r w:rsidR="007653DF" w:rsidRPr="007653DF">
              <w:rPr>
                <w:rFonts w:ascii="宋体" w:eastAsia="宋体" w:hAnsi="宋体" w:cs="宋体" w:hint="eastAsia"/>
                <w:color w:val="000000"/>
                <w:kern w:val="0"/>
                <w:sz w:val="22"/>
              </w:rPr>
              <w:t>3.9</w:t>
            </w:r>
          </w:p>
        </w:tc>
        <w:tc>
          <w:tcPr>
            <w:tcW w:w="1080" w:type="dxa"/>
            <w:shd w:val="clear" w:color="000000" w:fill="F2F2F2"/>
            <w:vAlign w:val="center"/>
            <w:hideMark/>
          </w:tcPr>
          <w:p w14:paraId="1BC39F9F"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江苏</w:t>
            </w:r>
          </w:p>
        </w:tc>
        <w:tc>
          <w:tcPr>
            <w:tcW w:w="1080" w:type="dxa"/>
            <w:shd w:val="clear" w:color="auto" w:fill="auto"/>
            <w:vAlign w:val="center"/>
            <w:hideMark/>
          </w:tcPr>
          <w:p w14:paraId="3ACF6271"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141.9</w:t>
            </w:r>
          </w:p>
        </w:tc>
        <w:tc>
          <w:tcPr>
            <w:tcW w:w="1080" w:type="dxa"/>
            <w:shd w:val="clear" w:color="auto" w:fill="auto"/>
            <w:vAlign w:val="center"/>
            <w:hideMark/>
          </w:tcPr>
          <w:p w14:paraId="41004E0F"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153.3</w:t>
            </w:r>
          </w:p>
        </w:tc>
        <w:tc>
          <w:tcPr>
            <w:tcW w:w="1080" w:type="dxa"/>
            <w:shd w:val="clear" w:color="auto" w:fill="auto"/>
            <w:noWrap/>
            <w:vAlign w:val="center"/>
            <w:hideMark/>
          </w:tcPr>
          <w:p w14:paraId="43BF7A74" w14:textId="68B4E7C9"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11.4</w:t>
            </w:r>
          </w:p>
        </w:tc>
      </w:tr>
      <w:tr w:rsidR="007653DF" w:rsidRPr="007653DF" w14:paraId="279DFC1B" w14:textId="77777777" w:rsidTr="007653DF">
        <w:trPr>
          <w:trHeight w:val="270"/>
        </w:trPr>
        <w:tc>
          <w:tcPr>
            <w:tcW w:w="1080" w:type="dxa"/>
            <w:shd w:val="clear" w:color="000000" w:fill="F2F2F2"/>
            <w:vAlign w:val="center"/>
            <w:hideMark/>
          </w:tcPr>
          <w:p w14:paraId="057E31B0"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西藏</w:t>
            </w:r>
          </w:p>
        </w:tc>
        <w:tc>
          <w:tcPr>
            <w:tcW w:w="1080" w:type="dxa"/>
            <w:shd w:val="clear" w:color="auto" w:fill="auto"/>
            <w:vAlign w:val="center"/>
            <w:hideMark/>
          </w:tcPr>
          <w:p w14:paraId="5544E642"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100</w:t>
            </w:r>
          </w:p>
        </w:tc>
        <w:tc>
          <w:tcPr>
            <w:tcW w:w="1080" w:type="dxa"/>
            <w:shd w:val="clear" w:color="auto" w:fill="auto"/>
            <w:vAlign w:val="center"/>
            <w:hideMark/>
          </w:tcPr>
          <w:p w14:paraId="4F424A17"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100</w:t>
            </w:r>
          </w:p>
        </w:tc>
        <w:tc>
          <w:tcPr>
            <w:tcW w:w="1080" w:type="dxa"/>
            <w:shd w:val="clear" w:color="auto" w:fill="auto"/>
            <w:noWrap/>
            <w:vAlign w:val="center"/>
            <w:hideMark/>
          </w:tcPr>
          <w:p w14:paraId="3D214593"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0</w:t>
            </w:r>
          </w:p>
        </w:tc>
        <w:tc>
          <w:tcPr>
            <w:tcW w:w="1080" w:type="dxa"/>
            <w:shd w:val="clear" w:color="000000" w:fill="F2F2F2"/>
            <w:vAlign w:val="center"/>
            <w:hideMark/>
          </w:tcPr>
          <w:p w14:paraId="4076DD7D"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云南</w:t>
            </w:r>
          </w:p>
        </w:tc>
        <w:tc>
          <w:tcPr>
            <w:tcW w:w="1080" w:type="dxa"/>
            <w:shd w:val="clear" w:color="auto" w:fill="auto"/>
            <w:vAlign w:val="center"/>
            <w:hideMark/>
          </w:tcPr>
          <w:p w14:paraId="2B1BCA05"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120</w:t>
            </w:r>
          </w:p>
        </w:tc>
        <w:tc>
          <w:tcPr>
            <w:tcW w:w="1080" w:type="dxa"/>
            <w:shd w:val="clear" w:color="auto" w:fill="auto"/>
            <w:vAlign w:val="center"/>
            <w:hideMark/>
          </w:tcPr>
          <w:p w14:paraId="6421F1D7"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131.6</w:t>
            </w:r>
          </w:p>
        </w:tc>
        <w:tc>
          <w:tcPr>
            <w:tcW w:w="1080" w:type="dxa"/>
            <w:shd w:val="clear" w:color="auto" w:fill="auto"/>
            <w:noWrap/>
            <w:vAlign w:val="center"/>
            <w:hideMark/>
          </w:tcPr>
          <w:p w14:paraId="05479EA6" w14:textId="7F2CEE45"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11.6</w:t>
            </w:r>
          </w:p>
        </w:tc>
      </w:tr>
      <w:tr w:rsidR="007653DF" w:rsidRPr="007653DF" w14:paraId="43C8ADF1" w14:textId="77777777" w:rsidTr="007653DF">
        <w:trPr>
          <w:trHeight w:val="270"/>
        </w:trPr>
        <w:tc>
          <w:tcPr>
            <w:tcW w:w="1080" w:type="dxa"/>
            <w:shd w:val="clear" w:color="000000" w:fill="F2F2F2"/>
            <w:vAlign w:val="center"/>
            <w:hideMark/>
          </w:tcPr>
          <w:p w14:paraId="72DD5B51"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黑龙江</w:t>
            </w:r>
          </w:p>
        </w:tc>
        <w:tc>
          <w:tcPr>
            <w:tcW w:w="1080" w:type="dxa"/>
            <w:shd w:val="clear" w:color="auto" w:fill="auto"/>
            <w:vAlign w:val="center"/>
            <w:hideMark/>
          </w:tcPr>
          <w:p w14:paraId="31052584"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135</w:t>
            </w:r>
          </w:p>
        </w:tc>
        <w:tc>
          <w:tcPr>
            <w:tcW w:w="1080" w:type="dxa"/>
            <w:shd w:val="clear" w:color="auto" w:fill="auto"/>
            <w:vAlign w:val="center"/>
            <w:hideMark/>
          </w:tcPr>
          <w:p w14:paraId="2D7D12CB"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135.3</w:t>
            </w:r>
          </w:p>
        </w:tc>
        <w:tc>
          <w:tcPr>
            <w:tcW w:w="1080" w:type="dxa"/>
            <w:shd w:val="clear" w:color="auto" w:fill="auto"/>
            <w:noWrap/>
            <w:vAlign w:val="center"/>
            <w:hideMark/>
          </w:tcPr>
          <w:p w14:paraId="3246C76B" w14:textId="2525FF6B"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0.3</w:t>
            </w:r>
          </w:p>
        </w:tc>
        <w:tc>
          <w:tcPr>
            <w:tcW w:w="1080" w:type="dxa"/>
            <w:shd w:val="clear" w:color="000000" w:fill="F2F2F2"/>
            <w:vAlign w:val="center"/>
            <w:hideMark/>
          </w:tcPr>
          <w:p w14:paraId="605D2D42"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湖南</w:t>
            </w:r>
          </w:p>
        </w:tc>
        <w:tc>
          <w:tcPr>
            <w:tcW w:w="1080" w:type="dxa"/>
            <w:shd w:val="clear" w:color="auto" w:fill="auto"/>
            <w:vAlign w:val="center"/>
            <w:hideMark/>
          </w:tcPr>
          <w:p w14:paraId="719E3190"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131.4</w:t>
            </w:r>
          </w:p>
        </w:tc>
        <w:tc>
          <w:tcPr>
            <w:tcW w:w="1080" w:type="dxa"/>
            <w:shd w:val="clear" w:color="auto" w:fill="auto"/>
            <w:vAlign w:val="center"/>
            <w:hideMark/>
          </w:tcPr>
          <w:p w14:paraId="5CE0536D"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146.6</w:t>
            </w:r>
          </w:p>
        </w:tc>
        <w:tc>
          <w:tcPr>
            <w:tcW w:w="1080" w:type="dxa"/>
            <w:shd w:val="clear" w:color="auto" w:fill="auto"/>
            <w:noWrap/>
            <w:vAlign w:val="center"/>
            <w:hideMark/>
          </w:tcPr>
          <w:p w14:paraId="24ED6F04" w14:textId="79BDCE9D"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15.2</w:t>
            </w:r>
          </w:p>
        </w:tc>
      </w:tr>
      <w:tr w:rsidR="007653DF" w:rsidRPr="007653DF" w14:paraId="6754F8A8" w14:textId="77777777" w:rsidTr="007653DF">
        <w:trPr>
          <w:trHeight w:val="270"/>
        </w:trPr>
        <w:tc>
          <w:tcPr>
            <w:tcW w:w="1080" w:type="dxa"/>
            <w:shd w:val="clear" w:color="000000" w:fill="F2F2F2"/>
            <w:vAlign w:val="center"/>
            <w:hideMark/>
          </w:tcPr>
          <w:p w14:paraId="04C5C6F4"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甘肃</w:t>
            </w:r>
          </w:p>
        </w:tc>
        <w:tc>
          <w:tcPr>
            <w:tcW w:w="1080" w:type="dxa"/>
            <w:shd w:val="clear" w:color="auto" w:fill="auto"/>
            <w:vAlign w:val="center"/>
            <w:hideMark/>
          </w:tcPr>
          <w:p w14:paraId="326E2E4C"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108.7</w:t>
            </w:r>
          </w:p>
        </w:tc>
        <w:tc>
          <w:tcPr>
            <w:tcW w:w="1080" w:type="dxa"/>
            <w:shd w:val="clear" w:color="auto" w:fill="auto"/>
            <w:vAlign w:val="center"/>
            <w:hideMark/>
          </w:tcPr>
          <w:p w14:paraId="47F2E12A"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110.5</w:t>
            </w:r>
          </w:p>
        </w:tc>
        <w:tc>
          <w:tcPr>
            <w:tcW w:w="1080" w:type="dxa"/>
            <w:shd w:val="clear" w:color="auto" w:fill="auto"/>
            <w:noWrap/>
            <w:vAlign w:val="center"/>
            <w:hideMark/>
          </w:tcPr>
          <w:p w14:paraId="4BB4F401" w14:textId="3DC47B5F"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1.8</w:t>
            </w:r>
          </w:p>
        </w:tc>
        <w:tc>
          <w:tcPr>
            <w:tcW w:w="1080" w:type="dxa"/>
            <w:shd w:val="clear" w:color="000000" w:fill="F2F2F2"/>
            <w:vAlign w:val="center"/>
            <w:hideMark/>
          </w:tcPr>
          <w:p w14:paraId="7801ABD8"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安徽</w:t>
            </w:r>
          </w:p>
        </w:tc>
        <w:tc>
          <w:tcPr>
            <w:tcW w:w="1080" w:type="dxa"/>
            <w:shd w:val="clear" w:color="auto" w:fill="auto"/>
            <w:vAlign w:val="center"/>
            <w:hideMark/>
          </w:tcPr>
          <w:p w14:paraId="732A635E"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129.5</w:t>
            </w:r>
          </w:p>
        </w:tc>
        <w:tc>
          <w:tcPr>
            <w:tcW w:w="1080" w:type="dxa"/>
            <w:shd w:val="clear" w:color="auto" w:fill="auto"/>
            <w:vAlign w:val="center"/>
            <w:hideMark/>
          </w:tcPr>
          <w:p w14:paraId="3C330E8D"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148.6</w:t>
            </w:r>
          </w:p>
        </w:tc>
        <w:tc>
          <w:tcPr>
            <w:tcW w:w="1080" w:type="dxa"/>
            <w:shd w:val="clear" w:color="auto" w:fill="auto"/>
            <w:noWrap/>
            <w:vAlign w:val="center"/>
            <w:hideMark/>
          </w:tcPr>
          <w:p w14:paraId="0DC20560" w14:textId="01AC5F7D"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19.1</w:t>
            </w:r>
          </w:p>
        </w:tc>
      </w:tr>
      <w:tr w:rsidR="007653DF" w:rsidRPr="007653DF" w14:paraId="65A43D70" w14:textId="77777777" w:rsidTr="007653DF">
        <w:trPr>
          <w:trHeight w:val="270"/>
        </w:trPr>
        <w:tc>
          <w:tcPr>
            <w:tcW w:w="1080" w:type="dxa"/>
            <w:shd w:val="clear" w:color="000000" w:fill="F2F2F2"/>
            <w:vAlign w:val="center"/>
            <w:hideMark/>
          </w:tcPr>
          <w:p w14:paraId="41D43B7E"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重庆</w:t>
            </w:r>
          </w:p>
        </w:tc>
        <w:tc>
          <w:tcPr>
            <w:tcW w:w="1080" w:type="dxa"/>
            <w:shd w:val="clear" w:color="auto" w:fill="auto"/>
            <w:vAlign w:val="center"/>
            <w:hideMark/>
          </w:tcPr>
          <w:p w14:paraId="05FB3149"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141.7</w:t>
            </w:r>
          </w:p>
        </w:tc>
        <w:tc>
          <w:tcPr>
            <w:tcW w:w="1080" w:type="dxa"/>
            <w:shd w:val="clear" w:color="auto" w:fill="auto"/>
            <w:vAlign w:val="center"/>
            <w:hideMark/>
          </w:tcPr>
          <w:p w14:paraId="109E6F33"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144.4</w:t>
            </w:r>
          </w:p>
        </w:tc>
        <w:tc>
          <w:tcPr>
            <w:tcW w:w="1080" w:type="dxa"/>
            <w:shd w:val="clear" w:color="auto" w:fill="auto"/>
            <w:noWrap/>
            <w:vAlign w:val="center"/>
            <w:hideMark/>
          </w:tcPr>
          <w:p w14:paraId="291CBB6A" w14:textId="35BDBAA3"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2.7</w:t>
            </w:r>
          </w:p>
        </w:tc>
        <w:tc>
          <w:tcPr>
            <w:tcW w:w="1080" w:type="dxa"/>
            <w:shd w:val="clear" w:color="000000" w:fill="F2F2F2"/>
            <w:vAlign w:val="center"/>
            <w:hideMark/>
          </w:tcPr>
          <w:p w14:paraId="4E4E9AB6"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吉林</w:t>
            </w:r>
          </w:p>
        </w:tc>
        <w:tc>
          <w:tcPr>
            <w:tcW w:w="1080" w:type="dxa"/>
            <w:shd w:val="clear" w:color="auto" w:fill="auto"/>
            <w:vAlign w:val="center"/>
            <w:hideMark/>
          </w:tcPr>
          <w:p w14:paraId="389223B7"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140</w:t>
            </w:r>
          </w:p>
        </w:tc>
        <w:tc>
          <w:tcPr>
            <w:tcW w:w="1080" w:type="dxa"/>
            <w:shd w:val="clear" w:color="auto" w:fill="auto"/>
            <w:vAlign w:val="center"/>
            <w:hideMark/>
          </w:tcPr>
          <w:p w14:paraId="5970F706"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162.5</w:t>
            </w:r>
          </w:p>
        </w:tc>
        <w:tc>
          <w:tcPr>
            <w:tcW w:w="1080" w:type="dxa"/>
            <w:shd w:val="clear" w:color="auto" w:fill="auto"/>
            <w:noWrap/>
            <w:vAlign w:val="center"/>
            <w:hideMark/>
          </w:tcPr>
          <w:p w14:paraId="5DC18F53" w14:textId="4CD7FB0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22.5</w:t>
            </w:r>
          </w:p>
        </w:tc>
      </w:tr>
      <w:tr w:rsidR="007653DF" w:rsidRPr="007653DF" w14:paraId="26E43D5E" w14:textId="77777777" w:rsidTr="007653DF">
        <w:trPr>
          <w:trHeight w:val="270"/>
        </w:trPr>
        <w:tc>
          <w:tcPr>
            <w:tcW w:w="1080" w:type="dxa"/>
            <w:shd w:val="clear" w:color="000000" w:fill="F2F2F2"/>
            <w:vAlign w:val="center"/>
            <w:hideMark/>
          </w:tcPr>
          <w:p w14:paraId="68D5ED2B"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山东</w:t>
            </w:r>
          </w:p>
        </w:tc>
        <w:tc>
          <w:tcPr>
            <w:tcW w:w="1080" w:type="dxa"/>
            <w:shd w:val="clear" w:color="auto" w:fill="auto"/>
            <w:vAlign w:val="center"/>
            <w:hideMark/>
          </w:tcPr>
          <w:p w14:paraId="71F871A5"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135.3</w:t>
            </w:r>
          </w:p>
        </w:tc>
        <w:tc>
          <w:tcPr>
            <w:tcW w:w="1080" w:type="dxa"/>
            <w:shd w:val="clear" w:color="auto" w:fill="auto"/>
            <w:vAlign w:val="center"/>
            <w:hideMark/>
          </w:tcPr>
          <w:p w14:paraId="632CBDC7"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138.8</w:t>
            </w:r>
          </w:p>
        </w:tc>
        <w:tc>
          <w:tcPr>
            <w:tcW w:w="1080" w:type="dxa"/>
            <w:shd w:val="clear" w:color="auto" w:fill="auto"/>
            <w:noWrap/>
            <w:vAlign w:val="center"/>
            <w:hideMark/>
          </w:tcPr>
          <w:p w14:paraId="4679586E" w14:textId="4AADD1DC"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3.5</w:t>
            </w:r>
          </w:p>
        </w:tc>
        <w:tc>
          <w:tcPr>
            <w:tcW w:w="1080" w:type="dxa"/>
            <w:shd w:val="clear" w:color="000000" w:fill="F2F2F2"/>
            <w:vAlign w:val="center"/>
            <w:hideMark/>
          </w:tcPr>
          <w:p w14:paraId="38424555"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福建</w:t>
            </w:r>
          </w:p>
        </w:tc>
        <w:tc>
          <w:tcPr>
            <w:tcW w:w="1080" w:type="dxa"/>
            <w:shd w:val="clear" w:color="auto" w:fill="auto"/>
            <w:vAlign w:val="center"/>
            <w:hideMark/>
          </w:tcPr>
          <w:p w14:paraId="616AB1C2"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122.7</w:t>
            </w:r>
          </w:p>
        </w:tc>
        <w:tc>
          <w:tcPr>
            <w:tcW w:w="1080" w:type="dxa"/>
            <w:shd w:val="clear" w:color="auto" w:fill="auto"/>
            <w:vAlign w:val="center"/>
            <w:hideMark/>
          </w:tcPr>
          <w:p w14:paraId="55323E2F"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147.9</w:t>
            </w:r>
          </w:p>
        </w:tc>
        <w:tc>
          <w:tcPr>
            <w:tcW w:w="1080" w:type="dxa"/>
            <w:shd w:val="clear" w:color="auto" w:fill="auto"/>
            <w:noWrap/>
            <w:vAlign w:val="center"/>
            <w:hideMark/>
          </w:tcPr>
          <w:p w14:paraId="038881B2" w14:textId="14C6135D"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25.2</w:t>
            </w:r>
          </w:p>
        </w:tc>
      </w:tr>
      <w:tr w:rsidR="007653DF" w:rsidRPr="007653DF" w14:paraId="63633796" w14:textId="77777777" w:rsidTr="007653DF">
        <w:trPr>
          <w:trHeight w:val="270"/>
        </w:trPr>
        <w:tc>
          <w:tcPr>
            <w:tcW w:w="1080" w:type="dxa"/>
            <w:shd w:val="clear" w:color="000000" w:fill="F2F2F2"/>
            <w:vAlign w:val="center"/>
            <w:hideMark/>
          </w:tcPr>
          <w:p w14:paraId="1D12FF5D"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河北</w:t>
            </w:r>
          </w:p>
        </w:tc>
        <w:tc>
          <w:tcPr>
            <w:tcW w:w="1080" w:type="dxa"/>
            <w:shd w:val="clear" w:color="auto" w:fill="auto"/>
            <w:vAlign w:val="center"/>
            <w:hideMark/>
          </w:tcPr>
          <w:p w14:paraId="7CDB5FCF"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152</w:t>
            </w:r>
          </w:p>
        </w:tc>
        <w:tc>
          <w:tcPr>
            <w:tcW w:w="1080" w:type="dxa"/>
            <w:shd w:val="clear" w:color="auto" w:fill="auto"/>
            <w:vAlign w:val="center"/>
            <w:hideMark/>
          </w:tcPr>
          <w:p w14:paraId="06F77DEA"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158.3</w:t>
            </w:r>
          </w:p>
        </w:tc>
        <w:tc>
          <w:tcPr>
            <w:tcW w:w="1080" w:type="dxa"/>
            <w:shd w:val="clear" w:color="auto" w:fill="auto"/>
            <w:noWrap/>
            <w:vAlign w:val="center"/>
            <w:hideMark/>
          </w:tcPr>
          <w:p w14:paraId="5FA63B45" w14:textId="0958CC2D"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6.3</w:t>
            </w:r>
          </w:p>
        </w:tc>
        <w:tc>
          <w:tcPr>
            <w:tcW w:w="1080" w:type="dxa"/>
            <w:shd w:val="clear" w:color="000000" w:fill="F2F2F2"/>
            <w:vAlign w:val="center"/>
            <w:hideMark/>
          </w:tcPr>
          <w:p w14:paraId="073CA7ED"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山西</w:t>
            </w:r>
          </w:p>
        </w:tc>
        <w:tc>
          <w:tcPr>
            <w:tcW w:w="1080" w:type="dxa"/>
            <w:shd w:val="clear" w:color="auto" w:fill="auto"/>
            <w:vAlign w:val="center"/>
            <w:hideMark/>
          </w:tcPr>
          <w:p w14:paraId="3D02EB1E"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80</w:t>
            </w:r>
          </w:p>
        </w:tc>
        <w:tc>
          <w:tcPr>
            <w:tcW w:w="1080" w:type="dxa"/>
            <w:shd w:val="clear" w:color="auto" w:fill="auto"/>
            <w:vAlign w:val="center"/>
            <w:hideMark/>
          </w:tcPr>
          <w:p w14:paraId="3402A455"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113.1</w:t>
            </w:r>
          </w:p>
        </w:tc>
        <w:tc>
          <w:tcPr>
            <w:tcW w:w="1080" w:type="dxa"/>
            <w:shd w:val="clear" w:color="auto" w:fill="auto"/>
            <w:noWrap/>
            <w:vAlign w:val="center"/>
            <w:hideMark/>
          </w:tcPr>
          <w:p w14:paraId="646720D3" w14:textId="0DE19CC6"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33.1</w:t>
            </w:r>
          </w:p>
        </w:tc>
      </w:tr>
      <w:tr w:rsidR="007653DF" w:rsidRPr="007653DF" w14:paraId="467F11B6" w14:textId="77777777" w:rsidTr="007653DF">
        <w:trPr>
          <w:trHeight w:val="270"/>
        </w:trPr>
        <w:tc>
          <w:tcPr>
            <w:tcW w:w="1080" w:type="dxa"/>
            <w:shd w:val="clear" w:color="000000" w:fill="F2F2F2"/>
            <w:vAlign w:val="center"/>
            <w:hideMark/>
          </w:tcPr>
          <w:p w14:paraId="705855C6"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浙江</w:t>
            </w:r>
          </w:p>
        </w:tc>
        <w:tc>
          <w:tcPr>
            <w:tcW w:w="1080" w:type="dxa"/>
            <w:shd w:val="clear" w:color="auto" w:fill="auto"/>
            <w:vAlign w:val="center"/>
            <w:hideMark/>
          </w:tcPr>
          <w:p w14:paraId="07DF766F" w14:textId="77777777"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139.4</w:t>
            </w:r>
          </w:p>
        </w:tc>
        <w:tc>
          <w:tcPr>
            <w:tcW w:w="1080" w:type="dxa"/>
            <w:shd w:val="clear" w:color="auto" w:fill="auto"/>
            <w:vAlign w:val="center"/>
            <w:hideMark/>
          </w:tcPr>
          <w:p w14:paraId="22CF2A36"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145.8</w:t>
            </w:r>
          </w:p>
        </w:tc>
        <w:tc>
          <w:tcPr>
            <w:tcW w:w="1080" w:type="dxa"/>
            <w:shd w:val="clear" w:color="auto" w:fill="auto"/>
            <w:noWrap/>
            <w:vAlign w:val="center"/>
            <w:hideMark/>
          </w:tcPr>
          <w:p w14:paraId="009321B4" w14:textId="2E9D995D"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6.4</w:t>
            </w:r>
          </w:p>
        </w:tc>
        <w:tc>
          <w:tcPr>
            <w:tcW w:w="1080" w:type="dxa"/>
            <w:shd w:val="clear" w:color="000000" w:fill="F2F2F2"/>
            <w:vAlign w:val="center"/>
            <w:hideMark/>
          </w:tcPr>
          <w:p w14:paraId="27809FD4" w14:textId="77777777" w:rsidR="007653DF" w:rsidRPr="007653DF" w:rsidRDefault="007653DF" w:rsidP="007653DF">
            <w:pPr>
              <w:widowControl/>
              <w:jc w:val="center"/>
              <w:rPr>
                <w:rFonts w:ascii="仿宋_GB2312" w:eastAsia="仿宋_GB2312" w:hAnsi="宋体" w:cs="宋体"/>
                <w:color w:val="000000"/>
                <w:kern w:val="0"/>
                <w:sz w:val="22"/>
              </w:rPr>
            </w:pPr>
            <w:r w:rsidRPr="007653DF">
              <w:rPr>
                <w:rFonts w:ascii="仿宋_GB2312" w:eastAsia="仿宋_GB2312" w:hAnsi="宋体" w:cs="宋体" w:hint="eastAsia"/>
                <w:color w:val="000000"/>
                <w:kern w:val="0"/>
                <w:sz w:val="22"/>
              </w:rPr>
              <w:t>广西</w:t>
            </w:r>
          </w:p>
        </w:tc>
        <w:tc>
          <w:tcPr>
            <w:tcW w:w="1080" w:type="dxa"/>
            <w:shd w:val="clear" w:color="auto" w:fill="auto"/>
            <w:vAlign w:val="center"/>
            <w:hideMark/>
          </w:tcPr>
          <w:p w14:paraId="0C804CA8"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100</w:t>
            </w:r>
          </w:p>
        </w:tc>
        <w:tc>
          <w:tcPr>
            <w:tcW w:w="1080" w:type="dxa"/>
            <w:shd w:val="clear" w:color="auto" w:fill="auto"/>
            <w:vAlign w:val="center"/>
            <w:hideMark/>
          </w:tcPr>
          <w:p w14:paraId="31097055" w14:textId="77777777" w:rsidR="007653DF" w:rsidRPr="007653DF" w:rsidRDefault="007653DF" w:rsidP="007653DF">
            <w:pPr>
              <w:widowControl/>
              <w:jc w:val="center"/>
              <w:rPr>
                <w:rFonts w:ascii="宋体" w:eastAsia="宋体" w:hAnsi="宋体" w:cs="宋体"/>
                <w:color w:val="FF0000"/>
                <w:kern w:val="0"/>
                <w:sz w:val="22"/>
              </w:rPr>
            </w:pPr>
            <w:r w:rsidRPr="007653DF">
              <w:rPr>
                <w:rFonts w:ascii="宋体" w:eastAsia="宋体" w:hAnsi="宋体" w:cs="宋体" w:hint="eastAsia"/>
                <w:color w:val="FF0000"/>
                <w:kern w:val="0"/>
                <w:sz w:val="22"/>
              </w:rPr>
              <w:t>145.5</w:t>
            </w:r>
          </w:p>
        </w:tc>
        <w:tc>
          <w:tcPr>
            <w:tcW w:w="1080" w:type="dxa"/>
            <w:shd w:val="clear" w:color="auto" w:fill="auto"/>
            <w:noWrap/>
            <w:vAlign w:val="center"/>
            <w:hideMark/>
          </w:tcPr>
          <w:p w14:paraId="52273DEA" w14:textId="2347FE12" w:rsidR="007653DF" w:rsidRPr="007653DF" w:rsidRDefault="007653DF" w:rsidP="007653DF">
            <w:pPr>
              <w:widowControl/>
              <w:jc w:val="center"/>
              <w:rPr>
                <w:rFonts w:ascii="宋体" w:eastAsia="宋体" w:hAnsi="宋体" w:cs="宋体"/>
                <w:color w:val="000000"/>
                <w:kern w:val="0"/>
                <w:sz w:val="22"/>
              </w:rPr>
            </w:pPr>
            <w:r w:rsidRPr="007653DF">
              <w:rPr>
                <w:rFonts w:ascii="宋体" w:eastAsia="宋体" w:hAnsi="宋体" w:cs="宋体" w:hint="eastAsia"/>
                <w:color w:val="000000"/>
                <w:kern w:val="0"/>
                <w:sz w:val="22"/>
              </w:rPr>
              <w:t>45.5</w:t>
            </w:r>
          </w:p>
        </w:tc>
      </w:tr>
    </w:tbl>
    <w:p w14:paraId="43FB3854" w14:textId="4576C044" w:rsidR="0094045A" w:rsidRDefault="0094045A" w:rsidP="004E6FD2">
      <w:pPr>
        <w:spacing w:line="360" w:lineRule="auto"/>
        <w:rPr>
          <w:rFonts w:ascii="仿宋_GB2312" w:eastAsia="仿宋_GB2312"/>
          <w:sz w:val="22"/>
        </w:rPr>
      </w:pPr>
    </w:p>
    <w:p w14:paraId="7C73B539" w14:textId="6A748010" w:rsidR="00132BE9" w:rsidRPr="00132BE9" w:rsidRDefault="00132BE9" w:rsidP="00582724">
      <w:pPr>
        <w:spacing w:line="360" w:lineRule="auto"/>
        <w:ind w:firstLineChars="200" w:firstLine="442"/>
        <w:rPr>
          <w:rFonts w:ascii="仿宋_GB2312" w:eastAsia="仿宋_GB2312"/>
          <w:b/>
          <w:sz w:val="22"/>
        </w:rPr>
      </w:pPr>
      <w:r w:rsidRPr="00132BE9">
        <w:rPr>
          <w:rFonts w:ascii="仿宋_GB2312" w:eastAsia="仿宋_GB2312" w:hint="eastAsia"/>
          <w:b/>
          <w:sz w:val="22"/>
        </w:rPr>
        <w:t>二、分类指标</w:t>
      </w:r>
      <w:r w:rsidR="00116AC8">
        <w:rPr>
          <w:rFonts w:ascii="仿宋_GB2312" w:eastAsia="仿宋_GB2312" w:hint="eastAsia"/>
          <w:b/>
          <w:sz w:val="22"/>
        </w:rPr>
        <w:t>表现</w:t>
      </w:r>
    </w:p>
    <w:p w14:paraId="7DFC526D" w14:textId="77777777" w:rsidR="00B71E06" w:rsidRPr="004529EE" w:rsidRDefault="00384695" w:rsidP="00582724">
      <w:pPr>
        <w:spacing w:line="360" w:lineRule="auto"/>
        <w:ind w:firstLineChars="200" w:firstLine="442"/>
        <w:rPr>
          <w:rFonts w:ascii="仿宋_GB2312" w:eastAsia="仿宋_GB2312"/>
          <w:b/>
          <w:sz w:val="22"/>
        </w:rPr>
      </w:pPr>
      <w:r w:rsidRPr="004529EE">
        <w:rPr>
          <w:rFonts w:ascii="仿宋_GB2312" w:eastAsia="仿宋_GB2312" w:hint="eastAsia"/>
          <w:b/>
          <w:sz w:val="22"/>
        </w:rPr>
        <w:t>1</w:t>
      </w:r>
      <w:r w:rsidR="00B71E06" w:rsidRPr="004529EE">
        <w:rPr>
          <w:rFonts w:ascii="仿宋_GB2312" w:eastAsia="仿宋_GB2312" w:hint="eastAsia"/>
          <w:b/>
          <w:sz w:val="22"/>
        </w:rPr>
        <w:t>、产销</w:t>
      </w:r>
      <w:r w:rsidR="001A0DEF" w:rsidRPr="004529EE">
        <w:rPr>
          <w:rFonts w:ascii="仿宋_GB2312" w:eastAsia="仿宋_GB2312" w:hint="eastAsia"/>
          <w:b/>
          <w:sz w:val="22"/>
        </w:rPr>
        <w:t>景气</w:t>
      </w:r>
      <w:r w:rsidR="00132BE9">
        <w:rPr>
          <w:rFonts w:ascii="仿宋_GB2312" w:eastAsia="仿宋_GB2312" w:hint="eastAsia"/>
          <w:b/>
          <w:sz w:val="22"/>
        </w:rPr>
        <w:t>反弹</w:t>
      </w:r>
      <w:r w:rsidR="00714CA9">
        <w:rPr>
          <w:rFonts w:ascii="仿宋_GB2312" w:eastAsia="仿宋_GB2312" w:hint="eastAsia"/>
          <w:b/>
          <w:sz w:val="22"/>
        </w:rPr>
        <w:t>，企业经济效益</w:t>
      </w:r>
      <w:r w:rsidR="00132BE9">
        <w:rPr>
          <w:rFonts w:ascii="仿宋_GB2312" w:eastAsia="仿宋_GB2312" w:hint="eastAsia"/>
          <w:b/>
          <w:sz w:val="22"/>
        </w:rPr>
        <w:t>季节性</w:t>
      </w:r>
      <w:r w:rsidR="00383DA7">
        <w:rPr>
          <w:rFonts w:ascii="仿宋_GB2312" w:eastAsia="仿宋_GB2312" w:hint="eastAsia"/>
          <w:b/>
          <w:sz w:val="22"/>
        </w:rPr>
        <w:t>上升</w:t>
      </w:r>
    </w:p>
    <w:p w14:paraId="53F31037" w14:textId="7810E11C" w:rsidR="006E680E" w:rsidRDefault="00173C84" w:rsidP="00B97F11">
      <w:pPr>
        <w:spacing w:line="360" w:lineRule="auto"/>
        <w:ind w:firstLineChars="200" w:firstLine="440"/>
        <w:rPr>
          <w:rFonts w:ascii="仿宋_GB2312" w:eastAsia="仿宋_GB2312"/>
          <w:sz w:val="22"/>
        </w:rPr>
      </w:pPr>
      <w:r w:rsidRPr="00173C84">
        <w:rPr>
          <w:rFonts w:ascii="仿宋_GB2312" w:eastAsia="仿宋_GB2312" w:hint="eastAsia"/>
          <w:sz w:val="22"/>
        </w:rPr>
        <w:t>二季度</w:t>
      </w:r>
      <w:r>
        <w:rPr>
          <w:rFonts w:ascii="仿宋_GB2312" w:eastAsia="仿宋_GB2312" w:hint="eastAsia"/>
          <w:sz w:val="22"/>
        </w:rPr>
        <w:t>，</w:t>
      </w:r>
      <w:r w:rsidR="0094484D">
        <w:rPr>
          <w:rFonts w:ascii="仿宋_GB2312" w:eastAsia="仿宋_GB2312" w:hint="eastAsia"/>
          <w:sz w:val="22"/>
        </w:rPr>
        <w:t>战略性新兴产业企业生产景气状况</w:t>
      </w:r>
      <w:r w:rsidRPr="00173C84">
        <w:rPr>
          <w:rFonts w:ascii="仿宋_GB2312" w:eastAsia="仿宋_GB2312" w:hint="eastAsia"/>
          <w:sz w:val="22"/>
        </w:rPr>
        <w:t>反弹</w:t>
      </w:r>
      <w:r w:rsidR="007359D7">
        <w:rPr>
          <w:rFonts w:ascii="仿宋_GB2312" w:eastAsia="仿宋_GB2312" w:hint="eastAsia"/>
          <w:sz w:val="22"/>
        </w:rPr>
        <w:t>，</w:t>
      </w:r>
      <w:r w:rsidR="00FE309E" w:rsidRPr="00FE309E">
        <w:rPr>
          <w:rFonts w:ascii="仿宋_GB2312" w:eastAsia="仿宋_GB2312" w:hint="eastAsia"/>
          <w:sz w:val="22"/>
        </w:rPr>
        <w:t>生产指标</w:t>
      </w:r>
      <w:r w:rsidR="00FE309E">
        <w:rPr>
          <w:rFonts w:ascii="仿宋_GB2312" w:eastAsia="仿宋_GB2312" w:hint="eastAsia"/>
          <w:sz w:val="22"/>
        </w:rPr>
        <w:t>由上季度的</w:t>
      </w:r>
      <w:r w:rsidR="00D83337">
        <w:rPr>
          <w:rFonts w:ascii="仿宋_GB2312" w:eastAsia="仿宋_GB2312" w:hint="eastAsia"/>
          <w:sz w:val="22"/>
        </w:rPr>
        <w:t>107.7上升</w:t>
      </w:r>
      <w:r w:rsidR="00FE309E">
        <w:rPr>
          <w:rFonts w:ascii="仿宋_GB2312" w:eastAsia="仿宋_GB2312" w:hint="eastAsia"/>
          <w:sz w:val="22"/>
        </w:rPr>
        <w:t>至</w:t>
      </w:r>
      <w:r w:rsidR="00D83337">
        <w:rPr>
          <w:rFonts w:ascii="仿宋_GB2312" w:eastAsia="仿宋_GB2312" w:hint="eastAsia"/>
          <w:sz w:val="22"/>
        </w:rPr>
        <w:t>123.5</w:t>
      </w:r>
      <w:r w:rsidR="008A1ABD">
        <w:rPr>
          <w:rFonts w:ascii="仿宋_GB2312" w:eastAsia="仿宋_GB2312" w:hint="eastAsia"/>
          <w:sz w:val="22"/>
        </w:rPr>
        <w:t>（</w:t>
      </w:r>
      <w:r w:rsidR="00137AE2">
        <w:rPr>
          <w:rFonts w:ascii="仿宋_GB2312" w:eastAsia="仿宋_GB2312" w:hint="eastAsia"/>
          <w:sz w:val="22"/>
        </w:rPr>
        <w:t>见图</w:t>
      </w:r>
      <w:r w:rsidR="00F80580">
        <w:rPr>
          <w:rFonts w:ascii="仿宋_GB2312" w:eastAsia="仿宋_GB2312" w:hint="eastAsia"/>
          <w:sz w:val="22"/>
        </w:rPr>
        <w:t>2</w:t>
      </w:r>
      <w:r w:rsidR="008A1ABD">
        <w:rPr>
          <w:rFonts w:ascii="仿宋_GB2312" w:eastAsia="仿宋_GB2312" w:hint="eastAsia"/>
          <w:sz w:val="22"/>
        </w:rPr>
        <w:t>）</w:t>
      </w:r>
      <w:r w:rsidR="00FE309E">
        <w:rPr>
          <w:rFonts w:ascii="仿宋_GB2312" w:eastAsia="仿宋_GB2312" w:hint="eastAsia"/>
          <w:sz w:val="22"/>
        </w:rPr>
        <w:t>，</w:t>
      </w:r>
      <w:r>
        <w:rPr>
          <w:rFonts w:ascii="仿宋_GB2312" w:eastAsia="仿宋_GB2312" w:hint="eastAsia"/>
          <w:sz w:val="22"/>
        </w:rPr>
        <w:t>处于近四个季度的高点，但低于去年同期</w:t>
      </w:r>
      <w:r w:rsidR="00E2605F">
        <w:rPr>
          <w:rFonts w:ascii="仿宋_GB2312" w:eastAsia="仿宋_GB2312" w:hint="eastAsia"/>
          <w:sz w:val="22"/>
        </w:rPr>
        <w:t>129.1的水平</w:t>
      </w:r>
      <w:r w:rsidR="000B5E37">
        <w:rPr>
          <w:rFonts w:ascii="仿宋_GB2312" w:eastAsia="仿宋_GB2312" w:hint="eastAsia"/>
          <w:sz w:val="22"/>
        </w:rPr>
        <w:t>。从主要生产指标来看，</w:t>
      </w:r>
      <w:r w:rsidR="008A1ABD">
        <w:rPr>
          <w:rFonts w:ascii="仿宋_GB2312" w:eastAsia="仿宋_GB2312" w:hint="eastAsia"/>
          <w:sz w:val="22"/>
        </w:rPr>
        <w:t>用工景气指数</w:t>
      </w:r>
      <w:r w:rsidR="00E2605F">
        <w:rPr>
          <w:rFonts w:ascii="仿宋_GB2312" w:eastAsia="仿宋_GB2312" w:hint="eastAsia"/>
          <w:sz w:val="22"/>
        </w:rPr>
        <w:t>和设备利用率指数都出现不同程度的反弹，前者</w:t>
      </w:r>
      <w:r w:rsidR="00300259">
        <w:rPr>
          <w:rFonts w:ascii="仿宋_GB2312" w:eastAsia="仿宋_GB2312" w:hint="eastAsia"/>
          <w:sz w:val="22"/>
        </w:rPr>
        <w:t>由上季度的</w:t>
      </w:r>
      <w:r w:rsidR="00BE58EB">
        <w:rPr>
          <w:rFonts w:ascii="仿宋_GB2312" w:eastAsia="仿宋_GB2312" w:hint="eastAsia"/>
          <w:sz w:val="22"/>
        </w:rPr>
        <w:t>107.2</w:t>
      </w:r>
      <w:r w:rsidR="00E2605F">
        <w:rPr>
          <w:rFonts w:ascii="仿宋_GB2312" w:eastAsia="仿宋_GB2312" w:hint="eastAsia"/>
          <w:sz w:val="22"/>
        </w:rPr>
        <w:t>回升</w:t>
      </w:r>
      <w:r w:rsidR="008A1ABD">
        <w:rPr>
          <w:rFonts w:ascii="仿宋_GB2312" w:eastAsia="仿宋_GB2312" w:hint="eastAsia"/>
          <w:sz w:val="22"/>
        </w:rPr>
        <w:t>至</w:t>
      </w:r>
      <w:r w:rsidR="00BE58EB">
        <w:rPr>
          <w:rFonts w:ascii="仿宋_GB2312" w:eastAsia="仿宋_GB2312" w:hint="eastAsia"/>
          <w:sz w:val="22"/>
        </w:rPr>
        <w:t>127.5</w:t>
      </w:r>
      <w:r w:rsidR="008A1ABD">
        <w:rPr>
          <w:rFonts w:ascii="仿宋_GB2312" w:eastAsia="仿宋_GB2312" w:hint="eastAsia"/>
          <w:sz w:val="22"/>
        </w:rPr>
        <w:t>（</w:t>
      </w:r>
      <w:r w:rsidR="00137AE2">
        <w:rPr>
          <w:rFonts w:ascii="仿宋_GB2312" w:eastAsia="仿宋_GB2312" w:hint="eastAsia"/>
          <w:sz w:val="22"/>
        </w:rPr>
        <w:t>见图</w:t>
      </w:r>
      <w:r w:rsidR="00F80580">
        <w:rPr>
          <w:rFonts w:ascii="仿宋_GB2312" w:eastAsia="仿宋_GB2312" w:hint="eastAsia"/>
          <w:sz w:val="22"/>
        </w:rPr>
        <w:t>3</w:t>
      </w:r>
      <w:r w:rsidR="008A1ABD">
        <w:rPr>
          <w:rFonts w:ascii="仿宋_GB2312" w:eastAsia="仿宋_GB2312" w:hint="eastAsia"/>
          <w:sz w:val="22"/>
        </w:rPr>
        <w:t>），</w:t>
      </w:r>
      <w:r w:rsidR="00E2605F">
        <w:rPr>
          <w:rFonts w:ascii="仿宋_GB2312" w:eastAsia="仿宋_GB2312" w:hint="eastAsia"/>
          <w:sz w:val="22"/>
        </w:rPr>
        <w:t>后者</w:t>
      </w:r>
      <w:r w:rsidR="00300259">
        <w:rPr>
          <w:rFonts w:ascii="仿宋_GB2312" w:eastAsia="仿宋_GB2312" w:hint="eastAsia"/>
          <w:sz w:val="22"/>
        </w:rPr>
        <w:t>由上季度的</w:t>
      </w:r>
      <w:r w:rsidR="00BE58EB">
        <w:rPr>
          <w:rFonts w:ascii="仿宋_GB2312" w:eastAsia="仿宋_GB2312" w:hint="eastAsia"/>
          <w:sz w:val="22"/>
        </w:rPr>
        <w:t>115回升</w:t>
      </w:r>
      <w:r w:rsidR="008A1ABD">
        <w:rPr>
          <w:rFonts w:ascii="仿宋_GB2312" w:eastAsia="仿宋_GB2312" w:hint="eastAsia"/>
          <w:sz w:val="22"/>
        </w:rPr>
        <w:t>至</w:t>
      </w:r>
      <w:r w:rsidR="00BE58EB">
        <w:rPr>
          <w:rFonts w:ascii="仿宋_GB2312" w:eastAsia="仿宋_GB2312" w:hint="eastAsia"/>
          <w:sz w:val="22"/>
        </w:rPr>
        <w:t>137.2</w:t>
      </w:r>
      <w:r w:rsidR="008A1ABD">
        <w:rPr>
          <w:rFonts w:ascii="仿宋_GB2312" w:eastAsia="仿宋_GB2312" w:hint="eastAsia"/>
          <w:sz w:val="22"/>
        </w:rPr>
        <w:t>，</w:t>
      </w:r>
      <w:r w:rsidR="00A53CD9">
        <w:rPr>
          <w:rFonts w:ascii="仿宋_GB2312" w:eastAsia="仿宋_GB2312" w:hint="eastAsia"/>
          <w:sz w:val="22"/>
        </w:rPr>
        <w:t>二者均</w:t>
      </w:r>
      <w:r w:rsidR="00332A1A">
        <w:rPr>
          <w:rFonts w:ascii="仿宋_GB2312" w:eastAsia="仿宋_GB2312" w:hint="eastAsia"/>
          <w:sz w:val="22"/>
        </w:rPr>
        <w:t>处于</w:t>
      </w:r>
      <w:r w:rsidR="00BE58EB">
        <w:rPr>
          <w:rFonts w:ascii="仿宋_GB2312" w:eastAsia="仿宋_GB2312" w:hint="eastAsia"/>
          <w:sz w:val="22"/>
        </w:rPr>
        <w:t>较为</w:t>
      </w:r>
      <w:r w:rsidR="00332A1A">
        <w:rPr>
          <w:rFonts w:ascii="仿宋_GB2312" w:eastAsia="仿宋_GB2312" w:hint="eastAsia"/>
          <w:sz w:val="22"/>
        </w:rPr>
        <w:t>景气水平；</w:t>
      </w:r>
      <w:r w:rsidR="008A1ABD">
        <w:rPr>
          <w:rFonts w:ascii="仿宋_GB2312" w:eastAsia="仿宋_GB2312" w:hint="eastAsia"/>
          <w:sz w:val="22"/>
        </w:rPr>
        <w:t>库存指数</w:t>
      </w:r>
      <w:r w:rsidR="00F24765">
        <w:rPr>
          <w:rFonts w:ascii="仿宋_GB2312" w:eastAsia="仿宋_GB2312" w:hint="eastAsia"/>
          <w:sz w:val="22"/>
        </w:rPr>
        <w:t>波动较小，自2014年以来一直在100上下浮动，二季度库存指数</w:t>
      </w:r>
      <w:r w:rsidR="001B46DB">
        <w:rPr>
          <w:rFonts w:ascii="仿宋_GB2312" w:eastAsia="仿宋_GB2312" w:hint="eastAsia"/>
          <w:sz w:val="22"/>
        </w:rPr>
        <w:t>较一季度下降1.2个单位，降至</w:t>
      </w:r>
      <w:r w:rsidR="00F24765">
        <w:rPr>
          <w:rFonts w:ascii="仿宋_GB2312" w:eastAsia="仿宋_GB2312" w:hint="eastAsia"/>
          <w:sz w:val="22"/>
        </w:rPr>
        <w:t>97.5</w:t>
      </w:r>
      <w:r w:rsidR="006E680E">
        <w:rPr>
          <w:rFonts w:ascii="仿宋_GB2312" w:eastAsia="仿宋_GB2312" w:hint="eastAsia"/>
          <w:sz w:val="22"/>
        </w:rPr>
        <w:t>。总体来看，各生产指标的走势与季节性</w:t>
      </w:r>
      <w:r w:rsidR="00235225">
        <w:rPr>
          <w:rFonts w:ascii="仿宋_GB2312" w:eastAsia="仿宋_GB2312" w:hint="eastAsia"/>
          <w:sz w:val="22"/>
        </w:rPr>
        <w:t>回升</w:t>
      </w:r>
      <w:r w:rsidR="00E2605F">
        <w:rPr>
          <w:rFonts w:ascii="仿宋_GB2312" w:eastAsia="仿宋_GB2312" w:hint="eastAsia"/>
          <w:sz w:val="22"/>
        </w:rPr>
        <w:t>基本</w:t>
      </w:r>
      <w:r w:rsidR="006E680E">
        <w:rPr>
          <w:rFonts w:ascii="仿宋_GB2312" w:eastAsia="仿宋_GB2312" w:hint="eastAsia"/>
          <w:sz w:val="22"/>
        </w:rPr>
        <w:t>相符</w:t>
      </w:r>
      <w:r w:rsidR="00B97F11">
        <w:rPr>
          <w:rFonts w:ascii="仿宋_GB2312" w:eastAsia="仿宋_GB2312" w:hint="eastAsia"/>
          <w:sz w:val="22"/>
        </w:rPr>
        <w:t>，但</w:t>
      </w:r>
      <w:r w:rsidR="00E2605F">
        <w:rPr>
          <w:rFonts w:ascii="仿宋_GB2312" w:eastAsia="仿宋_GB2312" w:hint="eastAsia"/>
          <w:sz w:val="22"/>
        </w:rPr>
        <w:t>均</w:t>
      </w:r>
      <w:r w:rsidR="00C622C6">
        <w:rPr>
          <w:rFonts w:ascii="仿宋_GB2312" w:eastAsia="仿宋_GB2312" w:hint="eastAsia"/>
          <w:sz w:val="22"/>
        </w:rPr>
        <w:t>低于</w:t>
      </w:r>
      <w:r w:rsidR="00B97F11">
        <w:rPr>
          <w:rFonts w:ascii="仿宋_GB2312" w:eastAsia="仿宋_GB2312" w:hint="eastAsia"/>
          <w:sz w:val="22"/>
        </w:rPr>
        <w:t>去年同期</w:t>
      </w:r>
      <w:r w:rsidR="00C622C6">
        <w:rPr>
          <w:rFonts w:ascii="仿宋_GB2312" w:eastAsia="仿宋_GB2312" w:hint="eastAsia"/>
          <w:sz w:val="22"/>
        </w:rPr>
        <w:t>水平</w:t>
      </w:r>
      <w:r w:rsidR="00B97F11">
        <w:rPr>
          <w:rFonts w:ascii="仿宋_GB2312" w:eastAsia="仿宋_GB2312" w:hint="eastAsia"/>
          <w:sz w:val="22"/>
        </w:rPr>
        <w:t>。</w:t>
      </w:r>
    </w:p>
    <w:p w14:paraId="2EC1E81F" w14:textId="77777777" w:rsidR="00FE309E" w:rsidRPr="00F47708" w:rsidRDefault="00FE2C6E" w:rsidP="00FE2C6E">
      <w:pPr>
        <w:spacing w:line="360" w:lineRule="auto"/>
        <w:jc w:val="center"/>
        <w:rPr>
          <w:rFonts w:ascii="仿宋_GB2312" w:eastAsia="仿宋_GB2312"/>
          <w:sz w:val="22"/>
          <w:highlight w:val="lightGray"/>
        </w:rPr>
      </w:pPr>
      <w:r>
        <w:rPr>
          <w:noProof/>
        </w:rPr>
        <w:lastRenderedPageBreak/>
        <w:drawing>
          <wp:inline distT="0" distB="0" distL="0" distR="0" wp14:anchorId="599C617C" wp14:editId="5F54C30A">
            <wp:extent cx="5219700" cy="216217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F2B471" w14:textId="4EA175C0" w:rsidR="007163AE" w:rsidRDefault="007163AE" w:rsidP="007163AE">
      <w:pPr>
        <w:spacing w:line="360" w:lineRule="auto"/>
        <w:jc w:val="center"/>
        <w:rPr>
          <w:rFonts w:asciiTheme="minorEastAsia" w:hAnsiTheme="minorEastAsia"/>
          <w:sz w:val="20"/>
        </w:rPr>
      </w:pPr>
      <w:r w:rsidRPr="00FE309E">
        <w:rPr>
          <w:rFonts w:asciiTheme="minorEastAsia" w:hAnsiTheme="minorEastAsia" w:hint="eastAsia"/>
          <w:sz w:val="20"/>
        </w:rPr>
        <w:t>图</w:t>
      </w:r>
      <w:r w:rsidR="00F80580">
        <w:rPr>
          <w:rFonts w:asciiTheme="minorEastAsia" w:hAnsiTheme="minorEastAsia" w:hint="eastAsia"/>
          <w:sz w:val="20"/>
        </w:rPr>
        <w:t>2</w:t>
      </w:r>
      <w:r w:rsidR="005B6FC9" w:rsidRPr="00FE309E">
        <w:rPr>
          <w:rFonts w:asciiTheme="minorEastAsia" w:hAnsiTheme="minorEastAsia" w:hint="eastAsia"/>
          <w:sz w:val="20"/>
        </w:rPr>
        <w:t xml:space="preserve"> 2014年以来</w:t>
      </w:r>
      <w:r w:rsidRPr="00FE309E">
        <w:rPr>
          <w:rFonts w:asciiTheme="minorEastAsia" w:hAnsiTheme="minorEastAsia" w:hint="eastAsia"/>
          <w:sz w:val="20"/>
        </w:rPr>
        <w:t>战略性新兴产业生产</w:t>
      </w:r>
      <w:r w:rsidR="00110ECE" w:rsidRPr="00FE309E">
        <w:rPr>
          <w:rFonts w:asciiTheme="minorEastAsia" w:hAnsiTheme="minorEastAsia" w:hint="eastAsia"/>
          <w:sz w:val="20"/>
        </w:rPr>
        <w:t>景气</w:t>
      </w:r>
      <w:r w:rsidRPr="00FE309E">
        <w:rPr>
          <w:rFonts w:asciiTheme="minorEastAsia" w:hAnsiTheme="minorEastAsia" w:hint="eastAsia"/>
          <w:sz w:val="20"/>
        </w:rPr>
        <w:t>总指数</w:t>
      </w:r>
    </w:p>
    <w:p w14:paraId="7D014251" w14:textId="77777777" w:rsidR="005A5012" w:rsidRDefault="005A5012" w:rsidP="007163AE">
      <w:pPr>
        <w:spacing w:line="360" w:lineRule="auto"/>
        <w:jc w:val="center"/>
        <w:rPr>
          <w:rFonts w:asciiTheme="minorEastAsia" w:hAnsiTheme="minorEastAsia"/>
          <w:sz w:val="20"/>
        </w:rPr>
      </w:pPr>
    </w:p>
    <w:p w14:paraId="345A1384" w14:textId="77777777" w:rsidR="005A5012" w:rsidRPr="00FE309E" w:rsidRDefault="00FE2C6E" w:rsidP="007163AE">
      <w:pPr>
        <w:spacing w:line="360" w:lineRule="auto"/>
        <w:jc w:val="center"/>
        <w:rPr>
          <w:rFonts w:ascii="仿宋_GB2312" w:eastAsia="仿宋_GB2312"/>
          <w:sz w:val="22"/>
        </w:rPr>
      </w:pPr>
      <w:r>
        <w:rPr>
          <w:noProof/>
        </w:rPr>
        <w:drawing>
          <wp:inline distT="0" distB="0" distL="0" distR="0" wp14:anchorId="51CB2D2D" wp14:editId="7A90E951">
            <wp:extent cx="5200650" cy="22098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AB6C9E" w14:textId="15E5217D" w:rsidR="007163AE" w:rsidRDefault="00110ECE" w:rsidP="00110ECE">
      <w:pPr>
        <w:spacing w:line="360" w:lineRule="auto"/>
        <w:jc w:val="center"/>
        <w:rPr>
          <w:rFonts w:asciiTheme="minorEastAsia" w:hAnsiTheme="minorEastAsia"/>
          <w:sz w:val="20"/>
        </w:rPr>
      </w:pPr>
      <w:r w:rsidRPr="005A5012">
        <w:rPr>
          <w:rFonts w:asciiTheme="minorEastAsia" w:hAnsiTheme="minorEastAsia" w:hint="eastAsia"/>
          <w:sz w:val="20"/>
        </w:rPr>
        <w:t>图</w:t>
      </w:r>
      <w:r w:rsidR="00F80580">
        <w:rPr>
          <w:rFonts w:asciiTheme="minorEastAsia" w:hAnsiTheme="minorEastAsia" w:hint="eastAsia"/>
          <w:sz w:val="20"/>
        </w:rPr>
        <w:t>3</w:t>
      </w:r>
      <w:r w:rsidRPr="005A5012">
        <w:rPr>
          <w:rFonts w:asciiTheme="minorEastAsia" w:hAnsiTheme="minorEastAsia" w:hint="eastAsia"/>
          <w:sz w:val="20"/>
        </w:rPr>
        <w:t xml:space="preserve"> </w:t>
      </w:r>
      <w:r w:rsidR="005A5012">
        <w:rPr>
          <w:rFonts w:asciiTheme="minorEastAsia" w:hAnsiTheme="minorEastAsia" w:hint="eastAsia"/>
          <w:sz w:val="20"/>
        </w:rPr>
        <w:t>2014</w:t>
      </w:r>
      <w:r w:rsidR="005B6FC9" w:rsidRPr="005A5012">
        <w:rPr>
          <w:rFonts w:asciiTheme="minorEastAsia" w:hAnsiTheme="minorEastAsia" w:hint="eastAsia"/>
          <w:sz w:val="20"/>
        </w:rPr>
        <w:t>年以来</w:t>
      </w:r>
      <w:r w:rsidRPr="005A5012">
        <w:rPr>
          <w:rFonts w:asciiTheme="minorEastAsia" w:hAnsiTheme="minorEastAsia" w:hint="eastAsia"/>
          <w:sz w:val="20"/>
        </w:rPr>
        <w:t>战略性新兴产业生产类景气指标</w:t>
      </w:r>
    </w:p>
    <w:p w14:paraId="1172D60C" w14:textId="77777777" w:rsidR="00F10561" w:rsidRPr="005A5012" w:rsidRDefault="00F10561" w:rsidP="00110ECE">
      <w:pPr>
        <w:spacing w:line="360" w:lineRule="auto"/>
        <w:jc w:val="center"/>
        <w:rPr>
          <w:rFonts w:asciiTheme="minorEastAsia" w:hAnsiTheme="minorEastAsia"/>
          <w:sz w:val="20"/>
        </w:rPr>
      </w:pPr>
    </w:p>
    <w:p w14:paraId="7D8A4C85" w14:textId="1CF4A9D1" w:rsidR="00FF0418" w:rsidRDefault="004D0CF8" w:rsidP="00582724">
      <w:pPr>
        <w:spacing w:line="360" w:lineRule="auto"/>
        <w:ind w:firstLineChars="200" w:firstLine="440"/>
        <w:rPr>
          <w:rFonts w:ascii="仿宋_GB2312" w:eastAsia="仿宋_GB2312"/>
          <w:sz w:val="22"/>
        </w:rPr>
      </w:pPr>
      <w:r>
        <w:rPr>
          <w:rFonts w:ascii="仿宋_GB2312" w:eastAsia="仿宋_GB2312" w:hint="eastAsia"/>
          <w:sz w:val="22"/>
        </w:rPr>
        <w:t>受季节性回升影响，</w:t>
      </w:r>
      <w:r w:rsidR="00E2605F">
        <w:rPr>
          <w:rFonts w:ascii="仿宋_GB2312" w:eastAsia="仿宋_GB2312" w:hint="eastAsia"/>
          <w:sz w:val="22"/>
        </w:rPr>
        <w:t>销售情况同样出现</w:t>
      </w:r>
      <w:r>
        <w:rPr>
          <w:rFonts w:ascii="仿宋_GB2312" w:eastAsia="仿宋_GB2312" w:hint="eastAsia"/>
          <w:sz w:val="22"/>
        </w:rPr>
        <w:t>反弹</w:t>
      </w:r>
      <w:r w:rsidR="00E2605F">
        <w:rPr>
          <w:rFonts w:ascii="仿宋_GB2312" w:eastAsia="仿宋_GB2312" w:hint="eastAsia"/>
          <w:sz w:val="22"/>
        </w:rPr>
        <w:t>，</w:t>
      </w:r>
      <w:r w:rsidR="00E93181">
        <w:rPr>
          <w:rFonts w:ascii="仿宋_GB2312" w:eastAsia="仿宋_GB2312" w:hint="eastAsia"/>
          <w:sz w:val="22"/>
        </w:rPr>
        <w:t>二季度</w:t>
      </w:r>
      <w:r w:rsidR="001A068E">
        <w:rPr>
          <w:rFonts w:ascii="仿宋_GB2312" w:eastAsia="仿宋_GB2312" w:hint="eastAsia"/>
          <w:sz w:val="22"/>
        </w:rPr>
        <w:t>战略性新兴产业</w:t>
      </w:r>
      <w:r w:rsidR="0067589E" w:rsidRPr="0067589E">
        <w:rPr>
          <w:rFonts w:ascii="仿宋_GB2312" w:eastAsia="仿宋_GB2312"/>
          <w:sz w:val="22"/>
        </w:rPr>
        <w:t>销售</w:t>
      </w:r>
      <w:r w:rsidR="0067589E">
        <w:rPr>
          <w:rFonts w:ascii="仿宋_GB2312" w:eastAsia="仿宋_GB2312"/>
          <w:sz w:val="22"/>
        </w:rPr>
        <w:t>总指数</w:t>
      </w:r>
      <w:r>
        <w:rPr>
          <w:rFonts w:ascii="仿宋_GB2312" w:eastAsia="仿宋_GB2312" w:hint="eastAsia"/>
          <w:sz w:val="22"/>
        </w:rPr>
        <w:t>上升</w:t>
      </w:r>
      <w:r w:rsidR="00E93181">
        <w:rPr>
          <w:rFonts w:ascii="仿宋_GB2312" w:eastAsia="仿宋_GB2312" w:hint="eastAsia"/>
          <w:sz w:val="22"/>
        </w:rPr>
        <w:t>至133.2</w:t>
      </w:r>
      <w:r w:rsidR="00137AE2">
        <w:rPr>
          <w:rFonts w:ascii="仿宋_GB2312" w:eastAsia="仿宋_GB2312" w:hint="eastAsia"/>
          <w:sz w:val="22"/>
        </w:rPr>
        <w:t>（见图</w:t>
      </w:r>
      <w:r w:rsidR="00F80580">
        <w:rPr>
          <w:rFonts w:ascii="仿宋_GB2312" w:eastAsia="仿宋_GB2312" w:hint="eastAsia"/>
          <w:sz w:val="22"/>
        </w:rPr>
        <w:t>4</w:t>
      </w:r>
      <w:r w:rsidR="00137AE2">
        <w:rPr>
          <w:rFonts w:ascii="仿宋_GB2312" w:eastAsia="仿宋_GB2312" w:hint="eastAsia"/>
          <w:sz w:val="22"/>
        </w:rPr>
        <w:t>），</w:t>
      </w:r>
      <w:r>
        <w:rPr>
          <w:rFonts w:ascii="仿宋_GB2312" w:eastAsia="仿宋_GB2312" w:hint="eastAsia"/>
          <w:sz w:val="22"/>
        </w:rPr>
        <w:t>重返较为景气区间</w:t>
      </w:r>
      <w:r w:rsidR="00CC0889">
        <w:rPr>
          <w:rFonts w:ascii="仿宋_GB2312" w:eastAsia="仿宋_GB2312" w:hint="eastAsia"/>
          <w:sz w:val="22"/>
        </w:rPr>
        <w:t>，但</w:t>
      </w:r>
      <w:r w:rsidR="00100842">
        <w:rPr>
          <w:rFonts w:ascii="仿宋_GB2312" w:eastAsia="仿宋_GB2312" w:hint="eastAsia"/>
          <w:sz w:val="22"/>
        </w:rPr>
        <w:t>仍</w:t>
      </w:r>
      <w:r w:rsidR="00CC0889">
        <w:rPr>
          <w:rFonts w:ascii="仿宋_GB2312" w:eastAsia="仿宋_GB2312" w:hint="eastAsia"/>
          <w:sz w:val="22"/>
        </w:rPr>
        <w:t>低于去年同期141.2的水平</w:t>
      </w:r>
      <w:r w:rsidR="00137AE2">
        <w:rPr>
          <w:rFonts w:ascii="仿宋_GB2312" w:eastAsia="仿宋_GB2312" w:hint="eastAsia"/>
          <w:sz w:val="22"/>
        </w:rPr>
        <w:t>。</w:t>
      </w:r>
      <w:r w:rsidR="00D83E9D">
        <w:rPr>
          <w:rFonts w:ascii="仿宋_GB2312" w:eastAsia="仿宋_GB2312" w:hint="eastAsia"/>
          <w:sz w:val="22"/>
        </w:rPr>
        <w:t>从主要销售指标来看，各分项指标均有不同程度</w:t>
      </w:r>
      <w:r w:rsidR="00383DA7">
        <w:rPr>
          <w:rFonts w:ascii="仿宋_GB2312" w:eastAsia="仿宋_GB2312" w:hint="eastAsia"/>
          <w:sz w:val="22"/>
        </w:rPr>
        <w:t>季节性</w:t>
      </w:r>
      <w:r w:rsidR="00FF0418">
        <w:rPr>
          <w:rFonts w:ascii="仿宋_GB2312" w:eastAsia="仿宋_GB2312" w:hint="eastAsia"/>
          <w:sz w:val="22"/>
        </w:rPr>
        <w:t>回升</w:t>
      </w:r>
      <w:r w:rsidR="00D83E9D">
        <w:rPr>
          <w:rFonts w:ascii="仿宋_GB2312" w:eastAsia="仿宋_GB2312" w:hint="eastAsia"/>
          <w:sz w:val="22"/>
        </w:rPr>
        <w:t>。其中，</w:t>
      </w:r>
      <w:r w:rsidR="00FF0418">
        <w:rPr>
          <w:rFonts w:ascii="仿宋_GB2312" w:eastAsia="仿宋_GB2312" w:hint="eastAsia"/>
          <w:sz w:val="22"/>
        </w:rPr>
        <w:t>订单指数上升程度最明显，</w:t>
      </w:r>
      <w:r w:rsidR="009A39A2">
        <w:rPr>
          <w:rFonts w:ascii="仿宋_GB2312" w:eastAsia="仿宋_GB2312" w:hint="eastAsia"/>
          <w:sz w:val="22"/>
        </w:rPr>
        <w:t>由104.3</w:t>
      </w:r>
      <w:r w:rsidR="00FF0418">
        <w:rPr>
          <w:rFonts w:ascii="仿宋_GB2312" w:eastAsia="仿宋_GB2312" w:hint="eastAsia"/>
          <w:sz w:val="22"/>
        </w:rPr>
        <w:t>回升</w:t>
      </w:r>
      <w:r w:rsidR="00181451">
        <w:rPr>
          <w:rFonts w:ascii="仿宋_GB2312" w:eastAsia="仿宋_GB2312" w:hint="eastAsia"/>
          <w:sz w:val="22"/>
        </w:rPr>
        <w:t>至</w:t>
      </w:r>
      <w:r w:rsidR="00FF0418">
        <w:rPr>
          <w:rFonts w:ascii="仿宋_GB2312" w:eastAsia="仿宋_GB2312" w:hint="eastAsia"/>
          <w:sz w:val="22"/>
        </w:rPr>
        <w:t>144.3</w:t>
      </w:r>
      <w:r w:rsidR="009A39A2">
        <w:rPr>
          <w:rFonts w:ascii="仿宋_GB2312" w:eastAsia="仿宋_GB2312" w:hint="eastAsia"/>
          <w:sz w:val="22"/>
        </w:rPr>
        <w:t>，盈亏指数由116.7回升至141.4，市场需求指数由121.5回升至133.3，三者均处于较为景气区间，企业经营效益</w:t>
      </w:r>
      <w:r w:rsidR="00383DA7">
        <w:rPr>
          <w:rFonts w:ascii="仿宋_GB2312" w:eastAsia="仿宋_GB2312" w:hint="eastAsia"/>
          <w:sz w:val="22"/>
        </w:rPr>
        <w:t>季节性上升</w:t>
      </w:r>
      <w:r w:rsidR="009A39A2">
        <w:rPr>
          <w:rFonts w:ascii="仿宋_GB2312" w:eastAsia="仿宋_GB2312" w:hint="eastAsia"/>
          <w:sz w:val="22"/>
        </w:rPr>
        <w:t>。</w:t>
      </w:r>
      <w:r w:rsidR="0087193F">
        <w:rPr>
          <w:rFonts w:ascii="仿宋_GB2312" w:eastAsia="仿宋_GB2312" w:hint="eastAsia"/>
          <w:sz w:val="22"/>
        </w:rPr>
        <w:t>然而，销售价格指数依然较弱，由一季度的101.5略微上升至102，</w:t>
      </w:r>
      <w:r w:rsidR="00650EFD">
        <w:rPr>
          <w:rFonts w:ascii="仿宋_GB2312" w:eastAsia="仿宋_GB2312" w:hint="eastAsia"/>
          <w:sz w:val="22"/>
        </w:rPr>
        <w:t>表明</w:t>
      </w:r>
      <w:r w:rsidR="0087193F">
        <w:rPr>
          <w:rFonts w:ascii="仿宋_GB2312" w:eastAsia="仿宋_GB2312" w:hint="eastAsia"/>
          <w:sz w:val="22"/>
        </w:rPr>
        <w:t>市场</w:t>
      </w:r>
      <w:r w:rsidR="00EB463B">
        <w:rPr>
          <w:rFonts w:ascii="仿宋_GB2312" w:eastAsia="仿宋_GB2312" w:hint="eastAsia"/>
          <w:sz w:val="22"/>
        </w:rPr>
        <w:t>仍处于</w:t>
      </w:r>
      <w:r w:rsidR="0087193F">
        <w:rPr>
          <w:rFonts w:ascii="仿宋_GB2312" w:eastAsia="仿宋_GB2312" w:hint="eastAsia"/>
          <w:sz w:val="22"/>
        </w:rPr>
        <w:t>供过于求</w:t>
      </w:r>
      <w:r w:rsidR="00EB463B">
        <w:rPr>
          <w:rFonts w:ascii="仿宋_GB2312" w:eastAsia="仿宋_GB2312" w:hint="eastAsia"/>
          <w:sz w:val="22"/>
        </w:rPr>
        <w:t>的状态</w:t>
      </w:r>
      <w:r w:rsidR="0087193F">
        <w:rPr>
          <w:rFonts w:ascii="仿宋_GB2312" w:eastAsia="仿宋_GB2312" w:hint="eastAsia"/>
          <w:sz w:val="22"/>
        </w:rPr>
        <w:t>。</w:t>
      </w:r>
    </w:p>
    <w:p w14:paraId="3DA67311" w14:textId="77777777" w:rsidR="009F742D" w:rsidRPr="00F47708" w:rsidRDefault="00FE2C6E" w:rsidP="00FE2C6E">
      <w:pPr>
        <w:spacing w:line="360" w:lineRule="auto"/>
        <w:jc w:val="center"/>
        <w:rPr>
          <w:rFonts w:ascii="仿宋_GB2312" w:eastAsia="仿宋_GB2312"/>
          <w:sz w:val="22"/>
          <w:highlight w:val="lightGray"/>
        </w:rPr>
      </w:pPr>
      <w:r>
        <w:rPr>
          <w:noProof/>
        </w:rPr>
        <w:lastRenderedPageBreak/>
        <w:drawing>
          <wp:inline distT="0" distB="0" distL="0" distR="0" wp14:anchorId="2453BDB1" wp14:editId="3BA0ED1E">
            <wp:extent cx="5181600" cy="2219325"/>
            <wp:effectExtent l="0" t="0" r="1905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992A9E" w14:textId="76B8A2F5" w:rsidR="00110ECE" w:rsidRDefault="00110ECE" w:rsidP="00110ECE">
      <w:pPr>
        <w:spacing w:line="360" w:lineRule="auto"/>
        <w:ind w:firstLineChars="150" w:firstLine="300"/>
        <w:jc w:val="center"/>
        <w:rPr>
          <w:rFonts w:asciiTheme="minorEastAsia" w:hAnsiTheme="minorEastAsia"/>
          <w:sz w:val="20"/>
        </w:rPr>
      </w:pPr>
      <w:r w:rsidRPr="009F742D">
        <w:rPr>
          <w:rFonts w:asciiTheme="minorEastAsia" w:hAnsiTheme="minorEastAsia" w:hint="eastAsia"/>
          <w:sz w:val="20"/>
        </w:rPr>
        <w:t>图</w:t>
      </w:r>
      <w:r w:rsidR="00F80580">
        <w:rPr>
          <w:rFonts w:asciiTheme="minorEastAsia" w:hAnsiTheme="minorEastAsia" w:hint="eastAsia"/>
          <w:sz w:val="20"/>
        </w:rPr>
        <w:t>4</w:t>
      </w:r>
      <w:r w:rsidRPr="009F742D">
        <w:rPr>
          <w:rFonts w:asciiTheme="minorEastAsia" w:hAnsiTheme="minorEastAsia" w:hint="eastAsia"/>
          <w:sz w:val="20"/>
        </w:rPr>
        <w:t xml:space="preserve"> </w:t>
      </w:r>
      <w:r w:rsidR="005B6FC9" w:rsidRPr="009F742D">
        <w:rPr>
          <w:rFonts w:asciiTheme="minorEastAsia" w:hAnsiTheme="minorEastAsia" w:hint="eastAsia"/>
          <w:sz w:val="20"/>
        </w:rPr>
        <w:t>2014年以来</w:t>
      </w:r>
      <w:r w:rsidRPr="009F742D">
        <w:rPr>
          <w:rFonts w:asciiTheme="minorEastAsia" w:hAnsiTheme="minorEastAsia" w:hint="eastAsia"/>
          <w:sz w:val="20"/>
        </w:rPr>
        <w:t>战略性新兴产业销售景气总指数</w:t>
      </w:r>
    </w:p>
    <w:p w14:paraId="5004C843" w14:textId="77777777" w:rsidR="00FD0CD4" w:rsidRPr="009F742D" w:rsidRDefault="00FD0CD4" w:rsidP="00110ECE">
      <w:pPr>
        <w:spacing w:line="360" w:lineRule="auto"/>
        <w:ind w:firstLineChars="150" w:firstLine="330"/>
        <w:jc w:val="center"/>
        <w:rPr>
          <w:rFonts w:ascii="仿宋_GB2312" w:eastAsia="仿宋_GB2312"/>
          <w:sz w:val="22"/>
        </w:rPr>
      </w:pPr>
    </w:p>
    <w:p w14:paraId="62839C83" w14:textId="77777777" w:rsidR="00110ECE" w:rsidRPr="00F47708" w:rsidRDefault="00FE2C6E" w:rsidP="00FE2C6E">
      <w:pPr>
        <w:spacing w:line="360" w:lineRule="auto"/>
        <w:jc w:val="center"/>
        <w:rPr>
          <w:rFonts w:ascii="仿宋_GB2312" w:eastAsia="仿宋_GB2312"/>
          <w:sz w:val="22"/>
          <w:highlight w:val="lightGray"/>
        </w:rPr>
      </w:pPr>
      <w:r>
        <w:rPr>
          <w:noProof/>
        </w:rPr>
        <w:drawing>
          <wp:inline distT="0" distB="0" distL="0" distR="0" wp14:anchorId="27B56C1F" wp14:editId="76019B07">
            <wp:extent cx="5210175" cy="2181225"/>
            <wp:effectExtent l="0" t="0" r="952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183630" w14:textId="4132F7C3" w:rsidR="0056453D" w:rsidRPr="00D83E9D" w:rsidRDefault="0021002D" w:rsidP="0021002D">
      <w:pPr>
        <w:spacing w:line="360" w:lineRule="auto"/>
        <w:jc w:val="center"/>
        <w:rPr>
          <w:rFonts w:asciiTheme="minorEastAsia" w:hAnsiTheme="minorEastAsia"/>
          <w:sz w:val="20"/>
        </w:rPr>
      </w:pPr>
      <w:r w:rsidRPr="00D83E9D">
        <w:rPr>
          <w:rFonts w:asciiTheme="minorEastAsia" w:hAnsiTheme="minorEastAsia" w:hint="eastAsia"/>
          <w:sz w:val="20"/>
        </w:rPr>
        <w:t>图</w:t>
      </w:r>
      <w:r w:rsidR="00F80580">
        <w:rPr>
          <w:rFonts w:asciiTheme="minorEastAsia" w:hAnsiTheme="minorEastAsia" w:hint="eastAsia"/>
          <w:sz w:val="20"/>
        </w:rPr>
        <w:t>5</w:t>
      </w:r>
      <w:r w:rsidRPr="00D83E9D">
        <w:rPr>
          <w:rFonts w:asciiTheme="minorEastAsia" w:hAnsiTheme="minorEastAsia" w:hint="eastAsia"/>
          <w:sz w:val="20"/>
        </w:rPr>
        <w:t xml:space="preserve"> </w:t>
      </w:r>
      <w:r w:rsidR="005B6FC9" w:rsidRPr="00D83E9D">
        <w:rPr>
          <w:rFonts w:asciiTheme="minorEastAsia" w:hAnsiTheme="minorEastAsia" w:hint="eastAsia"/>
          <w:sz w:val="20"/>
        </w:rPr>
        <w:t>2014年以来</w:t>
      </w:r>
      <w:r w:rsidRPr="00D83E9D">
        <w:rPr>
          <w:rFonts w:asciiTheme="minorEastAsia" w:hAnsiTheme="minorEastAsia" w:hint="eastAsia"/>
          <w:sz w:val="20"/>
        </w:rPr>
        <w:t>战略性新兴产业销售类景气指标</w:t>
      </w:r>
    </w:p>
    <w:p w14:paraId="31E3BF28" w14:textId="77777777" w:rsidR="00D83E9D" w:rsidRPr="00D83E9D" w:rsidRDefault="00D83E9D" w:rsidP="0021002D">
      <w:pPr>
        <w:spacing w:line="360" w:lineRule="auto"/>
        <w:jc w:val="center"/>
        <w:rPr>
          <w:rFonts w:ascii="仿宋_GB2312" w:eastAsia="仿宋_GB2312"/>
          <w:sz w:val="22"/>
          <w:highlight w:val="lightGray"/>
        </w:rPr>
      </w:pPr>
    </w:p>
    <w:p w14:paraId="092934C8" w14:textId="77777777" w:rsidR="00384695" w:rsidRPr="001F6511" w:rsidRDefault="00384695" w:rsidP="00582724">
      <w:pPr>
        <w:spacing w:line="360" w:lineRule="auto"/>
        <w:ind w:firstLineChars="200" w:firstLine="442"/>
        <w:rPr>
          <w:rFonts w:ascii="仿宋_GB2312" w:eastAsia="仿宋_GB2312"/>
          <w:b/>
          <w:sz w:val="22"/>
        </w:rPr>
      </w:pPr>
      <w:r w:rsidRPr="001F6511">
        <w:rPr>
          <w:rFonts w:ascii="仿宋_GB2312" w:eastAsia="仿宋_GB2312" w:hint="eastAsia"/>
          <w:b/>
          <w:sz w:val="22"/>
        </w:rPr>
        <w:t>2</w:t>
      </w:r>
      <w:r w:rsidR="00CB25F7" w:rsidRPr="001F6511">
        <w:rPr>
          <w:rFonts w:ascii="仿宋_GB2312" w:eastAsia="仿宋_GB2312" w:hint="eastAsia"/>
          <w:b/>
          <w:sz w:val="22"/>
        </w:rPr>
        <w:t>、资金</w:t>
      </w:r>
      <w:proofErr w:type="gramStart"/>
      <w:r w:rsidR="00EB7639" w:rsidRPr="001F6511">
        <w:rPr>
          <w:rFonts w:ascii="仿宋_GB2312" w:eastAsia="仿宋_GB2312" w:hint="eastAsia"/>
          <w:b/>
          <w:sz w:val="22"/>
        </w:rPr>
        <w:t>总</w:t>
      </w:r>
      <w:r w:rsidR="00CB25F7" w:rsidRPr="001F6511">
        <w:rPr>
          <w:rFonts w:ascii="仿宋_GB2312" w:eastAsia="仿宋_GB2312" w:hint="eastAsia"/>
          <w:b/>
          <w:sz w:val="22"/>
        </w:rPr>
        <w:t>活跃</w:t>
      </w:r>
      <w:proofErr w:type="gramEnd"/>
      <w:r w:rsidR="00CB25F7" w:rsidRPr="001F6511">
        <w:rPr>
          <w:rFonts w:ascii="仿宋_GB2312" w:eastAsia="仿宋_GB2312" w:hint="eastAsia"/>
          <w:b/>
          <w:sz w:val="22"/>
        </w:rPr>
        <w:t>度</w:t>
      </w:r>
      <w:r w:rsidR="00A80A4B">
        <w:rPr>
          <w:rFonts w:ascii="仿宋_GB2312" w:eastAsia="仿宋_GB2312" w:hint="eastAsia"/>
          <w:b/>
          <w:sz w:val="22"/>
        </w:rPr>
        <w:t>小幅下降</w:t>
      </w:r>
      <w:r w:rsidR="00CB25F7" w:rsidRPr="001F6511">
        <w:rPr>
          <w:rFonts w:ascii="仿宋_GB2312" w:eastAsia="仿宋_GB2312" w:hint="eastAsia"/>
          <w:b/>
          <w:sz w:val="22"/>
        </w:rPr>
        <w:t>，</w:t>
      </w:r>
      <w:r w:rsidR="00560826">
        <w:rPr>
          <w:rFonts w:ascii="仿宋_GB2312" w:eastAsia="仿宋_GB2312" w:hint="eastAsia"/>
          <w:b/>
          <w:sz w:val="22"/>
        </w:rPr>
        <w:t>投资</w:t>
      </w:r>
      <w:r w:rsidR="00E610DF">
        <w:rPr>
          <w:rFonts w:ascii="仿宋_GB2312" w:eastAsia="仿宋_GB2312" w:hint="eastAsia"/>
          <w:b/>
          <w:sz w:val="22"/>
        </w:rPr>
        <w:t>回暖</w:t>
      </w:r>
    </w:p>
    <w:p w14:paraId="0DE8443F" w14:textId="2BE91FD3" w:rsidR="0018386D" w:rsidRDefault="00560826" w:rsidP="0018386D">
      <w:pPr>
        <w:spacing w:line="360" w:lineRule="auto"/>
        <w:ind w:firstLineChars="200" w:firstLine="440"/>
        <w:rPr>
          <w:rFonts w:ascii="仿宋_GB2312" w:eastAsia="仿宋_GB2312"/>
          <w:sz w:val="22"/>
        </w:rPr>
      </w:pPr>
      <w:r>
        <w:rPr>
          <w:rFonts w:ascii="仿宋_GB2312" w:eastAsia="仿宋_GB2312" w:hint="eastAsia"/>
          <w:sz w:val="22"/>
        </w:rPr>
        <w:t>二</w:t>
      </w:r>
      <w:r w:rsidR="00C91F51">
        <w:rPr>
          <w:rFonts w:ascii="仿宋_GB2312" w:eastAsia="仿宋_GB2312" w:hint="eastAsia"/>
          <w:sz w:val="22"/>
        </w:rPr>
        <w:t>季度，战略性新兴产业资金景气</w:t>
      </w:r>
      <w:r w:rsidR="00A80A4B">
        <w:rPr>
          <w:rFonts w:ascii="仿宋_GB2312" w:eastAsia="仿宋_GB2312" w:hint="eastAsia"/>
          <w:sz w:val="22"/>
        </w:rPr>
        <w:t>小幅下滑</w:t>
      </w:r>
      <w:r w:rsidR="00C91F51">
        <w:rPr>
          <w:rFonts w:ascii="仿宋_GB2312" w:eastAsia="仿宋_GB2312" w:hint="eastAsia"/>
          <w:sz w:val="22"/>
        </w:rPr>
        <w:t>，</w:t>
      </w:r>
      <w:r>
        <w:rPr>
          <w:rFonts w:ascii="仿宋_GB2312" w:eastAsia="仿宋_GB2312" w:hint="eastAsia"/>
          <w:sz w:val="22"/>
        </w:rPr>
        <w:t>由一季度的134.5下降至132.6</w:t>
      </w:r>
      <w:r w:rsidR="00FB6471">
        <w:rPr>
          <w:rFonts w:ascii="仿宋_GB2312" w:eastAsia="仿宋_GB2312" w:hint="eastAsia"/>
          <w:sz w:val="22"/>
        </w:rPr>
        <w:t>（见图</w:t>
      </w:r>
      <w:r w:rsidR="00F80580">
        <w:rPr>
          <w:rFonts w:ascii="仿宋_GB2312" w:eastAsia="仿宋_GB2312" w:hint="eastAsia"/>
          <w:sz w:val="22"/>
        </w:rPr>
        <w:t>6</w:t>
      </w:r>
      <w:r w:rsidR="00FB6471">
        <w:rPr>
          <w:rFonts w:ascii="仿宋_GB2312" w:eastAsia="仿宋_GB2312" w:hint="eastAsia"/>
          <w:sz w:val="22"/>
        </w:rPr>
        <w:t>）</w:t>
      </w:r>
      <w:r w:rsidR="00391F9E">
        <w:rPr>
          <w:rFonts w:ascii="仿宋_GB2312" w:eastAsia="仿宋_GB2312" w:hint="eastAsia"/>
          <w:sz w:val="22"/>
        </w:rPr>
        <w:t>，</w:t>
      </w:r>
      <w:r w:rsidR="00F922A4">
        <w:rPr>
          <w:rFonts w:ascii="仿宋_GB2312" w:eastAsia="仿宋_GB2312" w:hint="eastAsia"/>
          <w:sz w:val="22"/>
        </w:rPr>
        <w:t>较</w:t>
      </w:r>
      <w:r>
        <w:rPr>
          <w:rFonts w:ascii="仿宋_GB2312" w:eastAsia="仿宋_GB2312" w:hint="eastAsia"/>
          <w:sz w:val="22"/>
        </w:rPr>
        <w:t>去年同期</w:t>
      </w:r>
      <w:r w:rsidR="00F922A4">
        <w:rPr>
          <w:rFonts w:ascii="仿宋_GB2312" w:eastAsia="仿宋_GB2312" w:hint="eastAsia"/>
          <w:sz w:val="22"/>
        </w:rPr>
        <w:t>低</w:t>
      </w:r>
      <w:r>
        <w:rPr>
          <w:rFonts w:ascii="仿宋_GB2312" w:eastAsia="仿宋_GB2312" w:hint="eastAsia"/>
          <w:sz w:val="22"/>
        </w:rPr>
        <w:t>9.1</w:t>
      </w:r>
      <w:r w:rsidR="00D81E7F">
        <w:rPr>
          <w:rFonts w:ascii="仿宋_GB2312" w:eastAsia="仿宋_GB2312" w:hint="eastAsia"/>
          <w:sz w:val="22"/>
        </w:rPr>
        <w:t>。</w:t>
      </w:r>
      <w:r w:rsidR="008C01BF">
        <w:rPr>
          <w:rFonts w:ascii="仿宋_GB2312" w:eastAsia="仿宋_GB2312" w:hint="eastAsia"/>
          <w:sz w:val="22"/>
        </w:rPr>
        <w:t>其原因在于融资指数和资金周转指数的大幅下滑，二者本季度分别为112.8和138.9。其中，</w:t>
      </w:r>
      <w:r w:rsidR="00272957">
        <w:rPr>
          <w:rFonts w:ascii="仿宋_GB2312" w:eastAsia="仿宋_GB2312" w:hint="eastAsia"/>
          <w:sz w:val="22"/>
        </w:rPr>
        <w:t>融资指数</w:t>
      </w:r>
      <w:proofErr w:type="gramStart"/>
      <w:r w:rsidR="00CF7661">
        <w:rPr>
          <w:rFonts w:ascii="仿宋_GB2312" w:eastAsia="仿宋_GB2312" w:hint="eastAsia"/>
          <w:sz w:val="22"/>
        </w:rPr>
        <w:t>与往期季节性</w:t>
      </w:r>
      <w:proofErr w:type="gramEnd"/>
      <w:r w:rsidR="00CF7661">
        <w:rPr>
          <w:rFonts w:ascii="仿宋_GB2312" w:eastAsia="仿宋_GB2312" w:hint="eastAsia"/>
          <w:sz w:val="22"/>
        </w:rPr>
        <w:t>回升相反，</w:t>
      </w:r>
      <w:r w:rsidR="00272957">
        <w:rPr>
          <w:rFonts w:ascii="仿宋_GB2312" w:eastAsia="仿宋_GB2312" w:hint="eastAsia"/>
          <w:sz w:val="22"/>
        </w:rPr>
        <w:t>刷新最低值记录</w:t>
      </w:r>
      <w:r w:rsidR="008C01BF">
        <w:rPr>
          <w:rFonts w:ascii="仿宋_GB2312" w:eastAsia="仿宋_GB2312" w:hint="eastAsia"/>
          <w:sz w:val="22"/>
        </w:rPr>
        <w:t>，成为调查以来的最低点</w:t>
      </w:r>
      <w:r w:rsidR="00272957">
        <w:rPr>
          <w:rFonts w:ascii="仿宋_GB2312" w:eastAsia="仿宋_GB2312" w:hint="eastAsia"/>
          <w:sz w:val="22"/>
        </w:rPr>
        <w:t>，</w:t>
      </w:r>
      <w:r w:rsidR="00F922A4">
        <w:rPr>
          <w:rFonts w:ascii="仿宋_GB2312" w:eastAsia="仿宋_GB2312" w:hint="eastAsia"/>
          <w:sz w:val="22"/>
        </w:rPr>
        <w:t>二季度资金面的收紧非常明显</w:t>
      </w:r>
      <w:r w:rsidR="0018386D">
        <w:rPr>
          <w:rFonts w:ascii="仿宋_GB2312" w:eastAsia="仿宋_GB2312" w:hint="eastAsia"/>
          <w:sz w:val="22"/>
        </w:rPr>
        <w:t>。本期调查“企业最希望得到哪方面的政策支持”中，企业频繁提及融资难问题，融资难是造成资金景气指数下滑的重要原因（见图8）。其中，东部和中部地区融资难度较一季度增加，特别是中部地区融资景气指数下滑8.5个单位，进入微弱不景气区间（见图9）。</w:t>
      </w:r>
    </w:p>
    <w:p w14:paraId="0CDA8891" w14:textId="5044175C" w:rsidR="00272957" w:rsidRDefault="00272957" w:rsidP="00640632">
      <w:pPr>
        <w:spacing w:line="360" w:lineRule="auto"/>
        <w:ind w:firstLineChars="200" w:firstLine="440"/>
        <w:rPr>
          <w:rFonts w:ascii="仿宋_GB2312" w:eastAsia="仿宋_GB2312"/>
          <w:sz w:val="22"/>
        </w:rPr>
      </w:pPr>
      <w:r>
        <w:rPr>
          <w:rFonts w:ascii="仿宋_GB2312" w:eastAsia="仿宋_GB2312" w:hint="eastAsia"/>
          <w:sz w:val="22"/>
        </w:rPr>
        <w:t>资金周转指数</w:t>
      </w:r>
      <w:r w:rsidR="00481FED">
        <w:rPr>
          <w:rFonts w:ascii="仿宋_GB2312" w:eastAsia="仿宋_GB2312" w:hint="eastAsia"/>
          <w:sz w:val="22"/>
        </w:rPr>
        <w:t>较一季度回落6.7个单位，</w:t>
      </w:r>
      <w:r w:rsidR="008C01BF">
        <w:rPr>
          <w:rFonts w:ascii="仿宋_GB2312" w:eastAsia="仿宋_GB2312" w:hint="eastAsia"/>
          <w:sz w:val="22"/>
        </w:rPr>
        <w:t>企业</w:t>
      </w:r>
      <w:r w:rsidR="00481FED">
        <w:rPr>
          <w:rFonts w:ascii="仿宋_GB2312" w:eastAsia="仿宋_GB2312" w:hint="eastAsia"/>
          <w:sz w:val="22"/>
        </w:rPr>
        <w:t>资金流转活跃度从紧。相比之下，</w:t>
      </w:r>
      <w:r w:rsidR="00383DA7">
        <w:rPr>
          <w:rFonts w:ascii="仿宋_GB2312" w:eastAsia="仿宋_GB2312" w:hint="eastAsia"/>
          <w:sz w:val="22"/>
        </w:rPr>
        <w:t>产销好转使企业投资需求</w:t>
      </w:r>
      <w:r w:rsidR="008C01BF">
        <w:rPr>
          <w:rFonts w:ascii="仿宋_GB2312" w:eastAsia="仿宋_GB2312" w:hint="eastAsia"/>
          <w:sz w:val="22"/>
        </w:rPr>
        <w:t>回升，投资指数由</w:t>
      </w:r>
      <w:r w:rsidR="00312B6A">
        <w:rPr>
          <w:rFonts w:ascii="仿宋_GB2312" w:eastAsia="仿宋_GB2312" w:hint="eastAsia"/>
          <w:sz w:val="22"/>
        </w:rPr>
        <w:t>一季度的</w:t>
      </w:r>
      <w:r w:rsidR="008C01BF">
        <w:rPr>
          <w:rFonts w:ascii="仿宋_GB2312" w:eastAsia="仿宋_GB2312" w:hint="eastAsia"/>
          <w:sz w:val="22"/>
        </w:rPr>
        <w:t>107.7飞跃至126.2</w:t>
      </w:r>
      <w:r w:rsidR="006C2718">
        <w:rPr>
          <w:rFonts w:ascii="仿宋_GB2312" w:eastAsia="仿宋_GB2312" w:hint="eastAsia"/>
          <w:sz w:val="22"/>
        </w:rPr>
        <w:t>，</w:t>
      </w:r>
      <w:r w:rsidR="008C01BF">
        <w:rPr>
          <w:rFonts w:ascii="仿宋_GB2312" w:eastAsia="仿宋_GB2312" w:hint="eastAsia"/>
          <w:sz w:val="22"/>
        </w:rPr>
        <w:t>成为近两年投</w:t>
      </w:r>
      <w:r w:rsidR="008C01BF">
        <w:rPr>
          <w:rFonts w:ascii="仿宋_GB2312" w:eastAsia="仿宋_GB2312" w:hint="eastAsia"/>
          <w:sz w:val="22"/>
        </w:rPr>
        <w:lastRenderedPageBreak/>
        <w:t>资的最高点</w:t>
      </w:r>
      <w:r w:rsidR="00481FED">
        <w:rPr>
          <w:rFonts w:ascii="仿宋_GB2312" w:eastAsia="仿宋_GB2312" w:hint="eastAsia"/>
          <w:sz w:val="22"/>
        </w:rPr>
        <w:t>。</w:t>
      </w:r>
    </w:p>
    <w:p w14:paraId="36B5E716" w14:textId="77777777" w:rsidR="0060000B" w:rsidRPr="00640632" w:rsidRDefault="00FE2C6E" w:rsidP="00FE2C6E">
      <w:pPr>
        <w:spacing w:line="360" w:lineRule="auto"/>
        <w:jc w:val="center"/>
        <w:rPr>
          <w:rFonts w:ascii="仿宋_GB2312" w:eastAsia="仿宋_GB2312"/>
          <w:sz w:val="22"/>
          <w:highlight w:val="lightGray"/>
        </w:rPr>
      </w:pPr>
      <w:r>
        <w:rPr>
          <w:noProof/>
        </w:rPr>
        <w:drawing>
          <wp:inline distT="0" distB="0" distL="0" distR="0" wp14:anchorId="36A55D78" wp14:editId="00FF9D3D">
            <wp:extent cx="5286375" cy="2209800"/>
            <wp:effectExtent l="0" t="0" r="9525"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6F0A9C" w14:textId="5C44780D" w:rsidR="0021002D" w:rsidRDefault="0021002D" w:rsidP="0021002D">
      <w:pPr>
        <w:spacing w:line="360" w:lineRule="auto"/>
        <w:ind w:firstLineChars="200" w:firstLine="400"/>
        <w:jc w:val="center"/>
        <w:rPr>
          <w:rFonts w:asciiTheme="minorEastAsia" w:hAnsiTheme="minorEastAsia"/>
          <w:sz w:val="20"/>
        </w:rPr>
      </w:pPr>
      <w:r w:rsidRPr="00640632">
        <w:rPr>
          <w:rFonts w:asciiTheme="minorEastAsia" w:hAnsiTheme="minorEastAsia" w:hint="eastAsia"/>
          <w:sz w:val="20"/>
        </w:rPr>
        <w:t>图</w:t>
      </w:r>
      <w:r w:rsidR="00F80580">
        <w:rPr>
          <w:rFonts w:asciiTheme="minorEastAsia" w:hAnsiTheme="minorEastAsia" w:hint="eastAsia"/>
          <w:sz w:val="20"/>
        </w:rPr>
        <w:t>6</w:t>
      </w:r>
      <w:r w:rsidRPr="00640632">
        <w:rPr>
          <w:rFonts w:asciiTheme="minorEastAsia" w:hAnsiTheme="minorEastAsia" w:hint="eastAsia"/>
          <w:sz w:val="20"/>
        </w:rPr>
        <w:t xml:space="preserve"> </w:t>
      </w:r>
      <w:r w:rsidR="006917E5" w:rsidRPr="00640632">
        <w:rPr>
          <w:rFonts w:asciiTheme="minorEastAsia" w:hAnsiTheme="minorEastAsia" w:hint="eastAsia"/>
          <w:sz w:val="20"/>
        </w:rPr>
        <w:t>2014年以来</w:t>
      </w:r>
      <w:r w:rsidRPr="00640632">
        <w:rPr>
          <w:rFonts w:asciiTheme="minorEastAsia" w:hAnsiTheme="minorEastAsia" w:hint="eastAsia"/>
          <w:sz w:val="20"/>
        </w:rPr>
        <w:t>战略性新兴产业资金景气总指数</w:t>
      </w:r>
    </w:p>
    <w:p w14:paraId="6DF6F7C8" w14:textId="77777777" w:rsidR="009307EA" w:rsidRDefault="009307EA" w:rsidP="0021002D">
      <w:pPr>
        <w:spacing w:line="360" w:lineRule="auto"/>
        <w:ind w:firstLineChars="200" w:firstLine="400"/>
        <w:jc w:val="center"/>
        <w:rPr>
          <w:rFonts w:asciiTheme="minorEastAsia" w:hAnsiTheme="minorEastAsia"/>
          <w:sz w:val="20"/>
        </w:rPr>
      </w:pPr>
    </w:p>
    <w:p w14:paraId="368CB043" w14:textId="77777777" w:rsidR="0021002D" w:rsidRPr="00F47708" w:rsidRDefault="00FE2C6E" w:rsidP="00FE2C6E">
      <w:pPr>
        <w:spacing w:line="360" w:lineRule="auto"/>
        <w:jc w:val="center"/>
        <w:rPr>
          <w:rFonts w:ascii="仿宋_GB2312" w:eastAsia="仿宋_GB2312"/>
          <w:sz w:val="22"/>
          <w:highlight w:val="lightGray"/>
        </w:rPr>
      </w:pPr>
      <w:r>
        <w:rPr>
          <w:noProof/>
        </w:rPr>
        <w:drawing>
          <wp:inline distT="0" distB="0" distL="0" distR="0" wp14:anchorId="693FDC10" wp14:editId="51EA46C7">
            <wp:extent cx="5200650" cy="22098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52D6E0" w14:textId="2C43AA86" w:rsidR="0021002D" w:rsidRDefault="00C22B43" w:rsidP="00C22B43">
      <w:pPr>
        <w:spacing w:line="360" w:lineRule="auto"/>
        <w:jc w:val="center"/>
        <w:rPr>
          <w:rFonts w:asciiTheme="minorEastAsia" w:hAnsiTheme="minorEastAsia"/>
          <w:sz w:val="20"/>
        </w:rPr>
      </w:pPr>
      <w:r w:rsidRPr="00640632">
        <w:rPr>
          <w:rFonts w:asciiTheme="minorEastAsia" w:hAnsiTheme="minorEastAsia" w:hint="eastAsia"/>
          <w:sz w:val="20"/>
        </w:rPr>
        <w:t>图</w:t>
      </w:r>
      <w:r w:rsidR="00F80580">
        <w:rPr>
          <w:rFonts w:asciiTheme="minorEastAsia" w:hAnsiTheme="minorEastAsia" w:hint="eastAsia"/>
          <w:sz w:val="20"/>
        </w:rPr>
        <w:t>7</w:t>
      </w:r>
      <w:r w:rsidRPr="00640632">
        <w:rPr>
          <w:rFonts w:asciiTheme="minorEastAsia" w:hAnsiTheme="minorEastAsia" w:hint="eastAsia"/>
          <w:sz w:val="20"/>
        </w:rPr>
        <w:t xml:space="preserve"> </w:t>
      </w:r>
      <w:r w:rsidR="006917E5" w:rsidRPr="00640632">
        <w:rPr>
          <w:rFonts w:asciiTheme="minorEastAsia" w:hAnsiTheme="minorEastAsia" w:hint="eastAsia"/>
          <w:sz w:val="20"/>
        </w:rPr>
        <w:t>2014年以来</w:t>
      </w:r>
      <w:r w:rsidRPr="00640632">
        <w:rPr>
          <w:rFonts w:asciiTheme="minorEastAsia" w:hAnsiTheme="minorEastAsia" w:hint="eastAsia"/>
          <w:sz w:val="20"/>
        </w:rPr>
        <w:t>战略性新兴产业资金类景气指标</w:t>
      </w:r>
    </w:p>
    <w:p w14:paraId="286B0F84" w14:textId="77777777" w:rsidR="00BA4062" w:rsidRPr="00640632" w:rsidRDefault="00BA4062" w:rsidP="00C22B43">
      <w:pPr>
        <w:spacing w:line="360" w:lineRule="auto"/>
        <w:jc w:val="center"/>
        <w:rPr>
          <w:rFonts w:ascii="仿宋_GB2312" w:eastAsia="仿宋_GB2312"/>
          <w:b/>
          <w:sz w:val="22"/>
        </w:rPr>
      </w:pPr>
    </w:p>
    <w:p w14:paraId="771789D5" w14:textId="77777777" w:rsidR="000720E3" w:rsidRDefault="000720E3" w:rsidP="000720E3">
      <w:pPr>
        <w:spacing w:line="360" w:lineRule="auto"/>
        <w:rPr>
          <w:rFonts w:ascii="仿宋_GB2312" w:eastAsia="仿宋_GB2312"/>
          <w:sz w:val="22"/>
        </w:rPr>
      </w:pPr>
      <w:r>
        <w:rPr>
          <w:noProof/>
        </w:rPr>
        <mc:AlternateContent>
          <mc:Choice Requires="wps">
            <w:drawing>
              <wp:anchor distT="0" distB="0" distL="114300" distR="114300" simplePos="0" relativeHeight="251668480" behindDoc="0" locked="0" layoutInCell="1" allowOverlap="1" wp14:anchorId="615866A3" wp14:editId="17666A30">
                <wp:simplePos x="0" y="0"/>
                <wp:positionH relativeFrom="column">
                  <wp:posOffset>428625</wp:posOffset>
                </wp:positionH>
                <wp:positionV relativeFrom="paragraph">
                  <wp:posOffset>179070</wp:posOffset>
                </wp:positionV>
                <wp:extent cx="1295400" cy="561975"/>
                <wp:effectExtent l="0" t="0" r="19050" b="28575"/>
                <wp:wrapNone/>
                <wp:docPr id="13" name="椭圆 13"/>
                <wp:cNvGraphicFramePr/>
                <a:graphic xmlns:a="http://schemas.openxmlformats.org/drawingml/2006/main">
                  <a:graphicData uri="http://schemas.microsoft.com/office/word/2010/wordprocessingShape">
                    <wps:wsp>
                      <wps:cNvSpPr/>
                      <wps:spPr>
                        <a:xfrm>
                          <a:off x="0" y="0"/>
                          <a:ext cx="1295400" cy="561975"/>
                        </a:xfrm>
                        <a:prstGeom prst="ellipse">
                          <a:avLst/>
                        </a:prstGeom>
                        <a:noFill/>
                        <a:ln>
                          <a:solidFill>
                            <a:schemeClr val="accent6"/>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C36DCF9" id="椭圆 13" o:spid="_x0000_s1026" style="position:absolute;left:0;text-align:left;margin-left:33.75pt;margin-top:14.1pt;width:102pt;height:4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" filled="f" strokecolor="#f79646 [3209]" strokeweight="2pt">
                <v:stroke dashstyle="1 1"/>
              </v:oval>
            </w:pict>
          </mc:Fallback>
        </mc:AlternateContent>
      </w:r>
      <w:r>
        <w:rPr>
          <w:noProof/>
        </w:rPr>
        <w:drawing>
          <wp:inline distT="0" distB="0" distL="0" distR="0" wp14:anchorId="4F04674A" wp14:editId="76FB5008">
            <wp:extent cx="5257800" cy="1933575"/>
            <wp:effectExtent l="0" t="0" r="0" b="952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10893C" w14:textId="1F6D6F15" w:rsidR="00BA4062" w:rsidRDefault="000720E3" w:rsidP="00BA4062">
      <w:pPr>
        <w:spacing w:line="360" w:lineRule="auto"/>
        <w:jc w:val="center"/>
        <w:rPr>
          <w:rFonts w:asciiTheme="minorEastAsia" w:hAnsiTheme="minorEastAsia"/>
          <w:sz w:val="20"/>
        </w:rPr>
      </w:pPr>
      <w:r w:rsidRPr="006933C7">
        <w:rPr>
          <w:rFonts w:asciiTheme="minorEastAsia" w:hAnsiTheme="minorEastAsia" w:hint="eastAsia"/>
          <w:sz w:val="20"/>
        </w:rPr>
        <w:t>图</w:t>
      </w:r>
      <w:r w:rsidR="002679BA">
        <w:rPr>
          <w:rFonts w:asciiTheme="minorEastAsia" w:hAnsiTheme="minorEastAsia" w:hint="eastAsia"/>
          <w:sz w:val="20"/>
        </w:rPr>
        <w:t>8</w:t>
      </w:r>
      <w:r>
        <w:rPr>
          <w:rFonts w:asciiTheme="minorEastAsia" w:hAnsiTheme="minorEastAsia"/>
          <w:sz w:val="20"/>
        </w:rPr>
        <w:t xml:space="preserve"> </w:t>
      </w:r>
      <w:r>
        <w:rPr>
          <w:rFonts w:asciiTheme="minorEastAsia" w:hAnsiTheme="minorEastAsia" w:hint="eastAsia"/>
          <w:sz w:val="20"/>
        </w:rPr>
        <w:t>2016年二季度</w:t>
      </w:r>
      <w:r w:rsidRPr="006933C7">
        <w:rPr>
          <w:rFonts w:asciiTheme="minorEastAsia" w:hAnsiTheme="minorEastAsia" w:hint="eastAsia"/>
          <w:sz w:val="20"/>
        </w:rPr>
        <w:t>战略性新兴产业</w:t>
      </w:r>
      <w:r>
        <w:rPr>
          <w:rFonts w:asciiTheme="minorEastAsia" w:hAnsiTheme="minorEastAsia" w:hint="eastAsia"/>
          <w:sz w:val="20"/>
        </w:rPr>
        <w:t>资金</w:t>
      </w:r>
      <w:r w:rsidRPr="006933C7">
        <w:rPr>
          <w:rFonts w:asciiTheme="minorEastAsia" w:hAnsiTheme="minorEastAsia" w:hint="eastAsia"/>
          <w:sz w:val="20"/>
        </w:rPr>
        <w:t>景气</w:t>
      </w:r>
      <w:r>
        <w:rPr>
          <w:rFonts w:asciiTheme="minorEastAsia" w:hAnsiTheme="minorEastAsia" w:hint="eastAsia"/>
          <w:sz w:val="20"/>
        </w:rPr>
        <w:t>分类</w:t>
      </w:r>
      <w:r w:rsidRPr="006933C7">
        <w:rPr>
          <w:rFonts w:asciiTheme="minorEastAsia" w:hAnsiTheme="minorEastAsia" w:hint="eastAsia"/>
          <w:sz w:val="20"/>
        </w:rPr>
        <w:t>指数（分</w:t>
      </w:r>
      <w:r>
        <w:rPr>
          <w:rFonts w:asciiTheme="minorEastAsia" w:hAnsiTheme="minorEastAsia" w:hint="eastAsia"/>
          <w:sz w:val="20"/>
        </w:rPr>
        <w:t>区域</w:t>
      </w:r>
      <w:r w:rsidRPr="006933C7">
        <w:rPr>
          <w:rFonts w:asciiTheme="minorEastAsia" w:hAnsiTheme="minorEastAsia" w:hint="eastAsia"/>
          <w:sz w:val="20"/>
        </w:rPr>
        <w:t>）</w:t>
      </w:r>
    </w:p>
    <w:p w14:paraId="3A6C9E8A" w14:textId="77777777" w:rsidR="000720E3" w:rsidRDefault="000720E3" w:rsidP="000720E3">
      <w:pPr>
        <w:spacing w:line="360" w:lineRule="auto"/>
        <w:rPr>
          <w:rFonts w:ascii="仿宋_GB2312" w:eastAsia="仿宋_GB2312"/>
          <w:b/>
          <w:sz w:val="22"/>
        </w:rPr>
      </w:pPr>
      <w:r>
        <w:rPr>
          <w:noProof/>
        </w:rPr>
        <w:lastRenderedPageBreak/>
        <mc:AlternateContent>
          <mc:Choice Requires="wps">
            <w:drawing>
              <wp:anchor distT="0" distB="0" distL="114300" distR="114300" simplePos="0" relativeHeight="251669504" behindDoc="0" locked="0" layoutInCell="1" allowOverlap="1" wp14:anchorId="223A2E0E" wp14:editId="2D059F56">
                <wp:simplePos x="0" y="0"/>
                <wp:positionH relativeFrom="column">
                  <wp:posOffset>1352550</wp:posOffset>
                </wp:positionH>
                <wp:positionV relativeFrom="paragraph">
                  <wp:posOffset>247650</wp:posOffset>
                </wp:positionV>
                <wp:extent cx="1057275" cy="447675"/>
                <wp:effectExtent l="0" t="0" r="28575" b="28575"/>
                <wp:wrapNone/>
                <wp:docPr id="18" name="椭圆 18"/>
                <wp:cNvGraphicFramePr/>
                <a:graphic xmlns:a="http://schemas.openxmlformats.org/drawingml/2006/main">
                  <a:graphicData uri="http://schemas.microsoft.com/office/word/2010/wordprocessingShape">
                    <wps:wsp>
                      <wps:cNvSpPr/>
                      <wps:spPr>
                        <a:xfrm>
                          <a:off x="0" y="0"/>
                          <a:ext cx="1057275" cy="447675"/>
                        </a:xfrm>
                        <a:prstGeom prst="ellipse">
                          <a:avLst/>
                        </a:prstGeom>
                        <a:noFill/>
                        <a:ln>
                          <a:solidFill>
                            <a:schemeClr val="accent6"/>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39BA2F1" id="椭圆 18" o:spid="_x0000_s1026" style="position:absolute;left:0;text-align:left;margin-left:106.5pt;margin-top:19.5pt;width:83.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" filled="f" strokecolor="#f79646 [3209]" strokeweight="2pt">
                <v:stroke dashstyle="1 1"/>
              </v:oval>
            </w:pict>
          </mc:Fallback>
        </mc:AlternateContent>
      </w:r>
      <w:r>
        <w:rPr>
          <w:noProof/>
        </w:rPr>
        <w:drawing>
          <wp:inline distT="0" distB="0" distL="0" distR="0" wp14:anchorId="4BBE6E53" wp14:editId="639B35F3">
            <wp:extent cx="5257800" cy="1876425"/>
            <wp:effectExtent l="0" t="0" r="0" b="952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0AE74D" w14:textId="0C9C3A0B" w:rsidR="000720E3" w:rsidRPr="00E1212A" w:rsidRDefault="000720E3" w:rsidP="000720E3">
      <w:pPr>
        <w:spacing w:line="360" w:lineRule="auto"/>
        <w:jc w:val="center"/>
        <w:rPr>
          <w:rFonts w:asciiTheme="minorEastAsia" w:hAnsiTheme="minorEastAsia"/>
          <w:sz w:val="20"/>
        </w:rPr>
      </w:pPr>
      <w:r w:rsidRPr="006933C7">
        <w:rPr>
          <w:rFonts w:asciiTheme="minorEastAsia" w:hAnsiTheme="minorEastAsia" w:hint="eastAsia"/>
          <w:sz w:val="20"/>
        </w:rPr>
        <w:t>图</w:t>
      </w:r>
      <w:r w:rsidR="002679BA">
        <w:rPr>
          <w:rFonts w:asciiTheme="minorEastAsia" w:hAnsiTheme="minorEastAsia" w:hint="eastAsia"/>
          <w:sz w:val="20"/>
        </w:rPr>
        <w:t>9</w:t>
      </w:r>
      <w:r>
        <w:rPr>
          <w:rFonts w:asciiTheme="minorEastAsia" w:hAnsiTheme="minorEastAsia"/>
          <w:sz w:val="20"/>
        </w:rPr>
        <w:t xml:space="preserve"> </w:t>
      </w:r>
      <w:r w:rsidRPr="006933C7">
        <w:rPr>
          <w:rFonts w:asciiTheme="minorEastAsia" w:hAnsiTheme="minorEastAsia" w:hint="eastAsia"/>
          <w:sz w:val="20"/>
        </w:rPr>
        <w:t>战略性新兴产业</w:t>
      </w:r>
      <w:r>
        <w:rPr>
          <w:rFonts w:asciiTheme="minorEastAsia" w:hAnsiTheme="minorEastAsia" w:hint="eastAsia"/>
          <w:sz w:val="20"/>
        </w:rPr>
        <w:t>融资</w:t>
      </w:r>
      <w:r w:rsidRPr="006933C7">
        <w:rPr>
          <w:rFonts w:asciiTheme="minorEastAsia" w:hAnsiTheme="minorEastAsia" w:hint="eastAsia"/>
          <w:sz w:val="20"/>
        </w:rPr>
        <w:t>景气指数（分</w:t>
      </w:r>
      <w:r>
        <w:rPr>
          <w:rFonts w:asciiTheme="minorEastAsia" w:hAnsiTheme="minorEastAsia" w:hint="eastAsia"/>
          <w:sz w:val="20"/>
        </w:rPr>
        <w:t>区域</w:t>
      </w:r>
      <w:r w:rsidRPr="006933C7">
        <w:rPr>
          <w:rFonts w:asciiTheme="minorEastAsia" w:hAnsiTheme="minorEastAsia" w:hint="eastAsia"/>
          <w:sz w:val="20"/>
        </w:rPr>
        <w:t>）</w:t>
      </w:r>
    </w:p>
    <w:p w14:paraId="5B0A35BA" w14:textId="77777777" w:rsidR="0021002D" w:rsidRPr="000720E3" w:rsidRDefault="0021002D" w:rsidP="00582724">
      <w:pPr>
        <w:spacing w:line="360" w:lineRule="auto"/>
        <w:ind w:firstLineChars="200" w:firstLine="442"/>
        <w:rPr>
          <w:rFonts w:ascii="仿宋_GB2312" w:eastAsia="仿宋_GB2312"/>
          <w:b/>
          <w:sz w:val="22"/>
          <w:highlight w:val="lightGray"/>
        </w:rPr>
      </w:pPr>
    </w:p>
    <w:p w14:paraId="31BBFF0E" w14:textId="77777777" w:rsidR="00206EB1" w:rsidRPr="00EF1DC3" w:rsidRDefault="00206EB1" w:rsidP="00582724">
      <w:pPr>
        <w:spacing w:line="360" w:lineRule="auto"/>
        <w:ind w:firstLineChars="200" w:firstLine="442"/>
        <w:rPr>
          <w:rFonts w:ascii="仿宋_GB2312" w:eastAsia="仿宋_GB2312"/>
          <w:b/>
          <w:sz w:val="22"/>
        </w:rPr>
      </w:pPr>
      <w:r w:rsidRPr="00EF1DC3">
        <w:rPr>
          <w:rFonts w:ascii="仿宋_GB2312" w:eastAsia="仿宋_GB2312" w:hint="eastAsia"/>
          <w:b/>
          <w:sz w:val="22"/>
        </w:rPr>
        <w:t>3、创新活力</w:t>
      </w:r>
      <w:r w:rsidR="00383DA7">
        <w:rPr>
          <w:rFonts w:ascii="仿宋_GB2312" w:eastAsia="仿宋_GB2312" w:hint="eastAsia"/>
          <w:b/>
          <w:sz w:val="22"/>
        </w:rPr>
        <w:t>季节性</w:t>
      </w:r>
      <w:r w:rsidR="00ED46A2">
        <w:rPr>
          <w:rFonts w:ascii="仿宋_GB2312" w:eastAsia="仿宋_GB2312" w:hint="eastAsia"/>
          <w:b/>
          <w:sz w:val="22"/>
        </w:rPr>
        <w:t>提高</w:t>
      </w:r>
    </w:p>
    <w:p w14:paraId="143497CD" w14:textId="64E7FC55" w:rsidR="007359D7" w:rsidRPr="007359D7" w:rsidRDefault="00ED46A2" w:rsidP="00582724">
      <w:pPr>
        <w:spacing w:line="360" w:lineRule="auto"/>
        <w:ind w:firstLineChars="200" w:firstLine="440"/>
        <w:rPr>
          <w:rFonts w:ascii="仿宋_GB2312" w:eastAsia="仿宋_GB2312"/>
          <w:sz w:val="22"/>
        </w:rPr>
      </w:pPr>
      <w:r>
        <w:rPr>
          <w:rFonts w:ascii="仿宋_GB2312" w:eastAsia="仿宋_GB2312" w:hint="eastAsia"/>
          <w:sz w:val="22"/>
        </w:rPr>
        <w:t>二</w:t>
      </w:r>
      <w:r w:rsidR="007359D7" w:rsidRPr="007359D7">
        <w:rPr>
          <w:rFonts w:ascii="仿宋_GB2312" w:eastAsia="仿宋_GB2312" w:hint="eastAsia"/>
          <w:sz w:val="22"/>
        </w:rPr>
        <w:t>季度</w:t>
      </w:r>
      <w:r w:rsidR="009D4211">
        <w:rPr>
          <w:rFonts w:ascii="仿宋_GB2312" w:eastAsia="仿宋_GB2312" w:hint="eastAsia"/>
          <w:sz w:val="22"/>
        </w:rPr>
        <w:t>，</w:t>
      </w:r>
      <w:r w:rsidR="00E0129C">
        <w:rPr>
          <w:rFonts w:ascii="仿宋_GB2312" w:eastAsia="仿宋_GB2312" w:hint="eastAsia"/>
          <w:sz w:val="22"/>
        </w:rPr>
        <w:t>战略性新兴产业</w:t>
      </w:r>
      <w:r w:rsidR="007359D7" w:rsidRPr="007359D7">
        <w:rPr>
          <w:rFonts w:ascii="仿宋_GB2312" w:eastAsia="仿宋_GB2312" w:hint="eastAsia"/>
          <w:sz w:val="22"/>
        </w:rPr>
        <w:t>创新</w:t>
      </w:r>
      <w:r>
        <w:rPr>
          <w:rFonts w:ascii="仿宋_GB2312" w:eastAsia="仿宋_GB2312" w:hint="eastAsia"/>
          <w:sz w:val="22"/>
        </w:rPr>
        <w:t>景气</w:t>
      </w:r>
      <w:r w:rsidR="00383DA7">
        <w:rPr>
          <w:rFonts w:ascii="仿宋_GB2312" w:eastAsia="仿宋_GB2312" w:hint="eastAsia"/>
          <w:sz w:val="22"/>
        </w:rPr>
        <w:t>季节性</w:t>
      </w:r>
      <w:r>
        <w:rPr>
          <w:rFonts w:ascii="仿宋_GB2312" w:eastAsia="仿宋_GB2312" w:hint="eastAsia"/>
          <w:sz w:val="22"/>
        </w:rPr>
        <w:t>上升</w:t>
      </w:r>
      <w:r w:rsidR="00CE377C">
        <w:rPr>
          <w:rFonts w:ascii="仿宋_GB2312" w:eastAsia="仿宋_GB2312" w:hint="eastAsia"/>
          <w:sz w:val="22"/>
        </w:rPr>
        <w:t>，</w:t>
      </w:r>
      <w:r>
        <w:rPr>
          <w:rFonts w:ascii="仿宋_GB2312" w:eastAsia="仿宋_GB2312" w:hint="eastAsia"/>
          <w:sz w:val="22"/>
        </w:rPr>
        <w:t>由一季度118.8升至140.3</w:t>
      </w:r>
      <w:r w:rsidR="007359D7" w:rsidRPr="007359D7">
        <w:rPr>
          <w:rFonts w:ascii="仿宋_GB2312" w:eastAsia="仿宋_GB2312" w:hint="eastAsia"/>
          <w:sz w:val="22"/>
        </w:rPr>
        <w:t>（见图</w:t>
      </w:r>
      <w:r w:rsidR="002679BA">
        <w:rPr>
          <w:rFonts w:ascii="仿宋_GB2312" w:eastAsia="仿宋_GB2312" w:hint="eastAsia"/>
          <w:sz w:val="22"/>
        </w:rPr>
        <w:t>10</w:t>
      </w:r>
      <w:r w:rsidR="007359D7" w:rsidRPr="007359D7">
        <w:rPr>
          <w:rFonts w:ascii="仿宋_GB2312" w:eastAsia="仿宋_GB2312" w:hint="eastAsia"/>
          <w:sz w:val="22"/>
        </w:rPr>
        <w:t>）</w:t>
      </w:r>
      <w:r w:rsidR="007359D7">
        <w:rPr>
          <w:rFonts w:ascii="仿宋_GB2312" w:eastAsia="仿宋_GB2312" w:hint="eastAsia"/>
          <w:sz w:val="22"/>
        </w:rPr>
        <w:t>，</w:t>
      </w:r>
      <w:r>
        <w:rPr>
          <w:rFonts w:ascii="仿宋_GB2312" w:eastAsia="仿宋_GB2312" w:hint="eastAsia"/>
          <w:sz w:val="22"/>
        </w:rPr>
        <w:t>重返较为</w:t>
      </w:r>
      <w:r w:rsidR="00D34746">
        <w:rPr>
          <w:rFonts w:ascii="仿宋_GB2312" w:eastAsia="仿宋_GB2312" w:hint="eastAsia"/>
          <w:sz w:val="22"/>
        </w:rPr>
        <w:t>景气区间</w:t>
      </w:r>
      <w:r w:rsidR="00813254">
        <w:rPr>
          <w:rFonts w:ascii="仿宋_GB2312" w:eastAsia="仿宋_GB2312" w:hint="eastAsia"/>
          <w:sz w:val="22"/>
        </w:rPr>
        <w:t>，但低于去年同期6.9个单位</w:t>
      </w:r>
      <w:r w:rsidR="00D34746">
        <w:rPr>
          <w:rFonts w:ascii="仿宋_GB2312" w:eastAsia="仿宋_GB2312" w:hint="eastAsia"/>
          <w:sz w:val="22"/>
        </w:rPr>
        <w:t>。从各创新指标来看，</w:t>
      </w:r>
      <w:r w:rsidR="003A61D2">
        <w:rPr>
          <w:rFonts w:ascii="仿宋_GB2312" w:eastAsia="仿宋_GB2312" w:hint="eastAsia"/>
          <w:sz w:val="22"/>
        </w:rPr>
        <w:t>产销</w:t>
      </w:r>
      <w:r w:rsidR="003F7306">
        <w:rPr>
          <w:rFonts w:ascii="仿宋_GB2312" w:eastAsia="仿宋_GB2312" w:hint="eastAsia"/>
          <w:sz w:val="22"/>
        </w:rPr>
        <w:t>回升带动企业研发积极性，增加研发投入</w:t>
      </w:r>
      <w:r w:rsidR="00254262">
        <w:rPr>
          <w:rFonts w:ascii="仿宋_GB2312" w:eastAsia="仿宋_GB2312" w:hint="eastAsia"/>
          <w:sz w:val="22"/>
        </w:rPr>
        <w:t>，</w:t>
      </w:r>
      <w:r w:rsidR="002475F2">
        <w:rPr>
          <w:rFonts w:ascii="仿宋_GB2312" w:eastAsia="仿宋_GB2312" w:hint="eastAsia"/>
          <w:sz w:val="22"/>
        </w:rPr>
        <w:t>本季度研发投入</w:t>
      </w:r>
      <w:r w:rsidR="00C2275E">
        <w:rPr>
          <w:rFonts w:ascii="仿宋_GB2312" w:eastAsia="仿宋_GB2312" w:hint="eastAsia"/>
          <w:sz w:val="22"/>
        </w:rPr>
        <w:t>指数</w:t>
      </w:r>
      <w:r w:rsidR="002475F2">
        <w:rPr>
          <w:rFonts w:ascii="仿宋_GB2312" w:eastAsia="仿宋_GB2312" w:hint="eastAsia"/>
          <w:sz w:val="22"/>
        </w:rPr>
        <w:t>为</w:t>
      </w:r>
      <w:r w:rsidR="003F7306">
        <w:rPr>
          <w:rFonts w:ascii="仿宋_GB2312" w:eastAsia="仿宋_GB2312" w:hint="eastAsia"/>
          <w:sz w:val="22"/>
        </w:rPr>
        <w:t>141.6</w:t>
      </w:r>
      <w:r w:rsidR="0019683B">
        <w:rPr>
          <w:rFonts w:ascii="仿宋_GB2312" w:eastAsia="仿宋_GB2312" w:hint="eastAsia"/>
          <w:sz w:val="22"/>
        </w:rPr>
        <w:t>（见图</w:t>
      </w:r>
      <w:r w:rsidR="002679BA">
        <w:rPr>
          <w:rFonts w:ascii="仿宋_GB2312" w:eastAsia="仿宋_GB2312" w:hint="eastAsia"/>
          <w:sz w:val="22"/>
        </w:rPr>
        <w:t>11</w:t>
      </w:r>
      <w:r w:rsidR="0019683B">
        <w:rPr>
          <w:rFonts w:ascii="仿宋_GB2312" w:eastAsia="仿宋_GB2312" w:hint="eastAsia"/>
          <w:sz w:val="22"/>
        </w:rPr>
        <w:t>）</w:t>
      </w:r>
      <w:r w:rsidR="002475F2">
        <w:rPr>
          <w:rFonts w:ascii="仿宋_GB2312" w:eastAsia="仿宋_GB2312" w:hint="eastAsia"/>
          <w:sz w:val="22"/>
        </w:rPr>
        <w:t>，</w:t>
      </w:r>
      <w:r w:rsidR="003F7306">
        <w:rPr>
          <w:rFonts w:ascii="仿宋_GB2312" w:eastAsia="仿宋_GB2312" w:hint="eastAsia"/>
          <w:sz w:val="22"/>
        </w:rPr>
        <w:t>高于</w:t>
      </w:r>
      <w:r w:rsidR="002475F2">
        <w:rPr>
          <w:rFonts w:ascii="仿宋_GB2312" w:eastAsia="仿宋_GB2312" w:hint="eastAsia"/>
          <w:sz w:val="22"/>
        </w:rPr>
        <w:t>上季度</w:t>
      </w:r>
      <w:r w:rsidR="003F7306">
        <w:rPr>
          <w:rFonts w:ascii="仿宋_GB2312" w:eastAsia="仿宋_GB2312" w:hint="eastAsia"/>
          <w:sz w:val="22"/>
        </w:rPr>
        <w:t>120.9的水平</w:t>
      </w:r>
      <w:r w:rsidR="00EC379D">
        <w:rPr>
          <w:rFonts w:ascii="仿宋_GB2312" w:eastAsia="仿宋_GB2312" w:hint="eastAsia"/>
          <w:sz w:val="22"/>
        </w:rPr>
        <w:t>；</w:t>
      </w:r>
      <w:r w:rsidR="0019683B">
        <w:rPr>
          <w:rFonts w:ascii="仿宋_GB2312" w:eastAsia="仿宋_GB2312" w:hint="eastAsia"/>
          <w:sz w:val="22"/>
        </w:rPr>
        <w:t>专利申请指数则由</w:t>
      </w:r>
      <w:r w:rsidR="003F7306">
        <w:rPr>
          <w:rFonts w:ascii="仿宋_GB2312" w:eastAsia="仿宋_GB2312" w:hint="eastAsia"/>
          <w:sz w:val="22"/>
        </w:rPr>
        <w:t>103.1上升</w:t>
      </w:r>
      <w:r w:rsidR="0019683B">
        <w:rPr>
          <w:rFonts w:ascii="仿宋_GB2312" w:eastAsia="仿宋_GB2312" w:hint="eastAsia"/>
          <w:sz w:val="22"/>
        </w:rPr>
        <w:t>至</w:t>
      </w:r>
      <w:r w:rsidR="003F7306">
        <w:rPr>
          <w:rFonts w:ascii="仿宋_GB2312" w:eastAsia="仿宋_GB2312" w:hint="eastAsia"/>
          <w:sz w:val="22"/>
        </w:rPr>
        <w:t>132.4</w:t>
      </w:r>
      <w:r w:rsidR="00EC379D">
        <w:rPr>
          <w:rFonts w:ascii="仿宋_GB2312" w:eastAsia="仿宋_GB2312" w:hint="eastAsia"/>
          <w:sz w:val="22"/>
        </w:rPr>
        <w:t>，创新成果转化效率</w:t>
      </w:r>
      <w:r w:rsidR="003F7306">
        <w:rPr>
          <w:rFonts w:ascii="仿宋_GB2312" w:eastAsia="仿宋_GB2312" w:hint="eastAsia"/>
          <w:sz w:val="22"/>
        </w:rPr>
        <w:t>回升</w:t>
      </w:r>
      <w:r w:rsidR="0019683B">
        <w:rPr>
          <w:rFonts w:ascii="仿宋_GB2312" w:eastAsia="仿宋_GB2312" w:hint="eastAsia"/>
          <w:sz w:val="22"/>
        </w:rPr>
        <w:t>。</w:t>
      </w:r>
    </w:p>
    <w:p w14:paraId="40B05389" w14:textId="77777777" w:rsidR="00FF3E0D" w:rsidRPr="00F47708" w:rsidRDefault="00FE2C6E" w:rsidP="00FE2C6E">
      <w:pPr>
        <w:spacing w:line="360" w:lineRule="auto"/>
        <w:jc w:val="center"/>
        <w:rPr>
          <w:rFonts w:ascii="仿宋_GB2312" w:eastAsia="仿宋_GB2312"/>
          <w:sz w:val="22"/>
          <w:highlight w:val="lightGray"/>
        </w:rPr>
      </w:pPr>
      <w:r>
        <w:rPr>
          <w:noProof/>
        </w:rPr>
        <w:drawing>
          <wp:inline distT="0" distB="0" distL="0" distR="0" wp14:anchorId="23AA13FD" wp14:editId="4ECDA6A1">
            <wp:extent cx="5238750" cy="2162175"/>
            <wp:effectExtent l="0" t="0" r="1905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819439" w14:textId="7BD301B9" w:rsidR="00206EB1" w:rsidRDefault="00C22B43" w:rsidP="00C22B43">
      <w:pPr>
        <w:spacing w:line="360" w:lineRule="auto"/>
        <w:jc w:val="center"/>
        <w:rPr>
          <w:rFonts w:asciiTheme="minorEastAsia" w:hAnsiTheme="minorEastAsia"/>
          <w:sz w:val="20"/>
        </w:rPr>
      </w:pPr>
      <w:r w:rsidRPr="00FF3E0D">
        <w:rPr>
          <w:rFonts w:asciiTheme="minorEastAsia" w:hAnsiTheme="minorEastAsia" w:hint="eastAsia"/>
          <w:sz w:val="20"/>
        </w:rPr>
        <w:t>图</w:t>
      </w:r>
      <w:r w:rsidR="002679BA">
        <w:rPr>
          <w:rFonts w:asciiTheme="minorEastAsia" w:hAnsiTheme="minorEastAsia" w:hint="eastAsia"/>
          <w:sz w:val="20"/>
        </w:rPr>
        <w:t>10</w:t>
      </w:r>
      <w:r w:rsidRPr="00FF3E0D">
        <w:rPr>
          <w:rFonts w:asciiTheme="minorEastAsia" w:hAnsiTheme="minorEastAsia" w:hint="eastAsia"/>
          <w:sz w:val="20"/>
        </w:rPr>
        <w:t xml:space="preserve"> </w:t>
      </w:r>
      <w:r w:rsidR="006917E5" w:rsidRPr="00FF3E0D">
        <w:rPr>
          <w:rFonts w:asciiTheme="minorEastAsia" w:hAnsiTheme="minorEastAsia" w:hint="eastAsia"/>
          <w:sz w:val="20"/>
        </w:rPr>
        <w:t>2014年以来</w:t>
      </w:r>
      <w:r w:rsidRPr="00FF3E0D">
        <w:rPr>
          <w:rFonts w:asciiTheme="minorEastAsia" w:hAnsiTheme="minorEastAsia" w:hint="eastAsia"/>
          <w:sz w:val="20"/>
        </w:rPr>
        <w:t>战略性新兴产业创新景气总指数</w:t>
      </w:r>
    </w:p>
    <w:p w14:paraId="5120264C" w14:textId="77777777" w:rsidR="00C22B43" w:rsidRPr="00F47708" w:rsidRDefault="00FE2C6E" w:rsidP="00FE2C6E">
      <w:pPr>
        <w:spacing w:line="360" w:lineRule="auto"/>
        <w:jc w:val="center"/>
        <w:rPr>
          <w:rFonts w:ascii="仿宋_GB2312" w:eastAsia="仿宋_GB2312"/>
          <w:sz w:val="22"/>
          <w:highlight w:val="lightGray"/>
        </w:rPr>
      </w:pPr>
      <w:r>
        <w:rPr>
          <w:noProof/>
        </w:rPr>
        <w:drawing>
          <wp:inline distT="0" distB="0" distL="0" distR="0" wp14:anchorId="427E4089" wp14:editId="007E9DA4">
            <wp:extent cx="5229225" cy="2181225"/>
            <wp:effectExtent l="0" t="0" r="952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6A1869" w14:textId="5E98F853" w:rsidR="00A73260" w:rsidRDefault="00A73260" w:rsidP="00A73260">
      <w:pPr>
        <w:spacing w:line="360" w:lineRule="auto"/>
        <w:jc w:val="center"/>
        <w:rPr>
          <w:rFonts w:ascii="仿宋_GB2312" w:eastAsia="仿宋_GB2312"/>
          <w:sz w:val="22"/>
        </w:rPr>
      </w:pPr>
      <w:r w:rsidRPr="00D10494">
        <w:rPr>
          <w:rFonts w:asciiTheme="minorEastAsia" w:hAnsiTheme="minorEastAsia" w:hint="eastAsia"/>
          <w:sz w:val="20"/>
        </w:rPr>
        <w:lastRenderedPageBreak/>
        <w:t>图</w:t>
      </w:r>
      <w:r w:rsidR="002679BA">
        <w:rPr>
          <w:rFonts w:asciiTheme="minorEastAsia" w:hAnsiTheme="minorEastAsia" w:hint="eastAsia"/>
          <w:sz w:val="20"/>
        </w:rPr>
        <w:t>11</w:t>
      </w:r>
      <w:r w:rsidRPr="00D10494">
        <w:rPr>
          <w:rFonts w:asciiTheme="minorEastAsia" w:hAnsiTheme="minorEastAsia" w:hint="eastAsia"/>
          <w:sz w:val="20"/>
        </w:rPr>
        <w:t xml:space="preserve"> </w:t>
      </w:r>
      <w:r w:rsidR="006917E5" w:rsidRPr="00D10494">
        <w:rPr>
          <w:rFonts w:asciiTheme="minorEastAsia" w:hAnsiTheme="minorEastAsia" w:hint="eastAsia"/>
          <w:sz w:val="20"/>
        </w:rPr>
        <w:t>2014年以来</w:t>
      </w:r>
      <w:r w:rsidRPr="00D10494">
        <w:rPr>
          <w:rFonts w:asciiTheme="minorEastAsia" w:hAnsiTheme="minorEastAsia" w:hint="eastAsia"/>
          <w:sz w:val="20"/>
        </w:rPr>
        <w:t>战略性新兴产业创新类景气指标</w:t>
      </w:r>
    </w:p>
    <w:p w14:paraId="56375613" w14:textId="77777777" w:rsidR="00A73260" w:rsidRPr="00582724" w:rsidRDefault="00A73260" w:rsidP="00582724">
      <w:pPr>
        <w:spacing w:line="360" w:lineRule="auto"/>
        <w:ind w:firstLineChars="200" w:firstLine="440"/>
        <w:rPr>
          <w:rFonts w:ascii="仿宋_GB2312" w:eastAsia="仿宋_GB2312"/>
          <w:sz w:val="22"/>
        </w:rPr>
      </w:pPr>
    </w:p>
    <w:p w14:paraId="23EE0041" w14:textId="4F79C2F8" w:rsidR="00487073" w:rsidRPr="00582724" w:rsidRDefault="00487073" w:rsidP="00582724">
      <w:pPr>
        <w:spacing w:line="360" w:lineRule="auto"/>
        <w:ind w:firstLineChars="200" w:firstLine="442"/>
        <w:rPr>
          <w:rFonts w:ascii="仿宋_GB2312" w:eastAsia="仿宋_GB2312"/>
          <w:b/>
          <w:sz w:val="22"/>
        </w:rPr>
      </w:pPr>
      <w:r w:rsidRPr="00582724">
        <w:rPr>
          <w:rFonts w:ascii="仿宋_GB2312" w:eastAsia="仿宋_GB2312" w:hint="eastAsia"/>
          <w:b/>
          <w:sz w:val="22"/>
        </w:rPr>
        <w:t>4、政策</w:t>
      </w:r>
      <w:r w:rsidR="0067046E">
        <w:rPr>
          <w:rFonts w:ascii="仿宋_GB2312" w:eastAsia="仿宋_GB2312" w:hint="eastAsia"/>
          <w:b/>
          <w:sz w:val="22"/>
        </w:rPr>
        <w:t>指标</w:t>
      </w:r>
      <w:r w:rsidR="00733B64">
        <w:rPr>
          <w:rFonts w:ascii="仿宋_GB2312" w:eastAsia="仿宋_GB2312" w:hint="eastAsia"/>
          <w:b/>
          <w:sz w:val="22"/>
        </w:rPr>
        <w:t>略有</w:t>
      </w:r>
      <w:r w:rsidR="00B41753">
        <w:rPr>
          <w:rFonts w:ascii="仿宋_GB2312" w:eastAsia="仿宋_GB2312" w:hint="eastAsia"/>
          <w:b/>
          <w:sz w:val="22"/>
        </w:rPr>
        <w:t>回落</w:t>
      </w:r>
    </w:p>
    <w:p w14:paraId="7C8C7FEC" w14:textId="4458ADF6" w:rsidR="00A73260" w:rsidRPr="00941667" w:rsidRDefault="00487DF8" w:rsidP="00217A08">
      <w:pPr>
        <w:spacing w:line="360" w:lineRule="auto"/>
        <w:ind w:firstLineChars="200" w:firstLine="440"/>
        <w:rPr>
          <w:rFonts w:ascii="仿宋_GB2312" w:eastAsia="仿宋_GB2312"/>
          <w:sz w:val="22"/>
        </w:rPr>
      </w:pPr>
      <w:r>
        <w:rPr>
          <w:rFonts w:ascii="仿宋_GB2312" w:eastAsia="仿宋_GB2312" w:hint="eastAsia"/>
          <w:sz w:val="22"/>
        </w:rPr>
        <w:t>本季度</w:t>
      </w:r>
      <w:r w:rsidR="00ED3C89">
        <w:rPr>
          <w:rFonts w:ascii="仿宋_GB2312" w:eastAsia="仿宋_GB2312" w:hint="eastAsia"/>
          <w:sz w:val="22"/>
        </w:rPr>
        <w:t>政策</w:t>
      </w:r>
      <w:r w:rsidR="00383466" w:rsidRPr="00582724">
        <w:rPr>
          <w:rFonts w:ascii="仿宋_GB2312" w:eastAsia="仿宋_GB2312" w:hint="eastAsia"/>
          <w:sz w:val="22"/>
        </w:rPr>
        <w:t>景气指数为13</w:t>
      </w:r>
      <w:r w:rsidR="00C018F6">
        <w:rPr>
          <w:rFonts w:ascii="仿宋_GB2312" w:eastAsia="仿宋_GB2312" w:hint="eastAsia"/>
          <w:sz w:val="22"/>
        </w:rPr>
        <w:t>0.4（见图1</w:t>
      </w:r>
      <w:r w:rsidR="002679BA">
        <w:rPr>
          <w:rFonts w:ascii="仿宋_GB2312" w:eastAsia="仿宋_GB2312" w:hint="eastAsia"/>
          <w:sz w:val="22"/>
        </w:rPr>
        <w:t>2</w:t>
      </w:r>
      <w:r w:rsidR="00C018F6">
        <w:rPr>
          <w:rFonts w:ascii="仿宋_GB2312" w:eastAsia="仿宋_GB2312" w:hint="eastAsia"/>
          <w:sz w:val="22"/>
        </w:rPr>
        <w:t>）</w:t>
      </w:r>
      <w:r w:rsidR="00871CE0" w:rsidRPr="00582724">
        <w:rPr>
          <w:rFonts w:ascii="仿宋_GB2312" w:eastAsia="仿宋_GB2312" w:hint="eastAsia"/>
          <w:sz w:val="22"/>
        </w:rPr>
        <w:t>，</w:t>
      </w:r>
      <w:r w:rsidR="00C018F6">
        <w:rPr>
          <w:rFonts w:ascii="仿宋_GB2312" w:eastAsia="仿宋_GB2312" w:hint="eastAsia"/>
          <w:sz w:val="22"/>
        </w:rPr>
        <w:t>较一季度回落</w:t>
      </w:r>
      <w:r w:rsidR="00EC6131">
        <w:rPr>
          <w:rFonts w:ascii="仿宋_GB2312" w:eastAsia="仿宋_GB2312" w:hint="eastAsia"/>
          <w:sz w:val="22"/>
        </w:rPr>
        <w:t>1.5个单位</w:t>
      </w:r>
      <w:r w:rsidR="00C018F6">
        <w:rPr>
          <w:rFonts w:ascii="仿宋_GB2312" w:eastAsia="仿宋_GB2312" w:hint="eastAsia"/>
          <w:sz w:val="22"/>
        </w:rPr>
        <w:t>，</w:t>
      </w:r>
      <w:proofErr w:type="gramStart"/>
      <w:r w:rsidR="00941667">
        <w:rPr>
          <w:rFonts w:ascii="仿宋_GB2312" w:eastAsia="仿宋_GB2312" w:hint="eastAsia"/>
          <w:sz w:val="22"/>
        </w:rPr>
        <w:t>与</w:t>
      </w:r>
      <w:r w:rsidR="00AD09A6">
        <w:rPr>
          <w:rFonts w:ascii="仿宋_GB2312" w:eastAsia="仿宋_GB2312" w:hint="eastAsia"/>
          <w:sz w:val="22"/>
        </w:rPr>
        <w:t>往期</w:t>
      </w:r>
      <w:r w:rsidR="00941667">
        <w:rPr>
          <w:rFonts w:ascii="仿宋_GB2312" w:eastAsia="仿宋_GB2312" w:hint="eastAsia"/>
          <w:sz w:val="22"/>
        </w:rPr>
        <w:t>季节性</w:t>
      </w:r>
      <w:proofErr w:type="gramEnd"/>
      <w:r w:rsidR="00941667">
        <w:rPr>
          <w:rFonts w:ascii="仿宋_GB2312" w:eastAsia="仿宋_GB2312" w:hint="eastAsia"/>
          <w:sz w:val="22"/>
        </w:rPr>
        <w:t>上升态势不符</w:t>
      </w:r>
      <w:r w:rsidR="00AD09A6">
        <w:rPr>
          <w:rFonts w:ascii="仿宋_GB2312" w:eastAsia="仿宋_GB2312" w:hint="eastAsia"/>
          <w:sz w:val="22"/>
        </w:rPr>
        <w:t>，各产业政策诉求的增加</w:t>
      </w:r>
      <w:r w:rsidR="00067643">
        <w:rPr>
          <w:rFonts w:ascii="仿宋_GB2312" w:eastAsia="仿宋_GB2312" w:hint="eastAsia"/>
          <w:sz w:val="22"/>
        </w:rPr>
        <w:t>及</w:t>
      </w:r>
      <w:r w:rsidR="00AD09A6">
        <w:rPr>
          <w:rFonts w:ascii="仿宋_GB2312" w:eastAsia="仿宋_GB2312" w:hint="eastAsia"/>
          <w:sz w:val="22"/>
        </w:rPr>
        <w:t>融资困难加剧是政策指标下降的主要原因。</w:t>
      </w:r>
    </w:p>
    <w:p w14:paraId="3514776C" w14:textId="77777777" w:rsidR="00A73260" w:rsidRDefault="00FE2C6E" w:rsidP="00DD3FC0">
      <w:pPr>
        <w:spacing w:line="360" w:lineRule="auto"/>
        <w:jc w:val="center"/>
        <w:rPr>
          <w:rFonts w:ascii="仿宋_GB2312" w:eastAsia="仿宋_GB2312"/>
          <w:sz w:val="22"/>
        </w:rPr>
      </w:pPr>
      <w:r>
        <w:rPr>
          <w:noProof/>
        </w:rPr>
        <w:drawing>
          <wp:inline distT="0" distB="0" distL="0" distR="0" wp14:anchorId="14725633" wp14:editId="0161B029">
            <wp:extent cx="5238750" cy="2143125"/>
            <wp:effectExtent l="0" t="0" r="1905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4B3984" w14:textId="14EA6256" w:rsidR="00BA4062" w:rsidRPr="00BA4062" w:rsidRDefault="009A18DC" w:rsidP="00BA4062">
      <w:pPr>
        <w:spacing w:line="360" w:lineRule="auto"/>
        <w:jc w:val="center"/>
        <w:rPr>
          <w:rFonts w:asciiTheme="minorEastAsia" w:hAnsiTheme="minorEastAsia"/>
          <w:sz w:val="20"/>
        </w:rPr>
      </w:pPr>
      <w:r w:rsidRPr="007163AE">
        <w:rPr>
          <w:rFonts w:asciiTheme="minorEastAsia" w:hAnsiTheme="minorEastAsia" w:hint="eastAsia"/>
          <w:sz w:val="20"/>
        </w:rPr>
        <w:t>图</w:t>
      </w:r>
      <w:r>
        <w:rPr>
          <w:rFonts w:asciiTheme="minorEastAsia" w:hAnsiTheme="minorEastAsia" w:hint="eastAsia"/>
          <w:sz w:val="20"/>
        </w:rPr>
        <w:t>1</w:t>
      </w:r>
      <w:r w:rsidR="002679BA">
        <w:rPr>
          <w:rFonts w:asciiTheme="minorEastAsia" w:hAnsiTheme="minorEastAsia" w:hint="eastAsia"/>
          <w:sz w:val="20"/>
        </w:rPr>
        <w:t>2</w:t>
      </w:r>
      <w:r>
        <w:rPr>
          <w:rFonts w:asciiTheme="minorEastAsia" w:hAnsiTheme="minorEastAsia" w:hint="eastAsia"/>
          <w:sz w:val="20"/>
        </w:rPr>
        <w:t xml:space="preserve"> </w:t>
      </w:r>
      <w:r w:rsidR="006917E5">
        <w:rPr>
          <w:rFonts w:asciiTheme="minorEastAsia" w:hAnsiTheme="minorEastAsia" w:hint="eastAsia"/>
          <w:sz w:val="20"/>
        </w:rPr>
        <w:t>2014年以来</w:t>
      </w:r>
      <w:r w:rsidRPr="007163AE">
        <w:rPr>
          <w:rFonts w:asciiTheme="minorEastAsia" w:hAnsiTheme="minorEastAsia" w:hint="eastAsia"/>
          <w:sz w:val="20"/>
        </w:rPr>
        <w:t>战略性新兴产业</w:t>
      </w:r>
      <w:r>
        <w:rPr>
          <w:rFonts w:asciiTheme="minorEastAsia" w:hAnsiTheme="minorEastAsia" w:hint="eastAsia"/>
          <w:sz w:val="20"/>
        </w:rPr>
        <w:t>政策景气</w:t>
      </w:r>
      <w:r w:rsidRPr="007163AE">
        <w:rPr>
          <w:rFonts w:asciiTheme="minorEastAsia" w:hAnsiTheme="minorEastAsia" w:hint="eastAsia"/>
          <w:sz w:val="20"/>
        </w:rPr>
        <w:t>总指数</w:t>
      </w:r>
    </w:p>
    <w:p w14:paraId="64408A51" w14:textId="4DD6B642" w:rsidR="0073722C" w:rsidRDefault="002679BA" w:rsidP="0073722C">
      <w:pPr>
        <w:spacing w:line="360" w:lineRule="auto"/>
        <w:ind w:firstLineChars="200" w:firstLine="440"/>
        <w:rPr>
          <w:rFonts w:ascii="仿宋_GB2312" w:eastAsia="仿宋_GB2312"/>
          <w:sz w:val="22"/>
        </w:rPr>
      </w:pPr>
      <w:r>
        <w:rPr>
          <w:rFonts w:ascii="仿宋_GB2312" w:eastAsia="仿宋_GB2312" w:hint="eastAsia"/>
          <w:sz w:val="22"/>
        </w:rPr>
        <w:t>除了希望得到资金支持、税收减免、人才培养与引进及创新成果保护外，</w:t>
      </w:r>
      <w:r w:rsidR="0073722C">
        <w:rPr>
          <w:rFonts w:ascii="仿宋_GB2312" w:eastAsia="仿宋_GB2312" w:hint="eastAsia"/>
          <w:sz w:val="22"/>
        </w:rPr>
        <w:t>不同产业的政策诉求存在差异：高端装备制造企业更侧重于装备国产化和开拓海外市场；新材料企业在电价减免优惠和产业升级方面的需求较为集中；新一代信息技术企业最频繁表达的诉求是研发技术平台的建设以及研发成果产业化；生物企业希望获得新药研发、加快药品审评审批、医药招标等方面的支持；新能源企业在发电补贴、电站指标和融资方面的问题较为突出；除厂商和电池的补贴外，新能源汽车企业的诉求还体现在加快基础设施建设的推进及举行国际行业技术交流活动等方面；节能环保企业不仅希望政府能在拓宽融资渠道和人才缺失方面给予政策支持，同时需要政府加大对节能环保的宣传力度，加快行业标准体系的建设。</w:t>
      </w:r>
    </w:p>
    <w:p w14:paraId="54407132" w14:textId="14322E5C" w:rsidR="009A18DC" w:rsidRPr="0073722C" w:rsidRDefault="009A18DC" w:rsidP="00582724">
      <w:pPr>
        <w:spacing w:line="360" w:lineRule="auto"/>
        <w:ind w:firstLineChars="200" w:firstLine="440"/>
        <w:rPr>
          <w:rFonts w:ascii="仿宋_GB2312" w:eastAsia="仿宋_GB2312"/>
          <w:sz w:val="22"/>
        </w:rPr>
      </w:pPr>
    </w:p>
    <w:p w14:paraId="474376B0" w14:textId="197E7E3A" w:rsidR="00BB3A61" w:rsidRPr="00582724" w:rsidRDefault="00383DA7" w:rsidP="00582724">
      <w:pPr>
        <w:spacing w:line="360" w:lineRule="auto"/>
        <w:ind w:firstLineChars="200" w:firstLine="442"/>
        <w:rPr>
          <w:rFonts w:ascii="仿宋_GB2312" w:eastAsia="仿宋_GB2312"/>
          <w:b/>
          <w:sz w:val="22"/>
        </w:rPr>
      </w:pPr>
      <w:r>
        <w:rPr>
          <w:rFonts w:ascii="仿宋_GB2312" w:eastAsia="仿宋_GB2312" w:hint="eastAsia"/>
          <w:b/>
          <w:sz w:val="22"/>
        </w:rPr>
        <w:t>三</w:t>
      </w:r>
      <w:r w:rsidR="00656589" w:rsidRPr="00582724">
        <w:rPr>
          <w:rFonts w:ascii="仿宋_GB2312" w:eastAsia="仿宋_GB2312" w:hint="eastAsia"/>
          <w:b/>
          <w:sz w:val="22"/>
        </w:rPr>
        <w:t>、</w:t>
      </w:r>
      <w:r w:rsidR="00656589" w:rsidRPr="00DC6200">
        <w:rPr>
          <w:rFonts w:ascii="仿宋_GB2312" w:eastAsia="仿宋_GB2312" w:hint="eastAsia"/>
          <w:b/>
          <w:sz w:val="22"/>
        </w:rPr>
        <w:t>分</w:t>
      </w:r>
      <w:r w:rsidR="00C40C3D" w:rsidRPr="00DC6200">
        <w:rPr>
          <w:rFonts w:ascii="仿宋_GB2312" w:eastAsia="仿宋_GB2312" w:hint="eastAsia"/>
          <w:b/>
          <w:sz w:val="22"/>
        </w:rPr>
        <w:t>产业</w:t>
      </w:r>
      <w:r w:rsidR="00116AC8" w:rsidRPr="00DC6200">
        <w:rPr>
          <w:rFonts w:ascii="仿宋_GB2312" w:eastAsia="仿宋_GB2312" w:hint="eastAsia"/>
          <w:b/>
          <w:sz w:val="22"/>
        </w:rPr>
        <w:t>表现</w:t>
      </w:r>
    </w:p>
    <w:p w14:paraId="3793EC7A" w14:textId="1A53D9AD" w:rsidR="00EA3A21" w:rsidRDefault="00C40C3D" w:rsidP="00067643">
      <w:pPr>
        <w:spacing w:line="360" w:lineRule="auto"/>
        <w:ind w:firstLineChars="200" w:firstLine="440"/>
        <w:rPr>
          <w:rFonts w:ascii="仿宋_GB2312" w:eastAsia="仿宋_GB2312"/>
          <w:sz w:val="22"/>
        </w:rPr>
      </w:pPr>
      <w:r w:rsidRPr="003C7187">
        <w:rPr>
          <w:rFonts w:ascii="仿宋_GB2312" w:eastAsia="仿宋_GB2312" w:hint="eastAsia"/>
          <w:sz w:val="22"/>
        </w:rPr>
        <w:t>分</w:t>
      </w:r>
      <w:r>
        <w:rPr>
          <w:rFonts w:ascii="仿宋_GB2312" w:eastAsia="仿宋_GB2312" w:hint="eastAsia"/>
          <w:sz w:val="22"/>
        </w:rPr>
        <w:t>产业</w:t>
      </w:r>
      <w:r w:rsidR="003C7187" w:rsidRPr="003C7187">
        <w:rPr>
          <w:rFonts w:ascii="仿宋_GB2312" w:eastAsia="仿宋_GB2312" w:hint="eastAsia"/>
          <w:sz w:val="22"/>
        </w:rPr>
        <w:t>情况看，</w:t>
      </w:r>
      <w:r w:rsidR="003C7187">
        <w:rPr>
          <w:rFonts w:ascii="仿宋_GB2312" w:eastAsia="仿宋_GB2312" w:hint="eastAsia"/>
          <w:sz w:val="22"/>
        </w:rPr>
        <w:t>新能源汽车位居七大产业之首，新一代信息技术实现反弹，新能源下滑至2015年以来的最低点</w:t>
      </w:r>
      <w:r w:rsidR="00476ED4">
        <w:rPr>
          <w:rFonts w:ascii="仿宋_GB2312" w:eastAsia="仿宋_GB2312" w:hint="eastAsia"/>
          <w:sz w:val="22"/>
        </w:rPr>
        <w:t>，节能环保再度垫底。</w:t>
      </w:r>
      <w:r w:rsidR="00264FED">
        <w:rPr>
          <w:rFonts w:ascii="仿宋_GB2312" w:eastAsia="仿宋_GB2312" w:hint="eastAsia"/>
          <w:sz w:val="22"/>
        </w:rPr>
        <w:t>二</w:t>
      </w:r>
      <w:r w:rsidR="00786C41">
        <w:rPr>
          <w:rFonts w:ascii="仿宋_GB2312" w:eastAsia="仿宋_GB2312" w:hint="eastAsia"/>
          <w:sz w:val="22"/>
        </w:rPr>
        <w:t>季度，</w:t>
      </w:r>
      <w:r w:rsidR="005B07C1">
        <w:rPr>
          <w:rFonts w:ascii="仿宋_GB2312" w:eastAsia="仿宋_GB2312" w:hint="eastAsia"/>
          <w:sz w:val="22"/>
        </w:rPr>
        <w:t>新能源汽车位列第一梯队，其双指标（企业家信心指数和行业景气指数）均为152.1</w:t>
      </w:r>
      <w:r w:rsidR="00607379">
        <w:rPr>
          <w:rFonts w:ascii="仿宋_GB2312" w:eastAsia="仿宋_GB2312" w:hint="eastAsia"/>
          <w:sz w:val="22"/>
        </w:rPr>
        <w:t>（见表2）</w:t>
      </w:r>
      <w:r w:rsidR="005B07C1">
        <w:rPr>
          <w:rFonts w:ascii="仿宋_GB2312" w:eastAsia="仿宋_GB2312" w:hint="eastAsia"/>
          <w:sz w:val="22"/>
        </w:rPr>
        <w:t>，处于较强景气区间，较其他产业有领先优势，且下季度预期指数延续增长态势。第二梯队为新能源、新一代信息技术和生物</w:t>
      </w:r>
      <w:r w:rsidR="00D31CDE">
        <w:rPr>
          <w:rFonts w:ascii="仿宋_GB2312" w:eastAsia="仿宋_GB2312" w:hint="eastAsia"/>
          <w:sz w:val="22"/>
        </w:rPr>
        <w:t>产业</w:t>
      </w:r>
      <w:r w:rsidR="005B07C1">
        <w:rPr>
          <w:rFonts w:ascii="仿宋_GB2312" w:eastAsia="仿宋_GB2312" w:hint="eastAsia"/>
          <w:sz w:val="22"/>
        </w:rPr>
        <w:t>，这三个行业的</w:t>
      </w:r>
      <w:proofErr w:type="gramStart"/>
      <w:r w:rsidR="005B07C1">
        <w:rPr>
          <w:rFonts w:ascii="仿宋_GB2312" w:eastAsia="仿宋_GB2312" w:hint="eastAsia"/>
          <w:sz w:val="22"/>
        </w:rPr>
        <w:t>双指标</w:t>
      </w:r>
      <w:proofErr w:type="gramEnd"/>
      <w:r w:rsidR="00D31CDE">
        <w:rPr>
          <w:rFonts w:ascii="仿宋_GB2312" w:eastAsia="仿宋_GB2312" w:hint="eastAsia"/>
          <w:sz w:val="22"/>
        </w:rPr>
        <w:t>均</w:t>
      </w:r>
      <w:r w:rsidR="005B07C1">
        <w:rPr>
          <w:rFonts w:ascii="仿宋_GB2312" w:eastAsia="仿宋_GB2312" w:hint="eastAsia"/>
          <w:sz w:val="22"/>
        </w:rPr>
        <w:t>在140上下浮动，</w:t>
      </w:r>
      <w:r w:rsidR="00B60C9A">
        <w:rPr>
          <w:rFonts w:ascii="仿宋_GB2312" w:eastAsia="仿宋_GB2312" w:hint="eastAsia"/>
          <w:sz w:val="22"/>
        </w:rPr>
        <w:t>处于较为景气区间</w:t>
      </w:r>
      <w:r w:rsidR="00C20B74">
        <w:rPr>
          <w:rFonts w:ascii="仿宋_GB2312" w:eastAsia="仿宋_GB2312" w:hint="eastAsia"/>
          <w:sz w:val="22"/>
        </w:rPr>
        <w:t>，新</w:t>
      </w:r>
      <w:r w:rsidR="00C20B74">
        <w:rPr>
          <w:rFonts w:ascii="仿宋_GB2312" w:eastAsia="仿宋_GB2312" w:hint="eastAsia"/>
          <w:sz w:val="22"/>
        </w:rPr>
        <w:lastRenderedPageBreak/>
        <w:t>一代信息技术</w:t>
      </w:r>
      <w:r w:rsidR="00DB5757">
        <w:rPr>
          <w:rFonts w:ascii="仿宋_GB2312" w:eastAsia="仿宋_GB2312" w:hint="eastAsia"/>
          <w:sz w:val="22"/>
        </w:rPr>
        <w:t>正如一季度的分析成功实现反弹</w:t>
      </w:r>
      <w:r w:rsidR="00B60C9A">
        <w:rPr>
          <w:rFonts w:ascii="仿宋_GB2312" w:eastAsia="仿宋_GB2312" w:hint="eastAsia"/>
          <w:sz w:val="22"/>
        </w:rPr>
        <w:t>。</w:t>
      </w:r>
      <w:r w:rsidR="00643AEA">
        <w:rPr>
          <w:rFonts w:ascii="仿宋_GB2312" w:eastAsia="仿宋_GB2312" w:hint="eastAsia"/>
          <w:sz w:val="22"/>
        </w:rPr>
        <w:t>第三梯队是新材料、节能环保和高端装备，</w:t>
      </w:r>
      <w:r w:rsidR="00067D72">
        <w:rPr>
          <w:rFonts w:ascii="仿宋_GB2312" w:eastAsia="仿宋_GB2312" w:hint="eastAsia"/>
          <w:sz w:val="22"/>
        </w:rPr>
        <w:t>这三个行业</w:t>
      </w:r>
      <w:r w:rsidR="005B53AF">
        <w:rPr>
          <w:rFonts w:ascii="仿宋_GB2312" w:eastAsia="仿宋_GB2312" w:hint="eastAsia"/>
          <w:sz w:val="22"/>
        </w:rPr>
        <w:t>的</w:t>
      </w:r>
      <w:proofErr w:type="gramStart"/>
      <w:r w:rsidR="005B53AF">
        <w:rPr>
          <w:rFonts w:ascii="仿宋_GB2312" w:eastAsia="仿宋_GB2312" w:hint="eastAsia"/>
          <w:sz w:val="22"/>
        </w:rPr>
        <w:t>双指标</w:t>
      </w:r>
      <w:proofErr w:type="gramEnd"/>
      <w:r w:rsidR="00067D72">
        <w:rPr>
          <w:rFonts w:ascii="仿宋_GB2312" w:eastAsia="仿宋_GB2312" w:hint="eastAsia"/>
          <w:sz w:val="22"/>
        </w:rPr>
        <w:t>在125上下波动。</w:t>
      </w:r>
      <w:r w:rsidR="00741D42">
        <w:rPr>
          <w:rFonts w:ascii="仿宋_GB2312" w:eastAsia="仿宋_GB2312" w:hint="eastAsia"/>
          <w:sz w:val="22"/>
        </w:rPr>
        <w:t>其中，</w:t>
      </w:r>
      <w:r w:rsidR="00175C41">
        <w:rPr>
          <w:rFonts w:ascii="仿宋_GB2312" w:eastAsia="仿宋_GB2312" w:hint="eastAsia"/>
          <w:sz w:val="22"/>
        </w:rPr>
        <w:t>节能环保产业是七大产业中</w:t>
      </w:r>
      <w:r w:rsidR="005B53AF">
        <w:rPr>
          <w:rFonts w:ascii="仿宋_GB2312" w:eastAsia="仿宋_GB2312" w:hint="eastAsia"/>
          <w:sz w:val="22"/>
        </w:rPr>
        <w:t>即期</w:t>
      </w:r>
      <w:r w:rsidR="00067D72">
        <w:rPr>
          <w:rFonts w:ascii="仿宋_GB2312" w:eastAsia="仿宋_GB2312" w:hint="eastAsia"/>
          <w:sz w:val="22"/>
        </w:rPr>
        <w:t>最不景气的产业</w:t>
      </w:r>
      <w:r w:rsidR="009D4D37">
        <w:rPr>
          <w:rFonts w:ascii="仿宋_GB2312" w:eastAsia="仿宋_GB2312" w:hint="eastAsia"/>
          <w:sz w:val="22"/>
        </w:rPr>
        <w:t>，</w:t>
      </w:r>
      <w:r w:rsidR="00067D72">
        <w:rPr>
          <w:rFonts w:ascii="仿宋_GB2312" w:eastAsia="仿宋_GB2312" w:hint="eastAsia"/>
          <w:sz w:val="22"/>
        </w:rPr>
        <w:t>新材料产业是七大产业中预期最不景气的产业。</w:t>
      </w:r>
    </w:p>
    <w:p w14:paraId="40E3CD9A" w14:textId="5D20B2BA" w:rsidR="00654111" w:rsidRPr="00582724" w:rsidRDefault="006917E5" w:rsidP="006917E5">
      <w:pPr>
        <w:spacing w:line="360" w:lineRule="auto"/>
        <w:jc w:val="center"/>
        <w:rPr>
          <w:rFonts w:ascii="仿宋_GB2312" w:eastAsia="仿宋_GB2312"/>
          <w:sz w:val="22"/>
        </w:rPr>
      </w:pPr>
      <w:r w:rsidRPr="006917E5">
        <w:rPr>
          <w:rFonts w:asciiTheme="minorEastAsia" w:hAnsiTheme="minorEastAsia" w:hint="eastAsia"/>
          <w:sz w:val="20"/>
        </w:rPr>
        <w:t>表</w:t>
      </w:r>
      <w:r w:rsidR="00F80580">
        <w:rPr>
          <w:rFonts w:asciiTheme="minorEastAsia" w:hAnsiTheme="minorEastAsia" w:hint="eastAsia"/>
          <w:sz w:val="20"/>
        </w:rPr>
        <w:t>2</w:t>
      </w:r>
      <w:r w:rsidRPr="006917E5">
        <w:rPr>
          <w:rFonts w:asciiTheme="minorEastAsia" w:hAnsiTheme="minorEastAsia" w:hint="eastAsia"/>
          <w:sz w:val="20"/>
        </w:rPr>
        <w:t xml:space="preserve">  战略性新兴产业</w:t>
      </w:r>
      <w:r w:rsidR="006E6C9E">
        <w:rPr>
          <w:rFonts w:asciiTheme="minorEastAsia" w:hAnsiTheme="minorEastAsia" w:hint="eastAsia"/>
          <w:sz w:val="20"/>
        </w:rPr>
        <w:t>2016年</w:t>
      </w:r>
      <w:r w:rsidR="009C6719">
        <w:rPr>
          <w:rFonts w:asciiTheme="minorEastAsia" w:hAnsiTheme="minorEastAsia" w:hint="eastAsia"/>
          <w:sz w:val="20"/>
        </w:rPr>
        <w:t>二</w:t>
      </w:r>
      <w:r w:rsidRPr="006917E5">
        <w:rPr>
          <w:rFonts w:asciiTheme="minorEastAsia" w:hAnsiTheme="minorEastAsia" w:hint="eastAsia"/>
          <w:sz w:val="20"/>
        </w:rPr>
        <w:t>季度和2016</w:t>
      </w:r>
      <w:r w:rsidR="006E6C9E">
        <w:rPr>
          <w:rFonts w:asciiTheme="minorEastAsia" w:hAnsiTheme="minorEastAsia" w:hint="eastAsia"/>
          <w:sz w:val="20"/>
        </w:rPr>
        <w:t>年</w:t>
      </w:r>
      <w:r w:rsidR="009C6719">
        <w:rPr>
          <w:rFonts w:asciiTheme="minorEastAsia" w:hAnsiTheme="minorEastAsia" w:hint="eastAsia"/>
          <w:sz w:val="20"/>
        </w:rPr>
        <w:t>三</w:t>
      </w:r>
      <w:r w:rsidRPr="006917E5">
        <w:rPr>
          <w:rFonts w:asciiTheme="minorEastAsia" w:hAnsiTheme="minorEastAsia" w:hint="eastAsia"/>
          <w:sz w:val="20"/>
        </w:rPr>
        <w:t>季度预期指数（分产业）</w:t>
      </w:r>
    </w:p>
    <w:tbl>
      <w:tblPr>
        <w:tblStyle w:val="a4"/>
        <w:tblW w:w="8664"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01"/>
        <w:gridCol w:w="1275"/>
        <w:gridCol w:w="751"/>
        <w:gridCol w:w="100"/>
        <w:gridCol w:w="1134"/>
        <w:gridCol w:w="896"/>
        <w:gridCol w:w="96"/>
        <w:gridCol w:w="969"/>
        <w:gridCol w:w="1066"/>
      </w:tblGrid>
      <w:tr w:rsidR="00E278F9" w:rsidRPr="00582724" w14:paraId="00108181" w14:textId="77777777" w:rsidTr="00895602">
        <w:tc>
          <w:tcPr>
            <w:tcW w:w="1276" w:type="dxa"/>
            <w:shd w:val="clear" w:color="auto" w:fill="F2F2F2" w:themeFill="background1" w:themeFillShade="F2"/>
          </w:tcPr>
          <w:p w14:paraId="7E535925" w14:textId="4AED366A" w:rsidR="00654111" w:rsidRPr="00582724" w:rsidRDefault="00654111" w:rsidP="00E278F9">
            <w:pPr>
              <w:spacing w:line="360" w:lineRule="auto"/>
              <w:rPr>
                <w:rFonts w:ascii="仿宋_GB2312" w:eastAsia="仿宋_GB2312" w:hAnsi="Arial" w:cs="Arial"/>
                <w:color w:val="333333"/>
              </w:rPr>
            </w:pPr>
          </w:p>
        </w:tc>
        <w:tc>
          <w:tcPr>
            <w:tcW w:w="1101" w:type="dxa"/>
            <w:shd w:val="clear" w:color="auto" w:fill="F2F2F2" w:themeFill="background1" w:themeFillShade="F2"/>
            <w:vAlign w:val="center"/>
          </w:tcPr>
          <w:p w14:paraId="5E8FD63A"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节能环保</w:t>
            </w:r>
          </w:p>
        </w:tc>
        <w:tc>
          <w:tcPr>
            <w:tcW w:w="1275" w:type="dxa"/>
            <w:shd w:val="clear" w:color="auto" w:fill="F2F2F2" w:themeFill="background1" w:themeFillShade="F2"/>
            <w:vAlign w:val="center"/>
          </w:tcPr>
          <w:p w14:paraId="4F1A5D97"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新一代信息技术</w:t>
            </w:r>
          </w:p>
        </w:tc>
        <w:tc>
          <w:tcPr>
            <w:tcW w:w="851" w:type="dxa"/>
            <w:gridSpan w:val="2"/>
            <w:shd w:val="clear" w:color="auto" w:fill="F2F2F2" w:themeFill="background1" w:themeFillShade="F2"/>
            <w:vAlign w:val="center"/>
          </w:tcPr>
          <w:p w14:paraId="4185409F"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生物</w:t>
            </w:r>
          </w:p>
        </w:tc>
        <w:tc>
          <w:tcPr>
            <w:tcW w:w="1134" w:type="dxa"/>
            <w:shd w:val="clear" w:color="auto" w:fill="F2F2F2" w:themeFill="background1" w:themeFillShade="F2"/>
            <w:vAlign w:val="center"/>
          </w:tcPr>
          <w:p w14:paraId="300CFAA4"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高端装备制造</w:t>
            </w:r>
          </w:p>
        </w:tc>
        <w:tc>
          <w:tcPr>
            <w:tcW w:w="992" w:type="dxa"/>
            <w:gridSpan w:val="2"/>
            <w:shd w:val="clear" w:color="auto" w:fill="F2F2F2" w:themeFill="background1" w:themeFillShade="F2"/>
            <w:vAlign w:val="center"/>
          </w:tcPr>
          <w:p w14:paraId="7CF8281C"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新能源</w:t>
            </w:r>
          </w:p>
        </w:tc>
        <w:tc>
          <w:tcPr>
            <w:tcW w:w="969" w:type="dxa"/>
            <w:shd w:val="clear" w:color="auto" w:fill="F2F2F2" w:themeFill="background1" w:themeFillShade="F2"/>
            <w:vAlign w:val="center"/>
          </w:tcPr>
          <w:p w14:paraId="5727C5C3"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新材料</w:t>
            </w:r>
          </w:p>
        </w:tc>
        <w:tc>
          <w:tcPr>
            <w:tcW w:w="1066" w:type="dxa"/>
            <w:shd w:val="clear" w:color="auto" w:fill="F2F2F2" w:themeFill="background1" w:themeFillShade="F2"/>
            <w:vAlign w:val="center"/>
          </w:tcPr>
          <w:p w14:paraId="2BDAB2F7"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新能源汽车</w:t>
            </w:r>
          </w:p>
        </w:tc>
      </w:tr>
      <w:tr w:rsidR="006E6C9E" w:rsidRPr="00582724" w14:paraId="7E55BFE0" w14:textId="77777777" w:rsidTr="00895602">
        <w:tc>
          <w:tcPr>
            <w:tcW w:w="1276" w:type="dxa"/>
            <w:shd w:val="clear" w:color="auto" w:fill="F2F2F2" w:themeFill="background1" w:themeFillShade="F2"/>
          </w:tcPr>
          <w:p w14:paraId="1444E830" w14:textId="080756FD" w:rsidR="006E6C9E" w:rsidRPr="00582724" w:rsidRDefault="006E6C9E" w:rsidP="006E6C9E">
            <w:pPr>
              <w:spacing w:line="360" w:lineRule="auto"/>
              <w:rPr>
                <w:rFonts w:ascii="仿宋_GB2312" w:eastAsia="仿宋_GB2312" w:hAnsi="Arial" w:cs="Arial"/>
                <w:color w:val="333333"/>
              </w:rPr>
            </w:pPr>
            <w:r w:rsidRPr="00582724">
              <w:rPr>
                <w:rFonts w:ascii="仿宋_GB2312" w:eastAsia="仿宋_GB2312" w:hAnsi="Arial" w:cs="Arial" w:hint="eastAsia"/>
                <w:color w:val="333333"/>
              </w:rPr>
              <w:t>即期企业家信心指数</w:t>
            </w:r>
          </w:p>
        </w:tc>
        <w:tc>
          <w:tcPr>
            <w:tcW w:w="1101" w:type="dxa"/>
          </w:tcPr>
          <w:p w14:paraId="328C475E" w14:textId="77777777" w:rsidR="006E6C9E" w:rsidRPr="00472808" w:rsidRDefault="00FE2C6E" w:rsidP="00786C41">
            <w:pPr>
              <w:jc w:val="center"/>
              <w:rPr>
                <w:rFonts w:asciiTheme="minorEastAsia" w:hAnsiTheme="minorEastAsia"/>
              </w:rPr>
            </w:pPr>
            <w:r w:rsidRPr="00FE2C6E">
              <w:rPr>
                <w:rFonts w:asciiTheme="minorEastAsia" w:hAnsiTheme="minorEastAsia"/>
              </w:rPr>
              <w:t>123.9</w:t>
            </w:r>
          </w:p>
        </w:tc>
        <w:tc>
          <w:tcPr>
            <w:tcW w:w="1275" w:type="dxa"/>
          </w:tcPr>
          <w:p w14:paraId="4A9A9EAF" w14:textId="77777777" w:rsidR="006E6C9E" w:rsidRPr="00472808" w:rsidRDefault="00FE2C6E" w:rsidP="00786C41">
            <w:pPr>
              <w:jc w:val="center"/>
              <w:rPr>
                <w:rFonts w:asciiTheme="minorEastAsia" w:hAnsiTheme="minorEastAsia"/>
              </w:rPr>
            </w:pPr>
            <w:r w:rsidRPr="00FE2C6E">
              <w:rPr>
                <w:rFonts w:asciiTheme="minorEastAsia" w:hAnsiTheme="minorEastAsia"/>
              </w:rPr>
              <w:t>141.2</w:t>
            </w:r>
          </w:p>
        </w:tc>
        <w:tc>
          <w:tcPr>
            <w:tcW w:w="751" w:type="dxa"/>
          </w:tcPr>
          <w:p w14:paraId="28C6766B" w14:textId="77777777" w:rsidR="006E6C9E" w:rsidRPr="00FE2C6E" w:rsidRDefault="00FE2C6E" w:rsidP="00FE2C6E">
            <w:pPr>
              <w:widowControl/>
              <w:jc w:val="center"/>
              <w:rPr>
                <w:rFonts w:asciiTheme="minorEastAsia" w:hAnsiTheme="minorEastAsia"/>
              </w:rPr>
            </w:pPr>
            <w:r w:rsidRPr="00FE2C6E">
              <w:rPr>
                <w:rFonts w:asciiTheme="minorEastAsia" w:hAnsiTheme="minorEastAsia" w:hint="eastAsia"/>
              </w:rPr>
              <w:t>140.7</w:t>
            </w:r>
          </w:p>
        </w:tc>
        <w:tc>
          <w:tcPr>
            <w:tcW w:w="1234" w:type="dxa"/>
            <w:gridSpan w:val="2"/>
          </w:tcPr>
          <w:p w14:paraId="60B9AE5A" w14:textId="77777777" w:rsidR="006E6C9E" w:rsidRPr="00FE2C6E" w:rsidRDefault="00FE2C6E" w:rsidP="00FE2C6E">
            <w:pPr>
              <w:widowControl/>
              <w:jc w:val="center"/>
              <w:rPr>
                <w:rFonts w:asciiTheme="minorEastAsia" w:hAnsiTheme="minorEastAsia"/>
              </w:rPr>
            </w:pPr>
            <w:r w:rsidRPr="00FE2C6E">
              <w:rPr>
                <w:rFonts w:asciiTheme="minorEastAsia" w:hAnsiTheme="minorEastAsia" w:hint="eastAsia"/>
              </w:rPr>
              <w:t>127.7</w:t>
            </w:r>
          </w:p>
        </w:tc>
        <w:tc>
          <w:tcPr>
            <w:tcW w:w="896" w:type="dxa"/>
          </w:tcPr>
          <w:p w14:paraId="4E629779" w14:textId="77777777" w:rsidR="006E6C9E" w:rsidRPr="00FE2C6E" w:rsidRDefault="00FE2C6E" w:rsidP="00FE2C6E">
            <w:pPr>
              <w:widowControl/>
              <w:jc w:val="center"/>
              <w:rPr>
                <w:rFonts w:asciiTheme="minorEastAsia" w:hAnsiTheme="minorEastAsia"/>
              </w:rPr>
            </w:pPr>
            <w:r w:rsidRPr="00FE2C6E">
              <w:rPr>
                <w:rFonts w:asciiTheme="minorEastAsia" w:hAnsiTheme="minorEastAsia" w:hint="eastAsia"/>
              </w:rPr>
              <w:t>143.9</w:t>
            </w:r>
          </w:p>
        </w:tc>
        <w:tc>
          <w:tcPr>
            <w:tcW w:w="1065" w:type="dxa"/>
            <w:gridSpan w:val="2"/>
          </w:tcPr>
          <w:p w14:paraId="3759E290" w14:textId="77777777" w:rsidR="006E6C9E" w:rsidRPr="00FE2C6E" w:rsidRDefault="00FE2C6E" w:rsidP="00FE2C6E">
            <w:pPr>
              <w:widowControl/>
              <w:jc w:val="center"/>
              <w:rPr>
                <w:rFonts w:asciiTheme="minorEastAsia" w:hAnsiTheme="minorEastAsia"/>
              </w:rPr>
            </w:pPr>
            <w:r w:rsidRPr="00FE2C6E">
              <w:rPr>
                <w:rFonts w:asciiTheme="minorEastAsia" w:hAnsiTheme="minorEastAsia" w:hint="eastAsia"/>
              </w:rPr>
              <w:t>132.2</w:t>
            </w:r>
          </w:p>
        </w:tc>
        <w:tc>
          <w:tcPr>
            <w:tcW w:w="1066" w:type="dxa"/>
          </w:tcPr>
          <w:p w14:paraId="0E556D7B" w14:textId="77777777" w:rsidR="006E6C9E" w:rsidRPr="00FE2C6E" w:rsidRDefault="00FE2C6E" w:rsidP="00FE2C6E">
            <w:pPr>
              <w:widowControl/>
              <w:jc w:val="center"/>
              <w:rPr>
                <w:rFonts w:asciiTheme="minorEastAsia" w:hAnsiTheme="minorEastAsia"/>
              </w:rPr>
            </w:pPr>
            <w:r w:rsidRPr="00FE2C6E">
              <w:rPr>
                <w:rFonts w:asciiTheme="minorEastAsia" w:hAnsiTheme="minorEastAsia" w:hint="eastAsia"/>
              </w:rPr>
              <w:t>152.1</w:t>
            </w:r>
          </w:p>
        </w:tc>
      </w:tr>
      <w:tr w:rsidR="006E6C9E" w:rsidRPr="00582724" w14:paraId="6DC50E91" w14:textId="77777777" w:rsidTr="00895602">
        <w:tc>
          <w:tcPr>
            <w:tcW w:w="1276" w:type="dxa"/>
            <w:shd w:val="clear" w:color="auto" w:fill="DAEEF3" w:themeFill="accent5" w:themeFillTint="33"/>
          </w:tcPr>
          <w:p w14:paraId="3AAEFD6B" w14:textId="538E1207" w:rsidR="006E6C9E" w:rsidRPr="00582724" w:rsidRDefault="006E6C9E" w:rsidP="006E6C9E">
            <w:pPr>
              <w:spacing w:line="360" w:lineRule="auto"/>
              <w:rPr>
                <w:rFonts w:ascii="仿宋_GB2312" w:eastAsia="仿宋_GB2312" w:hAnsi="Arial" w:cs="Arial"/>
                <w:color w:val="333333"/>
              </w:rPr>
            </w:pPr>
            <w:r w:rsidRPr="00582724">
              <w:rPr>
                <w:rFonts w:ascii="仿宋_GB2312" w:eastAsia="仿宋_GB2312" w:hAnsi="Arial" w:cs="Arial" w:hint="eastAsia"/>
                <w:color w:val="333333"/>
              </w:rPr>
              <w:t>预期企业家信心指数</w:t>
            </w:r>
          </w:p>
        </w:tc>
        <w:tc>
          <w:tcPr>
            <w:tcW w:w="1101" w:type="dxa"/>
            <w:shd w:val="clear" w:color="auto" w:fill="DAEEF3" w:themeFill="accent5" w:themeFillTint="33"/>
          </w:tcPr>
          <w:p w14:paraId="663CD440"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133.1</w:t>
            </w:r>
          </w:p>
        </w:tc>
        <w:tc>
          <w:tcPr>
            <w:tcW w:w="1275" w:type="dxa"/>
            <w:shd w:val="clear" w:color="auto" w:fill="DAEEF3" w:themeFill="accent5" w:themeFillTint="33"/>
          </w:tcPr>
          <w:p w14:paraId="46A7880C"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150.3</w:t>
            </w:r>
          </w:p>
        </w:tc>
        <w:tc>
          <w:tcPr>
            <w:tcW w:w="751" w:type="dxa"/>
            <w:shd w:val="clear" w:color="auto" w:fill="DAEEF3" w:themeFill="accent5" w:themeFillTint="33"/>
          </w:tcPr>
          <w:p w14:paraId="241B044F"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149</w:t>
            </w:r>
          </w:p>
        </w:tc>
        <w:tc>
          <w:tcPr>
            <w:tcW w:w="1234" w:type="dxa"/>
            <w:gridSpan w:val="2"/>
            <w:shd w:val="clear" w:color="auto" w:fill="DAEEF3" w:themeFill="accent5" w:themeFillTint="33"/>
          </w:tcPr>
          <w:p w14:paraId="3B811D45"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133.5</w:t>
            </w:r>
          </w:p>
        </w:tc>
        <w:tc>
          <w:tcPr>
            <w:tcW w:w="896" w:type="dxa"/>
            <w:shd w:val="clear" w:color="auto" w:fill="DAEEF3" w:themeFill="accent5" w:themeFillTint="33"/>
          </w:tcPr>
          <w:p w14:paraId="634CC059"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142.6</w:t>
            </w:r>
          </w:p>
        </w:tc>
        <w:tc>
          <w:tcPr>
            <w:tcW w:w="1065" w:type="dxa"/>
            <w:gridSpan w:val="2"/>
            <w:shd w:val="clear" w:color="auto" w:fill="DAEEF3" w:themeFill="accent5" w:themeFillTint="33"/>
          </w:tcPr>
          <w:p w14:paraId="127BFFD6"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132.2</w:t>
            </w:r>
          </w:p>
        </w:tc>
        <w:tc>
          <w:tcPr>
            <w:tcW w:w="1066" w:type="dxa"/>
            <w:shd w:val="clear" w:color="auto" w:fill="DAEEF3" w:themeFill="accent5" w:themeFillTint="33"/>
          </w:tcPr>
          <w:p w14:paraId="3A125EA1"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169.6</w:t>
            </w:r>
          </w:p>
        </w:tc>
      </w:tr>
      <w:tr w:rsidR="006E6C9E" w:rsidRPr="00582724" w14:paraId="4858FE59" w14:textId="77777777" w:rsidTr="00895602">
        <w:tc>
          <w:tcPr>
            <w:tcW w:w="1276" w:type="dxa"/>
            <w:shd w:val="clear" w:color="auto" w:fill="F2F2F2" w:themeFill="background1" w:themeFillShade="F2"/>
          </w:tcPr>
          <w:p w14:paraId="3BCCC6D7" w14:textId="3E6236FE" w:rsidR="006E6C9E" w:rsidRPr="00582724" w:rsidRDefault="006E6C9E" w:rsidP="006E6C9E">
            <w:pPr>
              <w:spacing w:line="360" w:lineRule="auto"/>
              <w:rPr>
                <w:rFonts w:ascii="仿宋_GB2312" w:eastAsia="仿宋_GB2312" w:hAnsi="Arial" w:cs="Arial"/>
                <w:color w:val="333333"/>
              </w:rPr>
            </w:pPr>
            <w:r w:rsidRPr="00582724">
              <w:rPr>
                <w:rFonts w:ascii="仿宋_GB2312" w:eastAsia="仿宋_GB2312" w:hAnsi="Arial" w:cs="Arial" w:hint="eastAsia"/>
                <w:color w:val="333333"/>
              </w:rPr>
              <w:t>即期行业景气指数</w:t>
            </w:r>
          </w:p>
        </w:tc>
        <w:tc>
          <w:tcPr>
            <w:tcW w:w="1101" w:type="dxa"/>
          </w:tcPr>
          <w:p w14:paraId="39F4EAD1"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123.1</w:t>
            </w:r>
          </w:p>
        </w:tc>
        <w:tc>
          <w:tcPr>
            <w:tcW w:w="1275" w:type="dxa"/>
          </w:tcPr>
          <w:p w14:paraId="03E11D0F"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135.9</w:t>
            </w:r>
          </w:p>
        </w:tc>
        <w:tc>
          <w:tcPr>
            <w:tcW w:w="751" w:type="dxa"/>
          </w:tcPr>
          <w:p w14:paraId="6E2486B6"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142.9</w:t>
            </w:r>
          </w:p>
        </w:tc>
        <w:tc>
          <w:tcPr>
            <w:tcW w:w="1234" w:type="dxa"/>
            <w:gridSpan w:val="2"/>
          </w:tcPr>
          <w:p w14:paraId="0A50F226"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123.7</w:t>
            </w:r>
          </w:p>
        </w:tc>
        <w:tc>
          <w:tcPr>
            <w:tcW w:w="896" w:type="dxa"/>
          </w:tcPr>
          <w:p w14:paraId="5E66635C"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136.5</w:t>
            </w:r>
          </w:p>
        </w:tc>
        <w:tc>
          <w:tcPr>
            <w:tcW w:w="1065" w:type="dxa"/>
            <w:gridSpan w:val="2"/>
          </w:tcPr>
          <w:p w14:paraId="18FEAC2C"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128</w:t>
            </w:r>
          </w:p>
        </w:tc>
        <w:tc>
          <w:tcPr>
            <w:tcW w:w="1066" w:type="dxa"/>
          </w:tcPr>
          <w:p w14:paraId="7D1FCF19"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152.1</w:t>
            </w:r>
          </w:p>
        </w:tc>
      </w:tr>
      <w:tr w:rsidR="006E6C9E" w:rsidRPr="00582724" w14:paraId="42D8A2CE" w14:textId="77777777" w:rsidTr="00895602">
        <w:tc>
          <w:tcPr>
            <w:tcW w:w="1276" w:type="dxa"/>
            <w:shd w:val="clear" w:color="auto" w:fill="DAEEF3" w:themeFill="accent5" w:themeFillTint="33"/>
          </w:tcPr>
          <w:p w14:paraId="1922775F" w14:textId="49DAB7BE" w:rsidR="006E6C9E" w:rsidRPr="00582724" w:rsidRDefault="006E6C9E" w:rsidP="006E6C9E">
            <w:pPr>
              <w:spacing w:line="360" w:lineRule="auto"/>
              <w:rPr>
                <w:rFonts w:ascii="仿宋_GB2312" w:eastAsia="仿宋_GB2312" w:hAnsi="Arial" w:cs="Arial"/>
                <w:color w:val="333333"/>
              </w:rPr>
            </w:pPr>
            <w:r w:rsidRPr="00582724">
              <w:rPr>
                <w:rFonts w:ascii="仿宋_GB2312" w:eastAsia="仿宋_GB2312" w:hAnsi="Arial" w:cs="Arial" w:hint="eastAsia"/>
                <w:color w:val="333333"/>
              </w:rPr>
              <w:t>预期行业景气指数</w:t>
            </w:r>
          </w:p>
        </w:tc>
        <w:tc>
          <w:tcPr>
            <w:tcW w:w="1101" w:type="dxa"/>
            <w:shd w:val="clear" w:color="auto" w:fill="DAEEF3" w:themeFill="accent5" w:themeFillTint="33"/>
          </w:tcPr>
          <w:p w14:paraId="5A4A4596"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138.1</w:t>
            </w:r>
          </w:p>
        </w:tc>
        <w:tc>
          <w:tcPr>
            <w:tcW w:w="1275" w:type="dxa"/>
            <w:shd w:val="clear" w:color="auto" w:fill="DAEEF3" w:themeFill="accent5" w:themeFillTint="33"/>
          </w:tcPr>
          <w:p w14:paraId="6E5C6FAB"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151.6</w:t>
            </w:r>
          </w:p>
        </w:tc>
        <w:tc>
          <w:tcPr>
            <w:tcW w:w="751" w:type="dxa"/>
            <w:shd w:val="clear" w:color="auto" w:fill="DAEEF3" w:themeFill="accent5" w:themeFillTint="33"/>
          </w:tcPr>
          <w:p w14:paraId="6B34EDB4"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150.2</w:t>
            </w:r>
          </w:p>
        </w:tc>
        <w:tc>
          <w:tcPr>
            <w:tcW w:w="1234" w:type="dxa"/>
            <w:gridSpan w:val="2"/>
            <w:shd w:val="clear" w:color="auto" w:fill="DAEEF3" w:themeFill="accent5" w:themeFillTint="33"/>
          </w:tcPr>
          <w:p w14:paraId="688FF285"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138.9</w:t>
            </w:r>
          </w:p>
        </w:tc>
        <w:tc>
          <w:tcPr>
            <w:tcW w:w="896" w:type="dxa"/>
            <w:shd w:val="clear" w:color="auto" w:fill="DAEEF3" w:themeFill="accent5" w:themeFillTint="33"/>
          </w:tcPr>
          <w:p w14:paraId="7557DA50"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148.8</w:t>
            </w:r>
          </w:p>
        </w:tc>
        <w:tc>
          <w:tcPr>
            <w:tcW w:w="1065" w:type="dxa"/>
            <w:gridSpan w:val="2"/>
            <w:shd w:val="clear" w:color="auto" w:fill="DAEEF3" w:themeFill="accent5" w:themeFillTint="33"/>
          </w:tcPr>
          <w:p w14:paraId="465F34E2"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131.5</w:t>
            </w:r>
          </w:p>
        </w:tc>
        <w:tc>
          <w:tcPr>
            <w:tcW w:w="1066" w:type="dxa"/>
            <w:shd w:val="clear" w:color="auto" w:fill="DAEEF3" w:themeFill="accent5" w:themeFillTint="33"/>
          </w:tcPr>
          <w:p w14:paraId="4D7CABD3" w14:textId="77777777" w:rsidR="006E6C9E" w:rsidRPr="00FE2C6E" w:rsidRDefault="00FE2C6E" w:rsidP="00FE2C6E">
            <w:pPr>
              <w:jc w:val="center"/>
              <w:rPr>
                <w:rFonts w:asciiTheme="minorEastAsia" w:hAnsiTheme="minorEastAsia"/>
              </w:rPr>
            </w:pPr>
            <w:r w:rsidRPr="00FE2C6E">
              <w:rPr>
                <w:rFonts w:asciiTheme="minorEastAsia" w:hAnsiTheme="minorEastAsia" w:hint="eastAsia"/>
              </w:rPr>
              <w:t>160.9</w:t>
            </w:r>
          </w:p>
        </w:tc>
      </w:tr>
    </w:tbl>
    <w:p w14:paraId="0BEA9AEC" w14:textId="542B1EB5" w:rsidR="009307EA" w:rsidRDefault="009307EA" w:rsidP="00582724">
      <w:pPr>
        <w:spacing w:line="360" w:lineRule="auto"/>
        <w:ind w:firstLineChars="200" w:firstLine="440"/>
        <w:rPr>
          <w:rFonts w:ascii="仿宋_GB2312" w:eastAsia="仿宋_GB2312"/>
          <w:sz w:val="22"/>
        </w:rPr>
      </w:pPr>
    </w:p>
    <w:p w14:paraId="4245FA4B" w14:textId="6D654275" w:rsidR="009E764F" w:rsidRDefault="003C2B3F" w:rsidP="00582724">
      <w:pPr>
        <w:spacing w:line="360" w:lineRule="auto"/>
        <w:ind w:firstLineChars="200" w:firstLine="440"/>
        <w:rPr>
          <w:rFonts w:ascii="仿宋_GB2312" w:eastAsia="仿宋_GB2312"/>
          <w:sz w:val="22"/>
        </w:rPr>
      </w:pPr>
      <w:r w:rsidRPr="003C2B3F">
        <w:rPr>
          <w:rFonts w:ascii="仿宋_GB2312" w:eastAsia="仿宋_GB2312" w:hint="eastAsia"/>
          <w:sz w:val="22"/>
        </w:rPr>
        <w:t>从</w:t>
      </w:r>
      <w:r w:rsidR="009E764F">
        <w:rPr>
          <w:rFonts w:ascii="仿宋_GB2312" w:eastAsia="仿宋_GB2312" w:hint="eastAsia"/>
          <w:sz w:val="22"/>
        </w:rPr>
        <w:t>七大产业的发展趋势来看，新能源汽车、新一代信息技术、节能环保和新材料</w:t>
      </w:r>
      <w:r>
        <w:rPr>
          <w:rFonts w:ascii="仿宋_GB2312" w:eastAsia="仿宋_GB2312" w:hint="eastAsia"/>
          <w:sz w:val="22"/>
        </w:rPr>
        <w:t>呈现上涨态势（见图1</w:t>
      </w:r>
      <w:r w:rsidR="00F80580">
        <w:rPr>
          <w:rFonts w:ascii="仿宋_GB2312" w:eastAsia="仿宋_GB2312" w:hint="eastAsia"/>
          <w:sz w:val="22"/>
        </w:rPr>
        <w:t>3</w:t>
      </w:r>
      <w:r>
        <w:rPr>
          <w:rFonts w:ascii="仿宋_GB2312" w:eastAsia="仿宋_GB2312" w:hint="eastAsia"/>
          <w:sz w:val="22"/>
        </w:rPr>
        <w:t>），</w:t>
      </w:r>
      <w:r w:rsidR="004A6EC9">
        <w:rPr>
          <w:rFonts w:ascii="仿宋_GB2312" w:eastAsia="仿宋_GB2312" w:hint="eastAsia"/>
          <w:sz w:val="22"/>
        </w:rPr>
        <w:t>其中，</w:t>
      </w:r>
      <w:r w:rsidR="00A059ED">
        <w:rPr>
          <w:rFonts w:ascii="仿宋_GB2312" w:eastAsia="仿宋_GB2312" w:hint="eastAsia"/>
          <w:sz w:val="22"/>
        </w:rPr>
        <w:t>新材料</w:t>
      </w:r>
      <w:r w:rsidR="000B336A">
        <w:rPr>
          <w:rFonts w:ascii="仿宋_GB2312" w:eastAsia="仿宋_GB2312" w:hint="eastAsia"/>
          <w:sz w:val="22"/>
        </w:rPr>
        <w:t>产业</w:t>
      </w:r>
      <w:r w:rsidR="00A059ED">
        <w:rPr>
          <w:rFonts w:ascii="仿宋_GB2312" w:eastAsia="仿宋_GB2312" w:hint="eastAsia"/>
          <w:sz w:val="22"/>
        </w:rPr>
        <w:t>连续三个季度增长</w:t>
      </w:r>
      <w:r w:rsidR="001D6E1E">
        <w:rPr>
          <w:rFonts w:ascii="仿宋_GB2312" w:eastAsia="仿宋_GB2312" w:hint="eastAsia"/>
          <w:sz w:val="22"/>
        </w:rPr>
        <w:t>，节能环保产业在经历三</w:t>
      </w:r>
      <w:r w:rsidR="000B336A">
        <w:rPr>
          <w:rFonts w:ascii="仿宋_GB2312" w:eastAsia="仿宋_GB2312" w:hint="eastAsia"/>
          <w:sz w:val="22"/>
        </w:rPr>
        <w:t>个季度下滑后终于迎来回暖</w:t>
      </w:r>
      <w:r w:rsidR="009E764F">
        <w:rPr>
          <w:rFonts w:ascii="仿宋_GB2312" w:eastAsia="仿宋_GB2312" w:hint="eastAsia"/>
          <w:sz w:val="22"/>
        </w:rPr>
        <w:t>；高端装备制造和生物较一季度无明显变化；新能源产业明显下滑，出现2015年以来的最低点。</w:t>
      </w:r>
    </w:p>
    <w:p w14:paraId="119FEFAF" w14:textId="13C8D475" w:rsidR="00E11929" w:rsidRDefault="00E11929" w:rsidP="00DD3FC0">
      <w:pPr>
        <w:spacing w:line="360" w:lineRule="auto"/>
        <w:jc w:val="center"/>
        <w:rPr>
          <w:rFonts w:ascii="仿宋_GB2312" w:eastAsia="仿宋_GB2312"/>
          <w:sz w:val="22"/>
        </w:rPr>
      </w:pPr>
    </w:p>
    <w:p w14:paraId="79163386" w14:textId="152CCC03" w:rsidR="00E11929" w:rsidRDefault="005360FF" w:rsidP="00607379">
      <w:pPr>
        <w:spacing w:line="360" w:lineRule="auto"/>
        <w:ind w:leftChars="-270" w:left="-567" w:rightChars="-27" w:right="-57"/>
        <w:jc w:val="right"/>
        <w:rPr>
          <w:noProof/>
        </w:rPr>
      </w:pPr>
      <w:r w:rsidRPr="005360FF">
        <w:rPr>
          <w:rFonts w:ascii="仿宋_GB2312" w:eastAsia="仿宋_GB2312"/>
          <w:noProof/>
          <w:sz w:val="22"/>
        </w:rPr>
        <mc:AlternateContent>
          <mc:Choice Requires="wps">
            <w:drawing>
              <wp:anchor distT="0" distB="0" distL="114300" distR="114300" simplePos="0" relativeHeight="251666432" behindDoc="0" locked="0" layoutInCell="1" allowOverlap="1" wp14:anchorId="53F3D773" wp14:editId="71840C57">
                <wp:simplePos x="0" y="0"/>
                <wp:positionH relativeFrom="column">
                  <wp:posOffset>9525</wp:posOffset>
                </wp:positionH>
                <wp:positionV relativeFrom="paragraph">
                  <wp:posOffset>161925</wp:posOffset>
                </wp:positionV>
                <wp:extent cx="5276850" cy="3371850"/>
                <wp:effectExtent l="0" t="0" r="19050" b="19050"/>
                <wp:wrapNone/>
                <wp:docPr id="33" name="矩形 2"/>
                <wp:cNvGraphicFramePr/>
                <a:graphic xmlns:a="http://schemas.openxmlformats.org/drawingml/2006/main">
                  <a:graphicData uri="http://schemas.microsoft.com/office/word/2010/wordprocessingShape">
                    <wps:wsp>
                      <wps:cNvSpPr/>
                      <wps:spPr>
                        <a:xfrm>
                          <a:off x="0" y="0"/>
                          <a:ext cx="5276850" cy="3371850"/>
                        </a:xfrm>
                        <a:prstGeom prst="rect">
                          <a:avLst/>
                        </a:prstGeom>
                        <a:no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6DCEB8" id="矩形 2" o:spid="_x0000_s1026" style="position:absolute;left:0;text-align:left;margin-left:.75pt;margin-top:12.75pt;width:415.5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" filled="f" strokecolor="#d8d8d8 [2732]" strokeweight=".25pt"/>
            </w:pict>
          </mc:Fallback>
        </mc:AlternateContent>
      </w:r>
      <w:r w:rsidR="005B4A66">
        <w:rPr>
          <w:noProof/>
        </w:rPr>
        <w:drawing>
          <wp:inline distT="0" distB="0" distL="0" distR="0" wp14:anchorId="5DD8FB0E" wp14:editId="1DDE3F5F">
            <wp:extent cx="1819275" cy="1590675"/>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5B4A66" w:rsidRPr="005B4A66">
        <w:rPr>
          <w:noProof/>
        </w:rPr>
        <w:t xml:space="preserve"> </w:t>
      </w:r>
      <w:r w:rsidR="005B4A66">
        <w:rPr>
          <w:noProof/>
        </w:rPr>
        <w:drawing>
          <wp:inline distT="0" distB="0" distL="0" distR="0" wp14:anchorId="322709D9" wp14:editId="01338EF7">
            <wp:extent cx="1743075" cy="1590675"/>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224773" w:rsidRPr="00224773">
        <w:rPr>
          <w:noProof/>
        </w:rPr>
        <w:t xml:space="preserve"> </w:t>
      </w:r>
      <w:r w:rsidR="00224773">
        <w:rPr>
          <w:noProof/>
        </w:rPr>
        <w:drawing>
          <wp:inline distT="0" distB="0" distL="0" distR="0" wp14:anchorId="6D5C5D2F" wp14:editId="0ED967FE">
            <wp:extent cx="1657350" cy="1524000"/>
            <wp:effectExtent l="0" t="0" r="0"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2BF75A" w14:textId="784549CA" w:rsidR="00224773" w:rsidRDefault="00224773" w:rsidP="00607379">
      <w:pPr>
        <w:spacing w:line="360" w:lineRule="auto"/>
        <w:ind w:leftChars="-270" w:left="-567" w:rightChars="-27" w:right="-57"/>
        <w:jc w:val="right"/>
        <w:rPr>
          <w:noProof/>
        </w:rPr>
      </w:pPr>
      <w:r>
        <w:rPr>
          <w:noProof/>
        </w:rPr>
        <w:lastRenderedPageBreak/>
        <w:drawing>
          <wp:inline distT="0" distB="0" distL="0" distR="0" wp14:anchorId="6D3D8FC6" wp14:editId="30D670AF">
            <wp:extent cx="1447800" cy="1562100"/>
            <wp:effectExtent l="0" t="0" r="0" b="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224773">
        <w:rPr>
          <w:noProof/>
        </w:rPr>
        <w:t xml:space="preserve"> </w:t>
      </w:r>
      <w:r>
        <w:rPr>
          <w:noProof/>
        </w:rPr>
        <w:drawing>
          <wp:inline distT="0" distB="0" distL="0" distR="0" wp14:anchorId="62752F9C" wp14:editId="540A7925">
            <wp:extent cx="1276350" cy="1562100"/>
            <wp:effectExtent l="0" t="0" r="0" b="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224773">
        <w:rPr>
          <w:noProof/>
        </w:rPr>
        <w:t xml:space="preserve"> </w:t>
      </w:r>
      <w:r w:rsidR="005360FF">
        <w:rPr>
          <w:noProof/>
        </w:rPr>
        <w:drawing>
          <wp:inline distT="0" distB="0" distL="0" distR="0" wp14:anchorId="1A0C7440" wp14:editId="55A5C885">
            <wp:extent cx="1228725" cy="1724025"/>
            <wp:effectExtent l="0" t="0" r="0" b="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817DB9" w:rsidRPr="00817DB9">
        <w:rPr>
          <w:noProof/>
        </w:rPr>
        <w:t xml:space="preserve"> </w:t>
      </w:r>
      <w:r w:rsidR="00817DB9">
        <w:rPr>
          <w:noProof/>
        </w:rPr>
        <w:drawing>
          <wp:inline distT="0" distB="0" distL="0" distR="0" wp14:anchorId="7F0B27F0" wp14:editId="3FDB284C">
            <wp:extent cx="1219200" cy="1562100"/>
            <wp:effectExtent l="0" t="0" r="0" b="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0A49DE7" w14:textId="37E6F0F8" w:rsidR="005360FF" w:rsidRDefault="005360FF" w:rsidP="005360FF">
      <w:pPr>
        <w:spacing w:line="360" w:lineRule="auto"/>
        <w:jc w:val="center"/>
        <w:rPr>
          <w:rFonts w:asciiTheme="minorEastAsia" w:hAnsiTheme="minorEastAsia"/>
          <w:sz w:val="20"/>
        </w:rPr>
      </w:pPr>
      <w:r w:rsidRPr="006933C7">
        <w:rPr>
          <w:rFonts w:asciiTheme="minorEastAsia" w:hAnsiTheme="minorEastAsia" w:hint="eastAsia"/>
          <w:sz w:val="20"/>
        </w:rPr>
        <w:t>图</w:t>
      </w:r>
      <w:r>
        <w:rPr>
          <w:rFonts w:asciiTheme="minorEastAsia" w:hAnsiTheme="minorEastAsia" w:hint="eastAsia"/>
          <w:sz w:val="20"/>
        </w:rPr>
        <w:t>13</w:t>
      </w:r>
      <w:r w:rsidRPr="006933C7">
        <w:rPr>
          <w:rFonts w:asciiTheme="minorEastAsia" w:hAnsiTheme="minorEastAsia" w:hint="eastAsia"/>
          <w:sz w:val="20"/>
        </w:rPr>
        <w:t xml:space="preserve"> 2015年以来战略性新兴产业行业景气指数（分产业）</w:t>
      </w:r>
    </w:p>
    <w:p w14:paraId="6964F050" w14:textId="77777777" w:rsidR="00C91E6D" w:rsidRDefault="00C91E6D" w:rsidP="00C91E6D">
      <w:pPr>
        <w:spacing w:line="360" w:lineRule="auto"/>
        <w:jc w:val="left"/>
        <w:rPr>
          <w:rFonts w:asciiTheme="minorEastAsia" w:hAnsiTheme="minorEastAsia"/>
          <w:sz w:val="20"/>
        </w:rPr>
      </w:pPr>
    </w:p>
    <w:p w14:paraId="60640ACC" w14:textId="2A70EB0B" w:rsidR="00C91E6D" w:rsidRDefault="00C91E6D" w:rsidP="00C91E6D">
      <w:pPr>
        <w:spacing w:line="360" w:lineRule="auto"/>
        <w:ind w:firstLineChars="200" w:firstLine="442"/>
        <w:rPr>
          <w:rFonts w:ascii="仿宋_GB2312" w:eastAsia="仿宋_GB2312"/>
          <w:b/>
          <w:sz w:val="22"/>
        </w:rPr>
      </w:pPr>
      <w:r w:rsidRPr="00C91E6D">
        <w:rPr>
          <w:rFonts w:ascii="仿宋_GB2312" w:eastAsia="仿宋_GB2312" w:hint="eastAsia"/>
          <w:b/>
          <w:sz w:val="22"/>
        </w:rPr>
        <w:t>四、</w:t>
      </w:r>
      <w:r w:rsidR="00271ED4">
        <w:rPr>
          <w:rFonts w:ascii="仿宋_GB2312" w:eastAsia="仿宋_GB2312" w:hint="eastAsia"/>
          <w:b/>
          <w:sz w:val="22"/>
        </w:rPr>
        <w:t>原因分析</w:t>
      </w:r>
    </w:p>
    <w:p w14:paraId="4999D431" w14:textId="6F55A0D7" w:rsidR="00E268C6" w:rsidRPr="00E268C6" w:rsidRDefault="000C536D" w:rsidP="000C536D">
      <w:pPr>
        <w:spacing w:line="360" w:lineRule="auto"/>
        <w:ind w:firstLineChars="200" w:firstLine="440"/>
        <w:rPr>
          <w:rFonts w:ascii="仿宋_GB2312" w:eastAsia="仿宋_GB2312"/>
          <w:sz w:val="22"/>
        </w:rPr>
      </w:pPr>
      <w:r w:rsidRPr="000C536D">
        <w:rPr>
          <w:rFonts w:ascii="仿宋_GB2312" w:eastAsia="仿宋_GB2312" w:hint="eastAsia"/>
          <w:sz w:val="22"/>
        </w:rPr>
        <w:t>二季度行业景气指数和企业家信心指数下滑主要由经济周期、产业发展周期和部分产业产能转移等因素影响。第一，在经济周期的持续影响下，增长疲软开始传导至新兴产业，部分产业受到需求冲击。经济增长放缓一方面造成能源和原材料价格下降，导致海洋工程等相关产业需求下滑，另一方面造成下游制造业发展放缓，导致上游装备和材料产业如数控装备和新材料产业需求萎靡，同时对节能环保等外部性特征明显的产业形成冲击；第二，随着产业基数的不断扩大，前期高增长的态势将有所放缓，如通信行业4G投资快速增长使其产品在短期内得以大规模普及，新增需求增速回落；第三，信息产业产能逐步外移导致出口动能减弱，如三星、仁宝、富士</w:t>
      </w:r>
      <w:proofErr w:type="gramStart"/>
      <w:r w:rsidRPr="000C536D">
        <w:rPr>
          <w:rFonts w:ascii="仿宋_GB2312" w:eastAsia="仿宋_GB2312" w:hint="eastAsia"/>
          <w:sz w:val="22"/>
        </w:rPr>
        <w:t>康纷纷</w:t>
      </w:r>
      <w:proofErr w:type="gramEnd"/>
      <w:r w:rsidRPr="000C536D">
        <w:rPr>
          <w:rFonts w:ascii="仿宋_GB2312" w:eastAsia="仿宋_GB2312" w:hint="eastAsia"/>
          <w:sz w:val="22"/>
        </w:rPr>
        <w:t>在东南亚和印度设厂，三星在中国苏州和东莞的代工厂已经停产；第四，部分产业密集出台规范政策导致产业增速受到负面影响，新医改打破了医药制造业的原有格局，</w:t>
      </w:r>
      <w:proofErr w:type="gramStart"/>
      <w:r w:rsidRPr="000C536D">
        <w:rPr>
          <w:rFonts w:ascii="仿宋_GB2312" w:eastAsia="仿宋_GB2312" w:hint="eastAsia"/>
          <w:sz w:val="22"/>
        </w:rPr>
        <w:t>医保控费</w:t>
      </w:r>
      <w:proofErr w:type="gramEnd"/>
      <w:r w:rsidRPr="000C536D">
        <w:rPr>
          <w:rFonts w:ascii="仿宋_GB2312" w:eastAsia="仿宋_GB2312" w:hint="eastAsia"/>
          <w:sz w:val="22"/>
        </w:rPr>
        <w:t>、药品降价、从严的药品审批制度及两票制等新政使产业面临空前挑战，整个产业进入艰难转型期。作为新经济的突破口和重要抓手，战略性新兴产业在未来仍然值得期待，需在增强产业竞争力、开辟新市场、培育新增长点等方面施策，以恢复产业增长势头、释放产业增长潜能。</w:t>
      </w:r>
    </w:p>
    <w:sectPr w:rsidR="00E268C6" w:rsidRPr="00E268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21E25" w14:textId="77777777" w:rsidR="002849EA" w:rsidRDefault="002849EA"/>
  </w:endnote>
  <w:endnote w:type="continuationSeparator" w:id="0">
    <w:p w14:paraId="5B2EC2F9" w14:textId="77777777" w:rsidR="002849EA" w:rsidRDefault="00284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B912A" w14:textId="77777777" w:rsidR="002849EA" w:rsidRDefault="002849EA"/>
  </w:footnote>
  <w:footnote w:type="continuationSeparator" w:id="0">
    <w:p w14:paraId="748E1C1A" w14:textId="77777777" w:rsidR="002849EA" w:rsidRDefault="002849E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91"/>
    <w:rsid w:val="0000039D"/>
    <w:rsid w:val="00005438"/>
    <w:rsid w:val="0000764A"/>
    <w:rsid w:val="000122FD"/>
    <w:rsid w:val="00015A15"/>
    <w:rsid w:val="00017B76"/>
    <w:rsid w:val="000202C6"/>
    <w:rsid w:val="00023FA6"/>
    <w:rsid w:val="000268C4"/>
    <w:rsid w:val="000301A8"/>
    <w:rsid w:val="00031575"/>
    <w:rsid w:val="00045408"/>
    <w:rsid w:val="000626C5"/>
    <w:rsid w:val="00065BD7"/>
    <w:rsid w:val="00067643"/>
    <w:rsid w:val="00067D72"/>
    <w:rsid w:val="000720E3"/>
    <w:rsid w:val="00077443"/>
    <w:rsid w:val="00082009"/>
    <w:rsid w:val="00086359"/>
    <w:rsid w:val="00087F1D"/>
    <w:rsid w:val="000971FD"/>
    <w:rsid w:val="000A02CE"/>
    <w:rsid w:val="000A4E06"/>
    <w:rsid w:val="000A5F60"/>
    <w:rsid w:val="000A6760"/>
    <w:rsid w:val="000B0AD3"/>
    <w:rsid w:val="000B336A"/>
    <w:rsid w:val="000B5E37"/>
    <w:rsid w:val="000B7D96"/>
    <w:rsid w:val="000C2589"/>
    <w:rsid w:val="000C536D"/>
    <w:rsid w:val="000C7AEB"/>
    <w:rsid w:val="000D4ED7"/>
    <w:rsid w:val="000E1A9D"/>
    <w:rsid w:val="000E49BA"/>
    <w:rsid w:val="000E5643"/>
    <w:rsid w:val="000E5FB0"/>
    <w:rsid w:val="000E73B7"/>
    <w:rsid w:val="000E74FF"/>
    <w:rsid w:val="000F4457"/>
    <w:rsid w:val="000F71B3"/>
    <w:rsid w:val="00100842"/>
    <w:rsid w:val="00103964"/>
    <w:rsid w:val="00106EF8"/>
    <w:rsid w:val="00110ECE"/>
    <w:rsid w:val="00116AC8"/>
    <w:rsid w:val="00117EF8"/>
    <w:rsid w:val="00120AC5"/>
    <w:rsid w:val="001214FB"/>
    <w:rsid w:val="0012411D"/>
    <w:rsid w:val="00126D36"/>
    <w:rsid w:val="00132BE9"/>
    <w:rsid w:val="00137AE2"/>
    <w:rsid w:val="00152ECF"/>
    <w:rsid w:val="00155032"/>
    <w:rsid w:val="0016368A"/>
    <w:rsid w:val="001701C0"/>
    <w:rsid w:val="00171286"/>
    <w:rsid w:val="00173C84"/>
    <w:rsid w:val="00175C41"/>
    <w:rsid w:val="0017746A"/>
    <w:rsid w:val="00177CE8"/>
    <w:rsid w:val="00181451"/>
    <w:rsid w:val="00181E3F"/>
    <w:rsid w:val="0018386D"/>
    <w:rsid w:val="0018559C"/>
    <w:rsid w:val="00193C4D"/>
    <w:rsid w:val="0019683B"/>
    <w:rsid w:val="001A0556"/>
    <w:rsid w:val="001A068E"/>
    <w:rsid w:val="001A0DEF"/>
    <w:rsid w:val="001B173B"/>
    <w:rsid w:val="001B29BA"/>
    <w:rsid w:val="001B2C83"/>
    <w:rsid w:val="001B40A5"/>
    <w:rsid w:val="001B46DB"/>
    <w:rsid w:val="001B6A9C"/>
    <w:rsid w:val="001B71EB"/>
    <w:rsid w:val="001C35B9"/>
    <w:rsid w:val="001D189D"/>
    <w:rsid w:val="001D6E1E"/>
    <w:rsid w:val="001D7BA0"/>
    <w:rsid w:val="001E001F"/>
    <w:rsid w:val="001E611F"/>
    <w:rsid w:val="001F6511"/>
    <w:rsid w:val="001F6B61"/>
    <w:rsid w:val="00204018"/>
    <w:rsid w:val="00204AB8"/>
    <w:rsid w:val="0020501B"/>
    <w:rsid w:val="00206EB1"/>
    <w:rsid w:val="0021002D"/>
    <w:rsid w:val="00217A08"/>
    <w:rsid w:val="002241F4"/>
    <w:rsid w:val="00224773"/>
    <w:rsid w:val="00226FB0"/>
    <w:rsid w:val="0023241C"/>
    <w:rsid w:val="0023243D"/>
    <w:rsid w:val="00235225"/>
    <w:rsid w:val="002410BA"/>
    <w:rsid w:val="002475F2"/>
    <w:rsid w:val="00254175"/>
    <w:rsid w:val="00254262"/>
    <w:rsid w:val="00254F28"/>
    <w:rsid w:val="00262B58"/>
    <w:rsid w:val="00263168"/>
    <w:rsid w:val="00264FED"/>
    <w:rsid w:val="002679BA"/>
    <w:rsid w:val="00271ED4"/>
    <w:rsid w:val="00272957"/>
    <w:rsid w:val="00274310"/>
    <w:rsid w:val="00274F16"/>
    <w:rsid w:val="00275B1A"/>
    <w:rsid w:val="00275FCD"/>
    <w:rsid w:val="00280973"/>
    <w:rsid w:val="002849EA"/>
    <w:rsid w:val="00291330"/>
    <w:rsid w:val="002A390E"/>
    <w:rsid w:val="002D101D"/>
    <w:rsid w:val="002E471A"/>
    <w:rsid w:val="002E5A29"/>
    <w:rsid w:val="002F2ADC"/>
    <w:rsid w:val="00300259"/>
    <w:rsid w:val="003057D3"/>
    <w:rsid w:val="00305E32"/>
    <w:rsid w:val="00311082"/>
    <w:rsid w:val="00312B6A"/>
    <w:rsid w:val="0031776C"/>
    <w:rsid w:val="00317C58"/>
    <w:rsid w:val="0032412D"/>
    <w:rsid w:val="00332A1A"/>
    <w:rsid w:val="00334887"/>
    <w:rsid w:val="00344990"/>
    <w:rsid w:val="00344F7E"/>
    <w:rsid w:val="00366231"/>
    <w:rsid w:val="0036754E"/>
    <w:rsid w:val="0037260D"/>
    <w:rsid w:val="00372DB3"/>
    <w:rsid w:val="00380A45"/>
    <w:rsid w:val="00381B66"/>
    <w:rsid w:val="00383466"/>
    <w:rsid w:val="00383DA7"/>
    <w:rsid w:val="00384695"/>
    <w:rsid w:val="0039118E"/>
    <w:rsid w:val="00391F9E"/>
    <w:rsid w:val="003927F8"/>
    <w:rsid w:val="00397E13"/>
    <w:rsid w:val="003A61D2"/>
    <w:rsid w:val="003A72FF"/>
    <w:rsid w:val="003C046E"/>
    <w:rsid w:val="003C0F54"/>
    <w:rsid w:val="003C2B3F"/>
    <w:rsid w:val="003C48A9"/>
    <w:rsid w:val="003C6655"/>
    <w:rsid w:val="003C7187"/>
    <w:rsid w:val="003D0CEF"/>
    <w:rsid w:val="003D6D80"/>
    <w:rsid w:val="003E1B9C"/>
    <w:rsid w:val="003E37BA"/>
    <w:rsid w:val="003E538E"/>
    <w:rsid w:val="003F7306"/>
    <w:rsid w:val="00400856"/>
    <w:rsid w:val="00400DAB"/>
    <w:rsid w:val="00404782"/>
    <w:rsid w:val="00414AA7"/>
    <w:rsid w:val="00417A20"/>
    <w:rsid w:val="0042420D"/>
    <w:rsid w:val="00425ADE"/>
    <w:rsid w:val="00425D32"/>
    <w:rsid w:val="00426908"/>
    <w:rsid w:val="00430557"/>
    <w:rsid w:val="00434C8E"/>
    <w:rsid w:val="0043650D"/>
    <w:rsid w:val="00436F82"/>
    <w:rsid w:val="004370C8"/>
    <w:rsid w:val="004402C1"/>
    <w:rsid w:val="004410E5"/>
    <w:rsid w:val="00441E93"/>
    <w:rsid w:val="004463E9"/>
    <w:rsid w:val="0044717B"/>
    <w:rsid w:val="0045084C"/>
    <w:rsid w:val="004529EE"/>
    <w:rsid w:val="00457A1C"/>
    <w:rsid w:val="00472808"/>
    <w:rsid w:val="00474DC0"/>
    <w:rsid w:val="00476ED4"/>
    <w:rsid w:val="004773AC"/>
    <w:rsid w:val="00481BAD"/>
    <w:rsid w:val="00481FED"/>
    <w:rsid w:val="00487073"/>
    <w:rsid w:val="00487DF8"/>
    <w:rsid w:val="00493799"/>
    <w:rsid w:val="00495848"/>
    <w:rsid w:val="004A6EC9"/>
    <w:rsid w:val="004A7485"/>
    <w:rsid w:val="004B07D5"/>
    <w:rsid w:val="004B25B7"/>
    <w:rsid w:val="004B2A39"/>
    <w:rsid w:val="004B2AFA"/>
    <w:rsid w:val="004B39DF"/>
    <w:rsid w:val="004C4097"/>
    <w:rsid w:val="004C799E"/>
    <w:rsid w:val="004D0CF8"/>
    <w:rsid w:val="004D12D8"/>
    <w:rsid w:val="004E3B9B"/>
    <w:rsid w:val="004E5492"/>
    <w:rsid w:val="004E6FD2"/>
    <w:rsid w:val="004F3626"/>
    <w:rsid w:val="004F7FF4"/>
    <w:rsid w:val="00500717"/>
    <w:rsid w:val="0050460F"/>
    <w:rsid w:val="005067BE"/>
    <w:rsid w:val="005117F1"/>
    <w:rsid w:val="005206DD"/>
    <w:rsid w:val="00521F1B"/>
    <w:rsid w:val="00523FD1"/>
    <w:rsid w:val="00526246"/>
    <w:rsid w:val="00530505"/>
    <w:rsid w:val="005360FF"/>
    <w:rsid w:val="00537AB8"/>
    <w:rsid w:val="00542CF8"/>
    <w:rsid w:val="005437B0"/>
    <w:rsid w:val="00560826"/>
    <w:rsid w:val="0056453D"/>
    <w:rsid w:val="0056758B"/>
    <w:rsid w:val="00570C25"/>
    <w:rsid w:val="00573C17"/>
    <w:rsid w:val="005779AB"/>
    <w:rsid w:val="00582724"/>
    <w:rsid w:val="00587389"/>
    <w:rsid w:val="00587ED3"/>
    <w:rsid w:val="00593180"/>
    <w:rsid w:val="005A1647"/>
    <w:rsid w:val="005A5012"/>
    <w:rsid w:val="005B058A"/>
    <w:rsid w:val="005B05D8"/>
    <w:rsid w:val="005B07C1"/>
    <w:rsid w:val="005B4450"/>
    <w:rsid w:val="005B4A66"/>
    <w:rsid w:val="005B53AF"/>
    <w:rsid w:val="005B6FC9"/>
    <w:rsid w:val="005B7BA7"/>
    <w:rsid w:val="005C020F"/>
    <w:rsid w:val="005C116E"/>
    <w:rsid w:val="005C49E5"/>
    <w:rsid w:val="005C4DC8"/>
    <w:rsid w:val="005E1C92"/>
    <w:rsid w:val="005E44F1"/>
    <w:rsid w:val="005E5074"/>
    <w:rsid w:val="005E6000"/>
    <w:rsid w:val="005F3E2C"/>
    <w:rsid w:val="0060000B"/>
    <w:rsid w:val="00607379"/>
    <w:rsid w:val="00615571"/>
    <w:rsid w:val="00621EEA"/>
    <w:rsid w:val="006300CE"/>
    <w:rsid w:val="006307A2"/>
    <w:rsid w:val="00630C89"/>
    <w:rsid w:val="00635F21"/>
    <w:rsid w:val="00640632"/>
    <w:rsid w:val="0064176E"/>
    <w:rsid w:val="00643AEA"/>
    <w:rsid w:val="00650EFD"/>
    <w:rsid w:val="00652FA4"/>
    <w:rsid w:val="00654111"/>
    <w:rsid w:val="00656589"/>
    <w:rsid w:val="00660333"/>
    <w:rsid w:val="00664831"/>
    <w:rsid w:val="00665872"/>
    <w:rsid w:val="006660C3"/>
    <w:rsid w:val="0067046E"/>
    <w:rsid w:val="006729B5"/>
    <w:rsid w:val="0067589E"/>
    <w:rsid w:val="0067703B"/>
    <w:rsid w:val="0068071E"/>
    <w:rsid w:val="0068149F"/>
    <w:rsid w:val="006822DD"/>
    <w:rsid w:val="006912E8"/>
    <w:rsid w:val="006917E5"/>
    <w:rsid w:val="006933C7"/>
    <w:rsid w:val="006939BD"/>
    <w:rsid w:val="00693A09"/>
    <w:rsid w:val="006A72CB"/>
    <w:rsid w:val="006A7843"/>
    <w:rsid w:val="006B006E"/>
    <w:rsid w:val="006B18CD"/>
    <w:rsid w:val="006B3965"/>
    <w:rsid w:val="006B5660"/>
    <w:rsid w:val="006B7313"/>
    <w:rsid w:val="006C1FA0"/>
    <w:rsid w:val="006C2718"/>
    <w:rsid w:val="006C7777"/>
    <w:rsid w:val="006D267A"/>
    <w:rsid w:val="006E1D83"/>
    <w:rsid w:val="006E2A58"/>
    <w:rsid w:val="006E680E"/>
    <w:rsid w:val="006E6C9E"/>
    <w:rsid w:val="006F2D30"/>
    <w:rsid w:val="006F617E"/>
    <w:rsid w:val="00707759"/>
    <w:rsid w:val="00711922"/>
    <w:rsid w:val="00714CA9"/>
    <w:rsid w:val="007163AE"/>
    <w:rsid w:val="007263B5"/>
    <w:rsid w:val="00727F91"/>
    <w:rsid w:val="00733B64"/>
    <w:rsid w:val="007359D7"/>
    <w:rsid w:val="0073722C"/>
    <w:rsid w:val="00740CC8"/>
    <w:rsid w:val="00741D42"/>
    <w:rsid w:val="00742DB8"/>
    <w:rsid w:val="007540FF"/>
    <w:rsid w:val="007625CB"/>
    <w:rsid w:val="00764EE8"/>
    <w:rsid w:val="007653DF"/>
    <w:rsid w:val="00766DAF"/>
    <w:rsid w:val="0077451E"/>
    <w:rsid w:val="007756FF"/>
    <w:rsid w:val="007772E1"/>
    <w:rsid w:val="00780314"/>
    <w:rsid w:val="00784CB3"/>
    <w:rsid w:val="00786C41"/>
    <w:rsid w:val="0079650D"/>
    <w:rsid w:val="007A0A25"/>
    <w:rsid w:val="007A3A81"/>
    <w:rsid w:val="007B65C8"/>
    <w:rsid w:val="007B7367"/>
    <w:rsid w:val="007C02D3"/>
    <w:rsid w:val="007D3EAA"/>
    <w:rsid w:val="007F3B63"/>
    <w:rsid w:val="007F5D41"/>
    <w:rsid w:val="007F7E67"/>
    <w:rsid w:val="00801D64"/>
    <w:rsid w:val="00802735"/>
    <w:rsid w:val="0080679A"/>
    <w:rsid w:val="00807A27"/>
    <w:rsid w:val="00813254"/>
    <w:rsid w:val="00817DB9"/>
    <w:rsid w:val="00820E5C"/>
    <w:rsid w:val="00824E33"/>
    <w:rsid w:val="0082610B"/>
    <w:rsid w:val="0083130D"/>
    <w:rsid w:val="00831587"/>
    <w:rsid w:val="00837552"/>
    <w:rsid w:val="00837D67"/>
    <w:rsid w:val="0084599F"/>
    <w:rsid w:val="00853B3C"/>
    <w:rsid w:val="00861F37"/>
    <w:rsid w:val="00862EE1"/>
    <w:rsid w:val="008630FC"/>
    <w:rsid w:val="0086447E"/>
    <w:rsid w:val="00867182"/>
    <w:rsid w:val="00867817"/>
    <w:rsid w:val="0087193F"/>
    <w:rsid w:val="00871CE0"/>
    <w:rsid w:val="00871EB8"/>
    <w:rsid w:val="00877E7F"/>
    <w:rsid w:val="00880493"/>
    <w:rsid w:val="008807DE"/>
    <w:rsid w:val="00880DDA"/>
    <w:rsid w:val="00886FD1"/>
    <w:rsid w:val="008912A6"/>
    <w:rsid w:val="00895602"/>
    <w:rsid w:val="008A1ABD"/>
    <w:rsid w:val="008A4854"/>
    <w:rsid w:val="008B1DD6"/>
    <w:rsid w:val="008B5DC7"/>
    <w:rsid w:val="008C01BF"/>
    <w:rsid w:val="008D6ABC"/>
    <w:rsid w:val="008E3305"/>
    <w:rsid w:val="008E5DF2"/>
    <w:rsid w:val="008E6396"/>
    <w:rsid w:val="008E7BB4"/>
    <w:rsid w:val="008F3D9A"/>
    <w:rsid w:val="008F551D"/>
    <w:rsid w:val="008F6187"/>
    <w:rsid w:val="008F6DEE"/>
    <w:rsid w:val="008F7264"/>
    <w:rsid w:val="008F7A57"/>
    <w:rsid w:val="00905227"/>
    <w:rsid w:val="0091436F"/>
    <w:rsid w:val="009201EF"/>
    <w:rsid w:val="00923B6D"/>
    <w:rsid w:val="00923E32"/>
    <w:rsid w:val="009307EA"/>
    <w:rsid w:val="0094045A"/>
    <w:rsid w:val="00941667"/>
    <w:rsid w:val="0094484D"/>
    <w:rsid w:val="00945A61"/>
    <w:rsid w:val="00951994"/>
    <w:rsid w:val="009649C8"/>
    <w:rsid w:val="00991A73"/>
    <w:rsid w:val="00992890"/>
    <w:rsid w:val="0099571F"/>
    <w:rsid w:val="009A18DC"/>
    <w:rsid w:val="009A39A2"/>
    <w:rsid w:val="009A53CB"/>
    <w:rsid w:val="009A5C7D"/>
    <w:rsid w:val="009B182F"/>
    <w:rsid w:val="009B2903"/>
    <w:rsid w:val="009B533F"/>
    <w:rsid w:val="009C0C4D"/>
    <w:rsid w:val="009C6719"/>
    <w:rsid w:val="009C6CE2"/>
    <w:rsid w:val="009D4211"/>
    <w:rsid w:val="009D4D37"/>
    <w:rsid w:val="009E4482"/>
    <w:rsid w:val="009E5F64"/>
    <w:rsid w:val="009E764F"/>
    <w:rsid w:val="009F742D"/>
    <w:rsid w:val="00A00597"/>
    <w:rsid w:val="00A02236"/>
    <w:rsid w:val="00A059ED"/>
    <w:rsid w:val="00A07A38"/>
    <w:rsid w:val="00A12E01"/>
    <w:rsid w:val="00A17FF2"/>
    <w:rsid w:val="00A2205E"/>
    <w:rsid w:val="00A232C0"/>
    <w:rsid w:val="00A33D20"/>
    <w:rsid w:val="00A41468"/>
    <w:rsid w:val="00A5120E"/>
    <w:rsid w:val="00A51344"/>
    <w:rsid w:val="00A53C70"/>
    <w:rsid w:val="00A53CD9"/>
    <w:rsid w:val="00A543AB"/>
    <w:rsid w:val="00A6297C"/>
    <w:rsid w:val="00A73260"/>
    <w:rsid w:val="00A77147"/>
    <w:rsid w:val="00A80A4B"/>
    <w:rsid w:val="00A851BB"/>
    <w:rsid w:val="00A8747C"/>
    <w:rsid w:val="00A87ACB"/>
    <w:rsid w:val="00A87D79"/>
    <w:rsid w:val="00A91022"/>
    <w:rsid w:val="00A919DF"/>
    <w:rsid w:val="00A92BC9"/>
    <w:rsid w:val="00AA1E21"/>
    <w:rsid w:val="00AB0BF3"/>
    <w:rsid w:val="00AB4CF4"/>
    <w:rsid w:val="00AB67A7"/>
    <w:rsid w:val="00AB6DA7"/>
    <w:rsid w:val="00AC02F7"/>
    <w:rsid w:val="00AC08CD"/>
    <w:rsid w:val="00AC1FC6"/>
    <w:rsid w:val="00AC23DB"/>
    <w:rsid w:val="00AD01F5"/>
    <w:rsid w:val="00AD09A6"/>
    <w:rsid w:val="00AD1B9D"/>
    <w:rsid w:val="00AE23E4"/>
    <w:rsid w:val="00B11D43"/>
    <w:rsid w:val="00B205F0"/>
    <w:rsid w:val="00B23C62"/>
    <w:rsid w:val="00B31B3A"/>
    <w:rsid w:val="00B324FF"/>
    <w:rsid w:val="00B41753"/>
    <w:rsid w:val="00B427D9"/>
    <w:rsid w:val="00B5448B"/>
    <w:rsid w:val="00B55214"/>
    <w:rsid w:val="00B554C9"/>
    <w:rsid w:val="00B60C9A"/>
    <w:rsid w:val="00B624CF"/>
    <w:rsid w:val="00B63BE1"/>
    <w:rsid w:val="00B65064"/>
    <w:rsid w:val="00B71E06"/>
    <w:rsid w:val="00B7563E"/>
    <w:rsid w:val="00B75983"/>
    <w:rsid w:val="00B77272"/>
    <w:rsid w:val="00B814B1"/>
    <w:rsid w:val="00B9061D"/>
    <w:rsid w:val="00B969B6"/>
    <w:rsid w:val="00B97F11"/>
    <w:rsid w:val="00BA4062"/>
    <w:rsid w:val="00BA4E7A"/>
    <w:rsid w:val="00BB2FDE"/>
    <w:rsid w:val="00BB3A61"/>
    <w:rsid w:val="00BB6EE4"/>
    <w:rsid w:val="00BC3065"/>
    <w:rsid w:val="00BD06E0"/>
    <w:rsid w:val="00BD0836"/>
    <w:rsid w:val="00BE04CC"/>
    <w:rsid w:val="00BE58EB"/>
    <w:rsid w:val="00BF1650"/>
    <w:rsid w:val="00C0092D"/>
    <w:rsid w:val="00C018F6"/>
    <w:rsid w:val="00C11DF2"/>
    <w:rsid w:val="00C17024"/>
    <w:rsid w:val="00C20B74"/>
    <w:rsid w:val="00C2275E"/>
    <w:rsid w:val="00C22B43"/>
    <w:rsid w:val="00C31FC9"/>
    <w:rsid w:val="00C338F7"/>
    <w:rsid w:val="00C343BA"/>
    <w:rsid w:val="00C35EE5"/>
    <w:rsid w:val="00C37767"/>
    <w:rsid w:val="00C40C3D"/>
    <w:rsid w:val="00C548B4"/>
    <w:rsid w:val="00C56B84"/>
    <w:rsid w:val="00C622C6"/>
    <w:rsid w:val="00C63714"/>
    <w:rsid w:val="00C75193"/>
    <w:rsid w:val="00C90AB8"/>
    <w:rsid w:val="00C91E6D"/>
    <w:rsid w:val="00C91F51"/>
    <w:rsid w:val="00CB25F7"/>
    <w:rsid w:val="00CC0889"/>
    <w:rsid w:val="00CC14EE"/>
    <w:rsid w:val="00CC19F8"/>
    <w:rsid w:val="00CD1F0C"/>
    <w:rsid w:val="00CD3D48"/>
    <w:rsid w:val="00CE0D6D"/>
    <w:rsid w:val="00CE35F0"/>
    <w:rsid w:val="00CE377C"/>
    <w:rsid w:val="00CE4C63"/>
    <w:rsid w:val="00CE6A31"/>
    <w:rsid w:val="00CE7749"/>
    <w:rsid w:val="00CF0679"/>
    <w:rsid w:val="00CF3515"/>
    <w:rsid w:val="00CF5392"/>
    <w:rsid w:val="00CF6453"/>
    <w:rsid w:val="00CF7661"/>
    <w:rsid w:val="00D10494"/>
    <w:rsid w:val="00D1283B"/>
    <w:rsid w:val="00D13B6A"/>
    <w:rsid w:val="00D15C28"/>
    <w:rsid w:val="00D22B5B"/>
    <w:rsid w:val="00D31CDE"/>
    <w:rsid w:val="00D31FA6"/>
    <w:rsid w:val="00D34746"/>
    <w:rsid w:val="00D405AD"/>
    <w:rsid w:val="00D41BF8"/>
    <w:rsid w:val="00D471A9"/>
    <w:rsid w:val="00D606A1"/>
    <w:rsid w:val="00D816CB"/>
    <w:rsid w:val="00D81E7F"/>
    <w:rsid w:val="00D83337"/>
    <w:rsid w:val="00D83E9D"/>
    <w:rsid w:val="00D87470"/>
    <w:rsid w:val="00D91174"/>
    <w:rsid w:val="00D920DC"/>
    <w:rsid w:val="00D92A46"/>
    <w:rsid w:val="00D9362A"/>
    <w:rsid w:val="00D93D66"/>
    <w:rsid w:val="00D96458"/>
    <w:rsid w:val="00D96703"/>
    <w:rsid w:val="00D96F22"/>
    <w:rsid w:val="00DA2DF3"/>
    <w:rsid w:val="00DB0664"/>
    <w:rsid w:val="00DB0792"/>
    <w:rsid w:val="00DB2426"/>
    <w:rsid w:val="00DB54D5"/>
    <w:rsid w:val="00DB5757"/>
    <w:rsid w:val="00DB7B14"/>
    <w:rsid w:val="00DC5231"/>
    <w:rsid w:val="00DC5A0A"/>
    <w:rsid w:val="00DC6200"/>
    <w:rsid w:val="00DD03DC"/>
    <w:rsid w:val="00DD1011"/>
    <w:rsid w:val="00DD274D"/>
    <w:rsid w:val="00DD3FC0"/>
    <w:rsid w:val="00DD4231"/>
    <w:rsid w:val="00DD4CF3"/>
    <w:rsid w:val="00DD7102"/>
    <w:rsid w:val="00DE2AB6"/>
    <w:rsid w:val="00DE2B07"/>
    <w:rsid w:val="00DE5E1C"/>
    <w:rsid w:val="00DE6304"/>
    <w:rsid w:val="00DF3791"/>
    <w:rsid w:val="00DF5E93"/>
    <w:rsid w:val="00E0129C"/>
    <w:rsid w:val="00E11929"/>
    <w:rsid w:val="00E1212A"/>
    <w:rsid w:val="00E16DB5"/>
    <w:rsid w:val="00E20087"/>
    <w:rsid w:val="00E23201"/>
    <w:rsid w:val="00E2605F"/>
    <w:rsid w:val="00E268C6"/>
    <w:rsid w:val="00E278F9"/>
    <w:rsid w:val="00E412B9"/>
    <w:rsid w:val="00E4240F"/>
    <w:rsid w:val="00E53173"/>
    <w:rsid w:val="00E610DF"/>
    <w:rsid w:val="00E636FE"/>
    <w:rsid w:val="00E770EF"/>
    <w:rsid w:val="00E871A0"/>
    <w:rsid w:val="00E93181"/>
    <w:rsid w:val="00EA3442"/>
    <w:rsid w:val="00EA3762"/>
    <w:rsid w:val="00EA3A21"/>
    <w:rsid w:val="00EA3B9B"/>
    <w:rsid w:val="00EB463B"/>
    <w:rsid w:val="00EB643D"/>
    <w:rsid w:val="00EB6F62"/>
    <w:rsid w:val="00EB7639"/>
    <w:rsid w:val="00EC093B"/>
    <w:rsid w:val="00EC379D"/>
    <w:rsid w:val="00EC4AE4"/>
    <w:rsid w:val="00EC6131"/>
    <w:rsid w:val="00ED0153"/>
    <w:rsid w:val="00ED2B5D"/>
    <w:rsid w:val="00ED3510"/>
    <w:rsid w:val="00ED3C89"/>
    <w:rsid w:val="00ED46A2"/>
    <w:rsid w:val="00EE6988"/>
    <w:rsid w:val="00EE6B57"/>
    <w:rsid w:val="00EF1DC3"/>
    <w:rsid w:val="00EF62B4"/>
    <w:rsid w:val="00F02C07"/>
    <w:rsid w:val="00F034E7"/>
    <w:rsid w:val="00F04CBA"/>
    <w:rsid w:val="00F10561"/>
    <w:rsid w:val="00F146CF"/>
    <w:rsid w:val="00F1703D"/>
    <w:rsid w:val="00F24765"/>
    <w:rsid w:val="00F33741"/>
    <w:rsid w:val="00F42D33"/>
    <w:rsid w:val="00F44691"/>
    <w:rsid w:val="00F46A8E"/>
    <w:rsid w:val="00F47708"/>
    <w:rsid w:val="00F54173"/>
    <w:rsid w:val="00F569E8"/>
    <w:rsid w:val="00F57BF9"/>
    <w:rsid w:val="00F61F2D"/>
    <w:rsid w:val="00F65A8A"/>
    <w:rsid w:val="00F7442B"/>
    <w:rsid w:val="00F80580"/>
    <w:rsid w:val="00F82744"/>
    <w:rsid w:val="00F87FC5"/>
    <w:rsid w:val="00F922A4"/>
    <w:rsid w:val="00F954C2"/>
    <w:rsid w:val="00F96B4B"/>
    <w:rsid w:val="00F96D17"/>
    <w:rsid w:val="00FA1002"/>
    <w:rsid w:val="00FA160F"/>
    <w:rsid w:val="00FA589D"/>
    <w:rsid w:val="00FB05EF"/>
    <w:rsid w:val="00FB4A6B"/>
    <w:rsid w:val="00FB6471"/>
    <w:rsid w:val="00FB7C45"/>
    <w:rsid w:val="00FC17D1"/>
    <w:rsid w:val="00FC1B2E"/>
    <w:rsid w:val="00FC1FD1"/>
    <w:rsid w:val="00FC7BE2"/>
    <w:rsid w:val="00FD0CD4"/>
    <w:rsid w:val="00FD14D7"/>
    <w:rsid w:val="00FD4E83"/>
    <w:rsid w:val="00FE2C6E"/>
    <w:rsid w:val="00FE309E"/>
    <w:rsid w:val="00FE52C8"/>
    <w:rsid w:val="00FE5BC4"/>
    <w:rsid w:val="00FE5E1E"/>
    <w:rsid w:val="00FF0418"/>
    <w:rsid w:val="00FF070D"/>
    <w:rsid w:val="00FF0D19"/>
    <w:rsid w:val="00FF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83B"/>
    <w:rPr>
      <w:sz w:val="18"/>
      <w:szCs w:val="18"/>
    </w:rPr>
  </w:style>
  <w:style w:type="character" w:customStyle="1" w:styleId="Char">
    <w:name w:val="批注框文本 Char"/>
    <w:basedOn w:val="a0"/>
    <w:link w:val="a3"/>
    <w:uiPriority w:val="99"/>
    <w:semiHidden/>
    <w:rsid w:val="00D1283B"/>
    <w:rPr>
      <w:sz w:val="18"/>
      <w:szCs w:val="18"/>
    </w:rPr>
  </w:style>
  <w:style w:type="table" w:styleId="a4">
    <w:name w:val="Table Grid"/>
    <w:basedOn w:val="a1"/>
    <w:uiPriority w:val="59"/>
    <w:rsid w:val="008B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7563E"/>
    <w:rPr>
      <w:sz w:val="21"/>
      <w:szCs w:val="21"/>
    </w:rPr>
  </w:style>
  <w:style w:type="paragraph" w:styleId="a6">
    <w:name w:val="annotation text"/>
    <w:basedOn w:val="a"/>
    <w:link w:val="Char0"/>
    <w:uiPriority w:val="99"/>
    <w:semiHidden/>
    <w:unhideWhenUsed/>
    <w:rsid w:val="00B7563E"/>
    <w:pPr>
      <w:jc w:val="left"/>
    </w:pPr>
  </w:style>
  <w:style w:type="character" w:customStyle="1" w:styleId="Char0">
    <w:name w:val="批注文字 Char"/>
    <w:basedOn w:val="a0"/>
    <w:link w:val="a6"/>
    <w:uiPriority w:val="99"/>
    <w:semiHidden/>
    <w:rsid w:val="00B7563E"/>
  </w:style>
  <w:style w:type="paragraph" w:styleId="a7">
    <w:name w:val="annotation subject"/>
    <w:basedOn w:val="a6"/>
    <w:next w:val="a6"/>
    <w:link w:val="Char1"/>
    <w:uiPriority w:val="99"/>
    <w:semiHidden/>
    <w:unhideWhenUsed/>
    <w:rsid w:val="00B7563E"/>
    <w:rPr>
      <w:b/>
      <w:bCs/>
    </w:rPr>
  </w:style>
  <w:style w:type="character" w:customStyle="1" w:styleId="Char1">
    <w:name w:val="批注主题 Char"/>
    <w:basedOn w:val="Char0"/>
    <w:link w:val="a7"/>
    <w:uiPriority w:val="99"/>
    <w:semiHidden/>
    <w:rsid w:val="00B756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83B"/>
    <w:rPr>
      <w:sz w:val="18"/>
      <w:szCs w:val="18"/>
    </w:rPr>
  </w:style>
  <w:style w:type="character" w:customStyle="1" w:styleId="Char">
    <w:name w:val="批注框文本 Char"/>
    <w:basedOn w:val="a0"/>
    <w:link w:val="a3"/>
    <w:uiPriority w:val="99"/>
    <w:semiHidden/>
    <w:rsid w:val="00D1283B"/>
    <w:rPr>
      <w:sz w:val="18"/>
      <w:szCs w:val="18"/>
    </w:rPr>
  </w:style>
  <w:style w:type="table" w:styleId="a4">
    <w:name w:val="Table Grid"/>
    <w:basedOn w:val="a1"/>
    <w:uiPriority w:val="59"/>
    <w:rsid w:val="008B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7563E"/>
    <w:rPr>
      <w:sz w:val="21"/>
      <w:szCs w:val="21"/>
    </w:rPr>
  </w:style>
  <w:style w:type="paragraph" w:styleId="a6">
    <w:name w:val="annotation text"/>
    <w:basedOn w:val="a"/>
    <w:link w:val="Char0"/>
    <w:uiPriority w:val="99"/>
    <w:semiHidden/>
    <w:unhideWhenUsed/>
    <w:rsid w:val="00B7563E"/>
    <w:pPr>
      <w:jc w:val="left"/>
    </w:pPr>
  </w:style>
  <w:style w:type="character" w:customStyle="1" w:styleId="Char0">
    <w:name w:val="批注文字 Char"/>
    <w:basedOn w:val="a0"/>
    <w:link w:val="a6"/>
    <w:uiPriority w:val="99"/>
    <w:semiHidden/>
    <w:rsid w:val="00B7563E"/>
  </w:style>
  <w:style w:type="paragraph" w:styleId="a7">
    <w:name w:val="annotation subject"/>
    <w:basedOn w:val="a6"/>
    <w:next w:val="a6"/>
    <w:link w:val="Char1"/>
    <w:uiPriority w:val="99"/>
    <w:semiHidden/>
    <w:unhideWhenUsed/>
    <w:rsid w:val="00B7563E"/>
    <w:rPr>
      <w:b/>
      <w:bCs/>
    </w:rPr>
  </w:style>
  <w:style w:type="character" w:customStyle="1" w:styleId="Char1">
    <w:name w:val="批注主题 Char"/>
    <w:basedOn w:val="Char0"/>
    <w:link w:val="a7"/>
    <w:uiPriority w:val="99"/>
    <w:semiHidden/>
    <w:rsid w:val="00B75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7994">
      <w:bodyDiv w:val="1"/>
      <w:marLeft w:val="0"/>
      <w:marRight w:val="0"/>
      <w:marTop w:val="0"/>
      <w:marBottom w:val="0"/>
      <w:divBdr>
        <w:top w:val="none" w:sz="0" w:space="0" w:color="auto"/>
        <w:left w:val="none" w:sz="0" w:space="0" w:color="auto"/>
        <w:bottom w:val="none" w:sz="0" w:space="0" w:color="auto"/>
        <w:right w:val="none" w:sz="0" w:space="0" w:color="auto"/>
      </w:divBdr>
    </w:div>
    <w:div w:id="108821540">
      <w:bodyDiv w:val="1"/>
      <w:marLeft w:val="0"/>
      <w:marRight w:val="0"/>
      <w:marTop w:val="0"/>
      <w:marBottom w:val="0"/>
      <w:divBdr>
        <w:top w:val="none" w:sz="0" w:space="0" w:color="auto"/>
        <w:left w:val="none" w:sz="0" w:space="0" w:color="auto"/>
        <w:bottom w:val="none" w:sz="0" w:space="0" w:color="auto"/>
        <w:right w:val="none" w:sz="0" w:space="0" w:color="auto"/>
      </w:divBdr>
    </w:div>
    <w:div w:id="114982086">
      <w:bodyDiv w:val="1"/>
      <w:marLeft w:val="0"/>
      <w:marRight w:val="0"/>
      <w:marTop w:val="0"/>
      <w:marBottom w:val="0"/>
      <w:divBdr>
        <w:top w:val="none" w:sz="0" w:space="0" w:color="auto"/>
        <w:left w:val="none" w:sz="0" w:space="0" w:color="auto"/>
        <w:bottom w:val="none" w:sz="0" w:space="0" w:color="auto"/>
        <w:right w:val="none" w:sz="0" w:space="0" w:color="auto"/>
      </w:divBdr>
    </w:div>
    <w:div w:id="168176156">
      <w:bodyDiv w:val="1"/>
      <w:marLeft w:val="0"/>
      <w:marRight w:val="0"/>
      <w:marTop w:val="0"/>
      <w:marBottom w:val="0"/>
      <w:divBdr>
        <w:top w:val="none" w:sz="0" w:space="0" w:color="auto"/>
        <w:left w:val="none" w:sz="0" w:space="0" w:color="auto"/>
        <w:bottom w:val="none" w:sz="0" w:space="0" w:color="auto"/>
        <w:right w:val="none" w:sz="0" w:space="0" w:color="auto"/>
      </w:divBdr>
    </w:div>
    <w:div w:id="263616460">
      <w:bodyDiv w:val="1"/>
      <w:marLeft w:val="0"/>
      <w:marRight w:val="0"/>
      <w:marTop w:val="0"/>
      <w:marBottom w:val="0"/>
      <w:divBdr>
        <w:top w:val="none" w:sz="0" w:space="0" w:color="auto"/>
        <w:left w:val="none" w:sz="0" w:space="0" w:color="auto"/>
        <w:bottom w:val="none" w:sz="0" w:space="0" w:color="auto"/>
        <w:right w:val="none" w:sz="0" w:space="0" w:color="auto"/>
      </w:divBdr>
    </w:div>
    <w:div w:id="274212723">
      <w:bodyDiv w:val="1"/>
      <w:marLeft w:val="0"/>
      <w:marRight w:val="0"/>
      <w:marTop w:val="0"/>
      <w:marBottom w:val="0"/>
      <w:divBdr>
        <w:top w:val="none" w:sz="0" w:space="0" w:color="auto"/>
        <w:left w:val="none" w:sz="0" w:space="0" w:color="auto"/>
        <w:bottom w:val="none" w:sz="0" w:space="0" w:color="auto"/>
        <w:right w:val="none" w:sz="0" w:space="0" w:color="auto"/>
      </w:divBdr>
    </w:div>
    <w:div w:id="454713865">
      <w:bodyDiv w:val="1"/>
      <w:marLeft w:val="0"/>
      <w:marRight w:val="0"/>
      <w:marTop w:val="0"/>
      <w:marBottom w:val="0"/>
      <w:divBdr>
        <w:top w:val="none" w:sz="0" w:space="0" w:color="auto"/>
        <w:left w:val="none" w:sz="0" w:space="0" w:color="auto"/>
        <w:bottom w:val="none" w:sz="0" w:space="0" w:color="auto"/>
        <w:right w:val="none" w:sz="0" w:space="0" w:color="auto"/>
      </w:divBdr>
    </w:div>
    <w:div w:id="470637830">
      <w:bodyDiv w:val="1"/>
      <w:marLeft w:val="0"/>
      <w:marRight w:val="0"/>
      <w:marTop w:val="0"/>
      <w:marBottom w:val="0"/>
      <w:divBdr>
        <w:top w:val="none" w:sz="0" w:space="0" w:color="auto"/>
        <w:left w:val="none" w:sz="0" w:space="0" w:color="auto"/>
        <w:bottom w:val="none" w:sz="0" w:space="0" w:color="auto"/>
        <w:right w:val="none" w:sz="0" w:space="0" w:color="auto"/>
      </w:divBdr>
    </w:div>
    <w:div w:id="483931157">
      <w:bodyDiv w:val="1"/>
      <w:marLeft w:val="0"/>
      <w:marRight w:val="0"/>
      <w:marTop w:val="0"/>
      <w:marBottom w:val="0"/>
      <w:divBdr>
        <w:top w:val="none" w:sz="0" w:space="0" w:color="auto"/>
        <w:left w:val="none" w:sz="0" w:space="0" w:color="auto"/>
        <w:bottom w:val="none" w:sz="0" w:space="0" w:color="auto"/>
        <w:right w:val="none" w:sz="0" w:space="0" w:color="auto"/>
      </w:divBdr>
    </w:div>
    <w:div w:id="540017905">
      <w:bodyDiv w:val="1"/>
      <w:marLeft w:val="0"/>
      <w:marRight w:val="0"/>
      <w:marTop w:val="0"/>
      <w:marBottom w:val="0"/>
      <w:divBdr>
        <w:top w:val="none" w:sz="0" w:space="0" w:color="auto"/>
        <w:left w:val="none" w:sz="0" w:space="0" w:color="auto"/>
        <w:bottom w:val="none" w:sz="0" w:space="0" w:color="auto"/>
        <w:right w:val="none" w:sz="0" w:space="0" w:color="auto"/>
      </w:divBdr>
    </w:div>
    <w:div w:id="553546843">
      <w:bodyDiv w:val="1"/>
      <w:marLeft w:val="0"/>
      <w:marRight w:val="0"/>
      <w:marTop w:val="0"/>
      <w:marBottom w:val="0"/>
      <w:divBdr>
        <w:top w:val="none" w:sz="0" w:space="0" w:color="auto"/>
        <w:left w:val="none" w:sz="0" w:space="0" w:color="auto"/>
        <w:bottom w:val="none" w:sz="0" w:space="0" w:color="auto"/>
        <w:right w:val="none" w:sz="0" w:space="0" w:color="auto"/>
      </w:divBdr>
    </w:div>
    <w:div w:id="576211661">
      <w:bodyDiv w:val="1"/>
      <w:marLeft w:val="0"/>
      <w:marRight w:val="0"/>
      <w:marTop w:val="0"/>
      <w:marBottom w:val="0"/>
      <w:divBdr>
        <w:top w:val="none" w:sz="0" w:space="0" w:color="auto"/>
        <w:left w:val="none" w:sz="0" w:space="0" w:color="auto"/>
        <w:bottom w:val="none" w:sz="0" w:space="0" w:color="auto"/>
        <w:right w:val="none" w:sz="0" w:space="0" w:color="auto"/>
      </w:divBdr>
    </w:div>
    <w:div w:id="629020048">
      <w:bodyDiv w:val="1"/>
      <w:marLeft w:val="0"/>
      <w:marRight w:val="0"/>
      <w:marTop w:val="0"/>
      <w:marBottom w:val="0"/>
      <w:divBdr>
        <w:top w:val="none" w:sz="0" w:space="0" w:color="auto"/>
        <w:left w:val="none" w:sz="0" w:space="0" w:color="auto"/>
        <w:bottom w:val="none" w:sz="0" w:space="0" w:color="auto"/>
        <w:right w:val="none" w:sz="0" w:space="0" w:color="auto"/>
      </w:divBdr>
    </w:div>
    <w:div w:id="693189462">
      <w:bodyDiv w:val="1"/>
      <w:marLeft w:val="0"/>
      <w:marRight w:val="0"/>
      <w:marTop w:val="0"/>
      <w:marBottom w:val="0"/>
      <w:divBdr>
        <w:top w:val="none" w:sz="0" w:space="0" w:color="auto"/>
        <w:left w:val="none" w:sz="0" w:space="0" w:color="auto"/>
        <w:bottom w:val="none" w:sz="0" w:space="0" w:color="auto"/>
        <w:right w:val="none" w:sz="0" w:space="0" w:color="auto"/>
      </w:divBdr>
    </w:div>
    <w:div w:id="702290390">
      <w:bodyDiv w:val="1"/>
      <w:marLeft w:val="0"/>
      <w:marRight w:val="0"/>
      <w:marTop w:val="0"/>
      <w:marBottom w:val="0"/>
      <w:divBdr>
        <w:top w:val="none" w:sz="0" w:space="0" w:color="auto"/>
        <w:left w:val="none" w:sz="0" w:space="0" w:color="auto"/>
        <w:bottom w:val="none" w:sz="0" w:space="0" w:color="auto"/>
        <w:right w:val="none" w:sz="0" w:space="0" w:color="auto"/>
      </w:divBdr>
    </w:div>
    <w:div w:id="782268195">
      <w:bodyDiv w:val="1"/>
      <w:marLeft w:val="0"/>
      <w:marRight w:val="0"/>
      <w:marTop w:val="0"/>
      <w:marBottom w:val="0"/>
      <w:divBdr>
        <w:top w:val="none" w:sz="0" w:space="0" w:color="auto"/>
        <w:left w:val="none" w:sz="0" w:space="0" w:color="auto"/>
        <w:bottom w:val="none" w:sz="0" w:space="0" w:color="auto"/>
        <w:right w:val="none" w:sz="0" w:space="0" w:color="auto"/>
      </w:divBdr>
    </w:div>
    <w:div w:id="800221774">
      <w:bodyDiv w:val="1"/>
      <w:marLeft w:val="0"/>
      <w:marRight w:val="0"/>
      <w:marTop w:val="0"/>
      <w:marBottom w:val="0"/>
      <w:divBdr>
        <w:top w:val="none" w:sz="0" w:space="0" w:color="auto"/>
        <w:left w:val="none" w:sz="0" w:space="0" w:color="auto"/>
        <w:bottom w:val="none" w:sz="0" w:space="0" w:color="auto"/>
        <w:right w:val="none" w:sz="0" w:space="0" w:color="auto"/>
      </w:divBdr>
    </w:div>
    <w:div w:id="857886704">
      <w:bodyDiv w:val="1"/>
      <w:marLeft w:val="0"/>
      <w:marRight w:val="0"/>
      <w:marTop w:val="0"/>
      <w:marBottom w:val="0"/>
      <w:divBdr>
        <w:top w:val="none" w:sz="0" w:space="0" w:color="auto"/>
        <w:left w:val="none" w:sz="0" w:space="0" w:color="auto"/>
        <w:bottom w:val="none" w:sz="0" w:space="0" w:color="auto"/>
        <w:right w:val="none" w:sz="0" w:space="0" w:color="auto"/>
      </w:divBdr>
    </w:div>
    <w:div w:id="1029573604">
      <w:bodyDiv w:val="1"/>
      <w:marLeft w:val="0"/>
      <w:marRight w:val="0"/>
      <w:marTop w:val="0"/>
      <w:marBottom w:val="0"/>
      <w:divBdr>
        <w:top w:val="none" w:sz="0" w:space="0" w:color="auto"/>
        <w:left w:val="none" w:sz="0" w:space="0" w:color="auto"/>
        <w:bottom w:val="none" w:sz="0" w:space="0" w:color="auto"/>
        <w:right w:val="none" w:sz="0" w:space="0" w:color="auto"/>
      </w:divBdr>
    </w:div>
    <w:div w:id="1097560007">
      <w:bodyDiv w:val="1"/>
      <w:marLeft w:val="0"/>
      <w:marRight w:val="0"/>
      <w:marTop w:val="0"/>
      <w:marBottom w:val="0"/>
      <w:divBdr>
        <w:top w:val="none" w:sz="0" w:space="0" w:color="auto"/>
        <w:left w:val="none" w:sz="0" w:space="0" w:color="auto"/>
        <w:bottom w:val="none" w:sz="0" w:space="0" w:color="auto"/>
        <w:right w:val="none" w:sz="0" w:space="0" w:color="auto"/>
      </w:divBdr>
    </w:div>
    <w:div w:id="1131939840">
      <w:bodyDiv w:val="1"/>
      <w:marLeft w:val="0"/>
      <w:marRight w:val="0"/>
      <w:marTop w:val="0"/>
      <w:marBottom w:val="0"/>
      <w:divBdr>
        <w:top w:val="none" w:sz="0" w:space="0" w:color="auto"/>
        <w:left w:val="none" w:sz="0" w:space="0" w:color="auto"/>
        <w:bottom w:val="none" w:sz="0" w:space="0" w:color="auto"/>
        <w:right w:val="none" w:sz="0" w:space="0" w:color="auto"/>
      </w:divBdr>
    </w:div>
    <w:div w:id="1255169209">
      <w:bodyDiv w:val="1"/>
      <w:marLeft w:val="0"/>
      <w:marRight w:val="0"/>
      <w:marTop w:val="0"/>
      <w:marBottom w:val="0"/>
      <w:divBdr>
        <w:top w:val="none" w:sz="0" w:space="0" w:color="auto"/>
        <w:left w:val="none" w:sz="0" w:space="0" w:color="auto"/>
        <w:bottom w:val="none" w:sz="0" w:space="0" w:color="auto"/>
        <w:right w:val="none" w:sz="0" w:space="0" w:color="auto"/>
      </w:divBdr>
    </w:div>
    <w:div w:id="1298073873">
      <w:bodyDiv w:val="1"/>
      <w:marLeft w:val="0"/>
      <w:marRight w:val="0"/>
      <w:marTop w:val="0"/>
      <w:marBottom w:val="0"/>
      <w:divBdr>
        <w:top w:val="none" w:sz="0" w:space="0" w:color="auto"/>
        <w:left w:val="none" w:sz="0" w:space="0" w:color="auto"/>
        <w:bottom w:val="none" w:sz="0" w:space="0" w:color="auto"/>
        <w:right w:val="none" w:sz="0" w:space="0" w:color="auto"/>
      </w:divBdr>
    </w:div>
    <w:div w:id="1356081956">
      <w:bodyDiv w:val="1"/>
      <w:marLeft w:val="0"/>
      <w:marRight w:val="0"/>
      <w:marTop w:val="0"/>
      <w:marBottom w:val="0"/>
      <w:divBdr>
        <w:top w:val="none" w:sz="0" w:space="0" w:color="auto"/>
        <w:left w:val="none" w:sz="0" w:space="0" w:color="auto"/>
        <w:bottom w:val="none" w:sz="0" w:space="0" w:color="auto"/>
        <w:right w:val="none" w:sz="0" w:space="0" w:color="auto"/>
      </w:divBdr>
    </w:div>
    <w:div w:id="1399093706">
      <w:bodyDiv w:val="1"/>
      <w:marLeft w:val="0"/>
      <w:marRight w:val="0"/>
      <w:marTop w:val="0"/>
      <w:marBottom w:val="0"/>
      <w:divBdr>
        <w:top w:val="none" w:sz="0" w:space="0" w:color="auto"/>
        <w:left w:val="none" w:sz="0" w:space="0" w:color="auto"/>
        <w:bottom w:val="none" w:sz="0" w:space="0" w:color="auto"/>
        <w:right w:val="none" w:sz="0" w:space="0" w:color="auto"/>
      </w:divBdr>
    </w:div>
    <w:div w:id="1435054640">
      <w:bodyDiv w:val="1"/>
      <w:marLeft w:val="0"/>
      <w:marRight w:val="0"/>
      <w:marTop w:val="0"/>
      <w:marBottom w:val="0"/>
      <w:divBdr>
        <w:top w:val="none" w:sz="0" w:space="0" w:color="auto"/>
        <w:left w:val="none" w:sz="0" w:space="0" w:color="auto"/>
        <w:bottom w:val="none" w:sz="0" w:space="0" w:color="auto"/>
        <w:right w:val="none" w:sz="0" w:space="0" w:color="auto"/>
      </w:divBdr>
    </w:div>
    <w:div w:id="1550188660">
      <w:bodyDiv w:val="1"/>
      <w:marLeft w:val="0"/>
      <w:marRight w:val="0"/>
      <w:marTop w:val="0"/>
      <w:marBottom w:val="0"/>
      <w:divBdr>
        <w:top w:val="none" w:sz="0" w:space="0" w:color="auto"/>
        <w:left w:val="none" w:sz="0" w:space="0" w:color="auto"/>
        <w:bottom w:val="none" w:sz="0" w:space="0" w:color="auto"/>
        <w:right w:val="none" w:sz="0" w:space="0" w:color="auto"/>
      </w:divBdr>
    </w:div>
    <w:div w:id="1594433417">
      <w:bodyDiv w:val="1"/>
      <w:marLeft w:val="0"/>
      <w:marRight w:val="0"/>
      <w:marTop w:val="0"/>
      <w:marBottom w:val="0"/>
      <w:divBdr>
        <w:top w:val="none" w:sz="0" w:space="0" w:color="auto"/>
        <w:left w:val="none" w:sz="0" w:space="0" w:color="auto"/>
        <w:bottom w:val="none" w:sz="0" w:space="0" w:color="auto"/>
        <w:right w:val="none" w:sz="0" w:space="0" w:color="auto"/>
      </w:divBdr>
    </w:div>
    <w:div w:id="1594631201">
      <w:bodyDiv w:val="1"/>
      <w:marLeft w:val="0"/>
      <w:marRight w:val="0"/>
      <w:marTop w:val="0"/>
      <w:marBottom w:val="0"/>
      <w:divBdr>
        <w:top w:val="none" w:sz="0" w:space="0" w:color="auto"/>
        <w:left w:val="none" w:sz="0" w:space="0" w:color="auto"/>
        <w:bottom w:val="none" w:sz="0" w:space="0" w:color="auto"/>
        <w:right w:val="none" w:sz="0" w:space="0" w:color="auto"/>
      </w:divBdr>
    </w:div>
    <w:div w:id="1635745669">
      <w:bodyDiv w:val="1"/>
      <w:marLeft w:val="0"/>
      <w:marRight w:val="0"/>
      <w:marTop w:val="0"/>
      <w:marBottom w:val="0"/>
      <w:divBdr>
        <w:top w:val="none" w:sz="0" w:space="0" w:color="auto"/>
        <w:left w:val="none" w:sz="0" w:space="0" w:color="auto"/>
        <w:bottom w:val="none" w:sz="0" w:space="0" w:color="auto"/>
        <w:right w:val="none" w:sz="0" w:space="0" w:color="auto"/>
      </w:divBdr>
    </w:div>
    <w:div w:id="1643147997">
      <w:bodyDiv w:val="1"/>
      <w:marLeft w:val="0"/>
      <w:marRight w:val="0"/>
      <w:marTop w:val="0"/>
      <w:marBottom w:val="0"/>
      <w:divBdr>
        <w:top w:val="none" w:sz="0" w:space="0" w:color="auto"/>
        <w:left w:val="none" w:sz="0" w:space="0" w:color="auto"/>
        <w:bottom w:val="none" w:sz="0" w:space="0" w:color="auto"/>
        <w:right w:val="none" w:sz="0" w:space="0" w:color="auto"/>
      </w:divBdr>
    </w:div>
    <w:div w:id="1650209700">
      <w:bodyDiv w:val="1"/>
      <w:marLeft w:val="0"/>
      <w:marRight w:val="0"/>
      <w:marTop w:val="0"/>
      <w:marBottom w:val="0"/>
      <w:divBdr>
        <w:top w:val="none" w:sz="0" w:space="0" w:color="auto"/>
        <w:left w:val="none" w:sz="0" w:space="0" w:color="auto"/>
        <w:bottom w:val="none" w:sz="0" w:space="0" w:color="auto"/>
        <w:right w:val="none" w:sz="0" w:space="0" w:color="auto"/>
      </w:divBdr>
    </w:div>
    <w:div w:id="1659574171">
      <w:bodyDiv w:val="1"/>
      <w:marLeft w:val="0"/>
      <w:marRight w:val="0"/>
      <w:marTop w:val="0"/>
      <w:marBottom w:val="0"/>
      <w:divBdr>
        <w:top w:val="none" w:sz="0" w:space="0" w:color="auto"/>
        <w:left w:val="none" w:sz="0" w:space="0" w:color="auto"/>
        <w:bottom w:val="none" w:sz="0" w:space="0" w:color="auto"/>
        <w:right w:val="none" w:sz="0" w:space="0" w:color="auto"/>
      </w:divBdr>
    </w:div>
    <w:div w:id="1729458203">
      <w:bodyDiv w:val="1"/>
      <w:marLeft w:val="0"/>
      <w:marRight w:val="0"/>
      <w:marTop w:val="0"/>
      <w:marBottom w:val="0"/>
      <w:divBdr>
        <w:top w:val="none" w:sz="0" w:space="0" w:color="auto"/>
        <w:left w:val="none" w:sz="0" w:space="0" w:color="auto"/>
        <w:bottom w:val="none" w:sz="0" w:space="0" w:color="auto"/>
        <w:right w:val="none" w:sz="0" w:space="0" w:color="auto"/>
      </w:divBdr>
    </w:div>
    <w:div w:id="1747025504">
      <w:bodyDiv w:val="1"/>
      <w:marLeft w:val="0"/>
      <w:marRight w:val="0"/>
      <w:marTop w:val="0"/>
      <w:marBottom w:val="0"/>
      <w:divBdr>
        <w:top w:val="none" w:sz="0" w:space="0" w:color="auto"/>
        <w:left w:val="none" w:sz="0" w:space="0" w:color="auto"/>
        <w:bottom w:val="none" w:sz="0" w:space="0" w:color="auto"/>
        <w:right w:val="none" w:sz="0" w:space="0" w:color="auto"/>
      </w:divBdr>
    </w:div>
    <w:div w:id="1841384684">
      <w:bodyDiv w:val="1"/>
      <w:marLeft w:val="0"/>
      <w:marRight w:val="0"/>
      <w:marTop w:val="0"/>
      <w:marBottom w:val="0"/>
      <w:divBdr>
        <w:top w:val="none" w:sz="0" w:space="0" w:color="auto"/>
        <w:left w:val="none" w:sz="0" w:space="0" w:color="auto"/>
        <w:bottom w:val="none" w:sz="0" w:space="0" w:color="auto"/>
        <w:right w:val="none" w:sz="0" w:space="0" w:color="auto"/>
      </w:divBdr>
    </w:div>
    <w:div w:id="1898928583">
      <w:bodyDiv w:val="1"/>
      <w:marLeft w:val="0"/>
      <w:marRight w:val="0"/>
      <w:marTop w:val="0"/>
      <w:marBottom w:val="0"/>
      <w:divBdr>
        <w:top w:val="none" w:sz="0" w:space="0" w:color="auto"/>
        <w:left w:val="none" w:sz="0" w:space="0" w:color="auto"/>
        <w:bottom w:val="none" w:sz="0" w:space="0" w:color="auto"/>
        <w:right w:val="none" w:sz="0" w:space="0" w:color="auto"/>
      </w:divBdr>
    </w:div>
    <w:div w:id="1945110570">
      <w:bodyDiv w:val="1"/>
      <w:marLeft w:val="0"/>
      <w:marRight w:val="0"/>
      <w:marTop w:val="0"/>
      <w:marBottom w:val="0"/>
      <w:divBdr>
        <w:top w:val="none" w:sz="0" w:space="0" w:color="auto"/>
        <w:left w:val="none" w:sz="0" w:space="0" w:color="auto"/>
        <w:bottom w:val="none" w:sz="0" w:space="0" w:color="auto"/>
        <w:right w:val="none" w:sz="0" w:space="0" w:color="auto"/>
      </w:divBdr>
    </w:div>
    <w:div w:id="1954358425">
      <w:bodyDiv w:val="1"/>
      <w:marLeft w:val="0"/>
      <w:marRight w:val="0"/>
      <w:marTop w:val="0"/>
      <w:marBottom w:val="0"/>
      <w:divBdr>
        <w:top w:val="none" w:sz="0" w:space="0" w:color="auto"/>
        <w:left w:val="none" w:sz="0" w:space="0" w:color="auto"/>
        <w:bottom w:val="none" w:sz="0" w:space="0" w:color="auto"/>
        <w:right w:val="none" w:sz="0" w:space="0" w:color="auto"/>
      </w:divBdr>
    </w:div>
    <w:div w:id="1989433645">
      <w:bodyDiv w:val="1"/>
      <w:marLeft w:val="0"/>
      <w:marRight w:val="0"/>
      <w:marTop w:val="0"/>
      <w:marBottom w:val="0"/>
      <w:divBdr>
        <w:top w:val="none" w:sz="0" w:space="0" w:color="auto"/>
        <w:left w:val="none" w:sz="0" w:space="0" w:color="auto"/>
        <w:bottom w:val="none" w:sz="0" w:space="0" w:color="auto"/>
        <w:right w:val="none" w:sz="0" w:space="0" w:color="auto"/>
      </w:divBdr>
    </w:div>
    <w:div w:id="21153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microsoft.com/office/2007/relationships/stylesWithEffects" Target="stylesWithEffect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2\2016Q2&#25968;&#25454;\2016Q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48023514055381E-2"/>
          <c:y val="5.0925925925925923E-2"/>
          <c:w val="0.73578014733846997"/>
          <c:h val="0.76436789151356077"/>
        </c:manualLayout>
      </c:layout>
      <c:lineChart>
        <c:grouping val="standard"/>
        <c:varyColors val="0"/>
        <c:ser>
          <c:idx val="0"/>
          <c:order val="0"/>
          <c:tx>
            <c:strRef>
              <c:f>指数持续更新!$A$3</c:f>
              <c:strCache>
                <c:ptCount val="1"/>
                <c:pt idx="0">
                  <c:v>企业家信心指数</c:v>
                </c:pt>
              </c:strCache>
            </c:strRef>
          </c:tx>
          <c:spPr>
            <a:ln w="28575" cap="rnd">
              <a:solidFill>
                <a:schemeClr val="accent1">
                  <a:lumMod val="75000"/>
                </a:schemeClr>
              </a:solidFill>
              <a:round/>
            </a:ln>
            <a:effectLst/>
          </c:spPr>
          <c:marker>
            <c:symbol val="none"/>
          </c:marker>
          <c:cat>
            <c:multiLvlStrRef>
              <c:f>指数持续更新!$B$1:$K$2</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指数持续更新!$B$3:$K$3</c:f>
              <c:numCache>
                <c:formatCode>General</c:formatCode>
                <c:ptCount val="10"/>
                <c:pt idx="0">
                  <c:v>143.6</c:v>
                </c:pt>
                <c:pt idx="1">
                  <c:v>152.6</c:v>
                </c:pt>
                <c:pt idx="2">
                  <c:v>148.30000000000001</c:v>
                </c:pt>
                <c:pt idx="3">
                  <c:v>154.19999999999999</c:v>
                </c:pt>
                <c:pt idx="4">
                  <c:v>145.19999999999999</c:v>
                </c:pt>
                <c:pt idx="5">
                  <c:v>150.5</c:v>
                </c:pt>
                <c:pt idx="6">
                  <c:v>137.5</c:v>
                </c:pt>
                <c:pt idx="7">
                  <c:v>140.30000000000001</c:v>
                </c:pt>
                <c:pt idx="8">
                  <c:v>144.80000000000001</c:v>
                </c:pt>
                <c:pt idx="9">
                  <c:v>141.19999999999999</c:v>
                </c:pt>
              </c:numCache>
            </c:numRef>
          </c:val>
          <c:smooth val="0"/>
        </c:ser>
        <c:ser>
          <c:idx val="1"/>
          <c:order val="1"/>
          <c:tx>
            <c:strRef>
              <c:f>指数持续更新!$A$4</c:f>
              <c:strCache>
                <c:ptCount val="1"/>
                <c:pt idx="0">
                  <c:v>行业景气指数</c:v>
                </c:pt>
              </c:strCache>
            </c:strRef>
          </c:tx>
          <c:spPr>
            <a:ln w="28575" cap="rnd">
              <a:solidFill>
                <a:srgbClr val="C00000"/>
              </a:solidFill>
              <a:round/>
            </a:ln>
            <a:effectLst/>
          </c:spPr>
          <c:marker>
            <c:symbol val="none"/>
          </c:marker>
          <c:cat>
            <c:multiLvlStrRef>
              <c:f>指数持续更新!$B$1:$K$2</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指数持续更新!$B$4:$K$4</c:f>
              <c:numCache>
                <c:formatCode>General</c:formatCode>
                <c:ptCount val="10"/>
                <c:pt idx="0">
                  <c:v>146.1</c:v>
                </c:pt>
                <c:pt idx="1">
                  <c:v>156.69999999999999</c:v>
                </c:pt>
                <c:pt idx="2">
                  <c:v>152.6</c:v>
                </c:pt>
                <c:pt idx="3">
                  <c:v>154.19999999999999</c:v>
                </c:pt>
                <c:pt idx="4">
                  <c:v>147.5</c:v>
                </c:pt>
                <c:pt idx="5">
                  <c:v>150.5</c:v>
                </c:pt>
                <c:pt idx="6">
                  <c:v>144.4</c:v>
                </c:pt>
                <c:pt idx="7">
                  <c:v>141.1</c:v>
                </c:pt>
                <c:pt idx="8">
                  <c:v>138.5</c:v>
                </c:pt>
                <c:pt idx="9">
                  <c:v>136.9</c:v>
                </c:pt>
              </c:numCache>
            </c:numRef>
          </c:val>
          <c:smooth val="0"/>
        </c:ser>
        <c:dLbls>
          <c:showLegendKey val="0"/>
          <c:showVal val="0"/>
          <c:showCatName val="0"/>
          <c:showSerName val="0"/>
          <c:showPercent val="0"/>
          <c:showBubbleSize val="0"/>
        </c:dLbls>
        <c:marker val="1"/>
        <c:smooth val="0"/>
        <c:axId val="342888832"/>
        <c:axId val="342890368"/>
      </c:lineChart>
      <c:catAx>
        <c:axId val="34288883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342890368"/>
        <c:crosses val="autoZero"/>
        <c:auto val="1"/>
        <c:lblAlgn val="ctr"/>
        <c:lblOffset val="100"/>
        <c:noMultiLvlLbl val="0"/>
      </c:catAx>
      <c:valAx>
        <c:axId val="342890368"/>
        <c:scaling>
          <c:orientation val="minMax"/>
          <c:max val="170"/>
          <c:min val="10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342888832"/>
        <c:crosses val="autoZero"/>
        <c:crossBetween val="between"/>
      </c:valAx>
      <c:spPr>
        <a:noFill/>
        <a:ln>
          <a:noFill/>
        </a:ln>
        <a:effectLst/>
      </c:spPr>
    </c:plotArea>
    <c:legend>
      <c:legendPos val="r"/>
      <c:layout>
        <c:manualLayout>
          <c:xMode val="edge"/>
          <c:yMode val="edge"/>
          <c:x val="0.76144202010526862"/>
          <c:y val="0.50983741615631384"/>
          <c:w val="0.23855795580662637"/>
          <c:h val="0.1562510936132983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46225793954477E-2"/>
          <c:y val="0.11864904552129224"/>
          <c:w val="0.90419301094866134"/>
          <c:h val="0.84908945853133999"/>
        </c:manualLayout>
      </c:layout>
      <c:barChart>
        <c:barDir val="col"/>
        <c:grouping val="clustered"/>
        <c:varyColors val="0"/>
        <c:ser>
          <c:idx val="0"/>
          <c:order val="0"/>
          <c:tx>
            <c:strRef>
              <c:f>指数持续更新!$A$81</c:f>
              <c:strCache>
                <c:ptCount val="1"/>
                <c:pt idx="0">
                  <c:v>创新景气指数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指数持续更新!$B$79:$K$80</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指数持续更新!$B$81:$K$81</c:f>
              <c:numCache>
                <c:formatCode>General</c:formatCode>
                <c:ptCount val="10"/>
                <c:pt idx="0">
                  <c:v>134.1</c:v>
                </c:pt>
                <c:pt idx="1">
                  <c:v>149.9</c:v>
                </c:pt>
                <c:pt idx="2">
                  <c:v>138</c:v>
                </c:pt>
                <c:pt idx="3">
                  <c:v>132.1</c:v>
                </c:pt>
                <c:pt idx="4">
                  <c:v>123.8</c:v>
                </c:pt>
                <c:pt idx="5">
                  <c:v>147.19999999999999</c:v>
                </c:pt>
                <c:pt idx="6">
                  <c:v>135.69999999999999</c:v>
                </c:pt>
                <c:pt idx="7">
                  <c:v>136</c:v>
                </c:pt>
                <c:pt idx="8">
                  <c:v>118.8</c:v>
                </c:pt>
                <c:pt idx="9">
                  <c:v>140.30000000000001</c:v>
                </c:pt>
              </c:numCache>
            </c:numRef>
          </c:val>
        </c:ser>
        <c:dLbls>
          <c:showLegendKey val="0"/>
          <c:showVal val="0"/>
          <c:showCatName val="0"/>
          <c:showSerName val="0"/>
          <c:showPercent val="0"/>
          <c:showBubbleSize val="0"/>
        </c:dLbls>
        <c:gapWidth val="121"/>
        <c:overlap val="-27"/>
        <c:axId val="160456064"/>
        <c:axId val="160470144"/>
      </c:barChart>
      <c:catAx>
        <c:axId val="160456064"/>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470144"/>
        <c:crossesAt val="100"/>
        <c:auto val="1"/>
        <c:lblAlgn val="ctr"/>
        <c:lblOffset val="100"/>
        <c:noMultiLvlLbl val="0"/>
      </c:catAx>
      <c:valAx>
        <c:axId val="160470144"/>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45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指数持续更新!$A$104</c:f>
              <c:strCache>
                <c:ptCount val="1"/>
                <c:pt idx="0">
                  <c:v>研发投入</c:v>
                </c:pt>
              </c:strCache>
            </c:strRef>
          </c:tx>
          <c:spPr>
            <a:ln w="28575" cap="rnd">
              <a:solidFill>
                <a:schemeClr val="accent1"/>
              </a:solidFill>
              <a:round/>
            </a:ln>
            <a:effectLst/>
          </c:spPr>
          <c:marker>
            <c:symbol val="none"/>
          </c:marker>
          <c:cat>
            <c:multiLvlStrRef>
              <c:f>指数持续更新!$B$102:$K$103</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指数持续更新!$B$104:$K$104</c:f>
              <c:numCache>
                <c:formatCode>General</c:formatCode>
                <c:ptCount val="10"/>
                <c:pt idx="0">
                  <c:v>136</c:v>
                </c:pt>
                <c:pt idx="1">
                  <c:v>152</c:v>
                </c:pt>
                <c:pt idx="2">
                  <c:v>139.80000000000001</c:v>
                </c:pt>
                <c:pt idx="3">
                  <c:v>133.5</c:v>
                </c:pt>
                <c:pt idx="4">
                  <c:v>126.2</c:v>
                </c:pt>
                <c:pt idx="5">
                  <c:v>149.80000000000001</c:v>
                </c:pt>
                <c:pt idx="6">
                  <c:v>137</c:v>
                </c:pt>
                <c:pt idx="7">
                  <c:v>136.4</c:v>
                </c:pt>
                <c:pt idx="8">
                  <c:v>120.9</c:v>
                </c:pt>
                <c:pt idx="9">
                  <c:v>141.6</c:v>
                </c:pt>
              </c:numCache>
            </c:numRef>
          </c:val>
          <c:smooth val="0"/>
        </c:ser>
        <c:ser>
          <c:idx val="1"/>
          <c:order val="1"/>
          <c:tx>
            <c:strRef>
              <c:f>指数持续更新!$A$105</c:f>
              <c:strCache>
                <c:ptCount val="1"/>
                <c:pt idx="0">
                  <c:v>专利</c:v>
                </c:pt>
              </c:strCache>
            </c:strRef>
          </c:tx>
          <c:spPr>
            <a:ln w="28575" cap="rnd">
              <a:solidFill>
                <a:schemeClr val="accent2"/>
              </a:solidFill>
              <a:round/>
            </a:ln>
            <a:effectLst/>
          </c:spPr>
          <c:marker>
            <c:symbol val="none"/>
          </c:marker>
          <c:cat>
            <c:multiLvlStrRef>
              <c:f>指数持续更新!$B$102:$K$103</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指数持续更新!$B$105:$K$105</c:f>
              <c:numCache>
                <c:formatCode>General</c:formatCode>
                <c:ptCount val="10"/>
                <c:pt idx="0">
                  <c:v>122.5</c:v>
                </c:pt>
                <c:pt idx="1">
                  <c:v>137.9</c:v>
                </c:pt>
                <c:pt idx="2">
                  <c:v>127.4</c:v>
                </c:pt>
                <c:pt idx="3">
                  <c:v>122.9</c:v>
                </c:pt>
                <c:pt idx="4">
                  <c:v>107.7</c:v>
                </c:pt>
                <c:pt idx="5">
                  <c:v>129.69999999999999</c:v>
                </c:pt>
                <c:pt idx="6">
                  <c:v>128.6</c:v>
                </c:pt>
                <c:pt idx="7">
                  <c:v>133.30000000000001</c:v>
                </c:pt>
                <c:pt idx="8">
                  <c:v>103.1</c:v>
                </c:pt>
                <c:pt idx="9">
                  <c:v>132.4</c:v>
                </c:pt>
              </c:numCache>
            </c:numRef>
          </c:val>
          <c:smooth val="0"/>
        </c:ser>
        <c:dLbls>
          <c:showLegendKey val="0"/>
          <c:showVal val="0"/>
          <c:showCatName val="0"/>
          <c:showSerName val="0"/>
          <c:showPercent val="0"/>
          <c:showBubbleSize val="0"/>
        </c:dLbls>
        <c:marker val="1"/>
        <c:smooth val="0"/>
        <c:axId val="285672576"/>
        <c:axId val="285674112"/>
      </c:lineChart>
      <c:catAx>
        <c:axId val="28567257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5674112"/>
        <c:crossesAt val="100"/>
        <c:auto val="1"/>
        <c:lblAlgn val="ctr"/>
        <c:lblOffset val="100"/>
        <c:noMultiLvlLbl val="0"/>
      </c:catAx>
      <c:valAx>
        <c:axId val="285674112"/>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285672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46225793954477E-2"/>
          <c:y val="3.2548264800233304E-2"/>
          <c:w val="0.90419301094866134"/>
          <c:h val="0.93490347039953337"/>
        </c:manualLayout>
      </c:layout>
      <c:barChart>
        <c:barDir val="col"/>
        <c:grouping val="clustered"/>
        <c:varyColors val="0"/>
        <c:ser>
          <c:idx val="0"/>
          <c:order val="0"/>
          <c:tx>
            <c:strRef>
              <c:f>指数持续更新!$A$110</c:f>
              <c:strCache>
                <c:ptCount val="1"/>
                <c:pt idx="0">
                  <c:v>政策环境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指数持续更新!$B$108:$K$109</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指数持续更新!$B$110:$K$110</c:f>
              <c:numCache>
                <c:formatCode>General</c:formatCode>
                <c:ptCount val="10"/>
                <c:pt idx="0">
                  <c:v>131.19999999999999</c:v>
                </c:pt>
                <c:pt idx="1">
                  <c:v>142.30000000000001</c:v>
                </c:pt>
                <c:pt idx="2">
                  <c:v>129.4</c:v>
                </c:pt>
                <c:pt idx="3">
                  <c:v>132.1</c:v>
                </c:pt>
                <c:pt idx="4">
                  <c:v>134.6</c:v>
                </c:pt>
                <c:pt idx="5">
                  <c:v>136</c:v>
                </c:pt>
                <c:pt idx="6">
                  <c:v>132.5</c:v>
                </c:pt>
                <c:pt idx="7">
                  <c:v>134.6</c:v>
                </c:pt>
                <c:pt idx="8">
                  <c:v>131.9</c:v>
                </c:pt>
                <c:pt idx="9">
                  <c:v>130.4</c:v>
                </c:pt>
              </c:numCache>
            </c:numRef>
          </c:val>
        </c:ser>
        <c:dLbls>
          <c:showLegendKey val="0"/>
          <c:showVal val="0"/>
          <c:showCatName val="0"/>
          <c:showSerName val="0"/>
          <c:showPercent val="0"/>
          <c:showBubbleSize val="0"/>
        </c:dLbls>
        <c:gapWidth val="121"/>
        <c:overlap val="-27"/>
        <c:axId val="160463488"/>
        <c:axId val="285700480"/>
      </c:barChart>
      <c:catAx>
        <c:axId val="160463488"/>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285700480"/>
        <c:crossesAt val="100"/>
        <c:auto val="1"/>
        <c:lblAlgn val="ctr"/>
        <c:lblOffset val="100"/>
        <c:noMultiLvlLbl val="0"/>
      </c:catAx>
      <c:valAx>
        <c:axId val="285700480"/>
        <c:scaling>
          <c:orientation val="minMax"/>
          <c:max val="170"/>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46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137460758581651"/>
          <c:y val="8.5735301051440421E-2"/>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指数持续更新!$A$144</c:f>
              <c:strCache>
                <c:ptCount val="1"/>
                <c:pt idx="0">
                  <c:v>新一代信息技术</c:v>
                </c:pt>
              </c:strCache>
            </c:strRef>
          </c:tx>
          <c:spPr>
            <a:solidFill>
              <a:schemeClr val="accent1"/>
            </a:solidFill>
            <a:ln>
              <a:noFill/>
            </a:ln>
            <a:effectLst/>
          </c:spPr>
          <c:invertIfNegative val="0"/>
          <c:cat>
            <c:multiLvlStrRef>
              <c:f>指数持续更新!$B$142:$G$143</c:f>
              <c:multiLvlStrCache>
                <c:ptCount val="6"/>
                <c:lvl>
                  <c:pt idx="0">
                    <c:v>Q1</c:v>
                  </c:pt>
                  <c:pt idx="1">
                    <c:v>Q2</c:v>
                  </c:pt>
                  <c:pt idx="2">
                    <c:v>Q3</c:v>
                  </c:pt>
                  <c:pt idx="3">
                    <c:v>Q4</c:v>
                  </c:pt>
                  <c:pt idx="4">
                    <c:v>Q1</c:v>
                  </c:pt>
                  <c:pt idx="5">
                    <c:v>Q2</c:v>
                  </c:pt>
                </c:lvl>
                <c:lvl>
                  <c:pt idx="0">
                    <c:v>2015</c:v>
                  </c:pt>
                  <c:pt idx="4">
                    <c:v>2016</c:v>
                  </c:pt>
                </c:lvl>
              </c:multiLvlStrCache>
            </c:multiLvlStrRef>
          </c:cat>
          <c:val>
            <c:numRef>
              <c:f>指数持续更新!$B$144:$G$144</c:f>
              <c:numCache>
                <c:formatCode>General</c:formatCode>
                <c:ptCount val="6"/>
                <c:pt idx="0">
                  <c:v>150</c:v>
                </c:pt>
                <c:pt idx="1">
                  <c:v>162.30000000000001</c:v>
                </c:pt>
                <c:pt idx="2">
                  <c:v>152.30000000000001</c:v>
                </c:pt>
                <c:pt idx="3">
                  <c:v>153.1</c:v>
                </c:pt>
                <c:pt idx="4">
                  <c:v>130.19999999999999</c:v>
                </c:pt>
                <c:pt idx="5">
                  <c:v>135.9</c:v>
                </c:pt>
              </c:numCache>
            </c:numRef>
          </c:val>
        </c:ser>
        <c:dLbls>
          <c:showLegendKey val="0"/>
          <c:showVal val="0"/>
          <c:showCatName val="0"/>
          <c:showSerName val="0"/>
          <c:showPercent val="0"/>
          <c:showBubbleSize val="0"/>
        </c:dLbls>
        <c:gapWidth val="100"/>
        <c:overlap val="-27"/>
        <c:axId val="285728768"/>
        <c:axId val="285730304"/>
      </c:barChart>
      <c:catAx>
        <c:axId val="285728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5730304"/>
        <c:crosses val="autoZero"/>
        <c:auto val="1"/>
        <c:lblAlgn val="ctr"/>
        <c:lblOffset val="100"/>
        <c:noMultiLvlLbl val="0"/>
      </c:catAx>
      <c:valAx>
        <c:axId val="285730304"/>
        <c:scaling>
          <c:orientation val="minMax"/>
          <c:min val="100"/>
        </c:scaling>
        <c:delete val="0"/>
        <c:axPos val="l"/>
        <c:numFmt formatCode="General"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57287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61563616023407"/>
          <c:y val="8.7824351297405193E-2"/>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指数持续更新!$A$145</c:f>
              <c:strCache>
                <c:ptCount val="1"/>
                <c:pt idx="0">
                  <c:v>新能源汽车</c:v>
                </c:pt>
              </c:strCache>
            </c:strRef>
          </c:tx>
          <c:spPr>
            <a:solidFill>
              <a:schemeClr val="accent1"/>
            </a:solidFill>
            <a:ln>
              <a:noFill/>
            </a:ln>
            <a:effectLst/>
          </c:spPr>
          <c:invertIfNegative val="0"/>
          <c:cat>
            <c:multiLvlStrRef>
              <c:f>指数持续更新!$B$142:$G$143</c:f>
              <c:multiLvlStrCache>
                <c:ptCount val="6"/>
                <c:lvl>
                  <c:pt idx="0">
                    <c:v>Q1</c:v>
                  </c:pt>
                  <c:pt idx="1">
                    <c:v>Q2</c:v>
                  </c:pt>
                  <c:pt idx="2">
                    <c:v>Q3</c:v>
                  </c:pt>
                  <c:pt idx="3">
                    <c:v>Q4</c:v>
                  </c:pt>
                  <c:pt idx="4">
                    <c:v>Q1</c:v>
                  </c:pt>
                  <c:pt idx="5">
                    <c:v>Q2</c:v>
                  </c:pt>
                </c:lvl>
                <c:lvl>
                  <c:pt idx="0">
                    <c:v>2015</c:v>
                  </c:pt>
                  <c:pt idx="4">
                    <c:v>2016</c:v>
                  </c:pt>
                </c:lvl>
              </c:multiLvlStrCache>
            </c:multiLvlStrRef>
          </c:cat>
          <c:val>
            <c:numRef>
              <c:f>指数持续更新!$B$145:$G$145</c:f>
              <c:numCache>
                <c:formatCode>General</c:formatCode>
                <c:ptCount val="6"/>
                <c:pt idx="0">
                  <c:v>142.6</c:v>
                </c:pt>
                <c:pt idx="1">
                  <c:v>158.5</c:v>
                </c:pt>
                <c:pt idx="2">
                  <c:v>150.9</c:v>
                </c:pt>
                <c:pt idx="3">
                  <c:v>160.9</c:v>
                </c:pt>
                <c:pt idx="4">
                  <c:v>136.19999999999999</c:v>
                </c:pt>
                <c:pt idx="5">
                  <c:v>152.1</c:v>
                </c:pt>
              </c:numCache>
            </c:numRef>
          </c:val>
        </c:ser>
        <c:dLbls>
          <c:showLegendKey val="0"/>
          <c:showVal val="0"/>
          <c:showCatName val="0"/>
          <c:showSerName val="0"/>
          <c:showPercent val="0"/>
          <c:showBubbleSize val="0"/>
        </c:dLbls>
        <c:gapWidth val="100"/>
        <c:overlap val="-27"/>
        <c:axId val="160244864"/>
        <c:axId val="160246400"/>
      </c:barChart>
      <c:catAx>
        <c:axId val="160244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0246400"/>
        <c:crosses val="autoZero"/>
        <c:auto val="1"/>
        <c:lblAlgn val="ctr"/>
        <c:lblOffset val="100"/>
        <c:noMultiLvlLbl val="0"/>
      </c:catAx>
      <c:valAx>
        <c:axId val="160246400"/>
        <c:scaling>
          <c:orientation val="minMax"/>
          <c:max val="180"/>
          <c:min val="100"/>
        </c:scaling>
        <c:delete val="1"/>
        <c:axPos val="l"/>
        <c:numFmt formatCode="General" sourceLinked="1"/>
        <c:majorTickMark val="out"/>
        <c:minorTickMark val="none"/>
        <c:tickLblPos val="nextTo"/>
        <c:crossAx val="160244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指数持续更新!$A$146</c:f>
              <c:strCache>
                <c:ptCount val="1"/>
                <c:pt idx="0">
                  <c:v>生物</c:v>
                </c:pt>
              </c:strCache>
            </c:strRef>
          </c:tx>
          <c:spPr>
            <a:solidFill>
              <a:schemeClr val="accent1"/>
            </a:solidFill>
            <a:ln>
              <a:noFill/>
            </a:ln>
            <a:effectLst/>
          </c:spPr>
          <c:invertIfNegative val="0"/>
          <c:cat>
            <c:multiLvlStrRef>
              <c:f>指数持续更新!$B$142:$G$143</c:f>
              <c:multiLvlStrCache>
                <c:ptCount val="6"/>
                <c:lvl>
                  <c:pt idx="0">
                    <c:v>Q1</c:v>
                  </c:pt>
                  <c:pt idx="1">
                    <c:v>Q2</c:v>
                  </c:pt>
                  <c:pt idx="2">
                    <c:v>Q3</c:v>
                  </c:pt>
                  <c:pt idx="3">
                    <c:v>Q4</c:v>
                  </c:pt>
                  <c:pt idx="4">
                    <c:v>Q1</c:v>
                  </c:pt>
                  <c:pt idx="5">
                    <c:v>Q2</c:v>
                  </c:pt>
                </c:lvl>
                <c:lvl>
                  <c:pt idx="0">
                    <c:v>2015</c:v>
                  </c:pt>
                  <c:pt idx="4">
                    <c:v>2016</c:v>
                  </c:pt>
                </c:lvl>
              </c:multiLvlStrCache>
            </c:multiLvlStrRef>
          </c:cat>
          <c:val>
            <c:numRef>
              <c:f>指数持续更新!$B$146:$G$146</c:f>
              <c:numCache>
                <c:formatCode>General</c:formatCode>
                <c:ptCount val="6"/>
                <c:pt idx="0">
                  <c:v>149.6</c:v>
                </c:pt>
                <c:pt idx="1">
                  <c:v>156.30000000000001</c:v>
                </c:pt>
                <c:pt idx="2">
                  <c:v>143.19999999999999</c:v>
                </c:pt>
                <c:pt idx="3">
                  <c:v>136.19999999999999</c:v>
                </c:pt>
                <c:pt idx="4">
                  <c:v>143.6</c:v>
                </c:pt>
                <c:pt idx="5">
                  <c:v>142.9</c:v>
                </c:pt>
              </c:numCache>
            </c:numRef>
          </c:val>
        </c:ser>
        <c:dLbls>
          <c:showLegendKey val="0"/>
          <c:showVal val="0"/>
          <c:showCatName val="0"/>
          <c:showSerName val="0"/>
          <c:showPercent val="0"/>
          <c:showBubbleSize val="0"/>
        </c:dLbls>
        <c:gapWidth val="100"/>
        <c:overlap val="-27"/>
        <c:axId val="160270592"/>
        <c:axId val="160276480"/>
      </c:barChart>
      <c:catAx>
        <c:axId val="1602705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0276480"/>
        <c:crosses val="autoZero"/>
        <c:auto val="1"/>
        <c:lblAlgn val="ctr"/>
        <c:lblOffset val="100"/>
        <c:noMultiLvlLbl val="0"/>
      </c:catAx>
      <c:valAx>
        <c:axId val="160276480"/>
        <c:scaling>
          <c:orientation val="minMax"/>
          <c:max val="180"/>
          <c:min val="100"/>
        </c:scaling>
        <c:delete val="1"/>
        <c:axPos val="l"/>
        <c:numFmt formatCode="General" sourceLinked="1"/>
        <c:majorTickMark val="out"/>
        <c:minorTickMark val="none"/>
        <c:tickLblPos val="nextTo"/>
        <c:crossAx val="160270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583989501312336"/>
          <c:y val="0.14634146341463414"/>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指数持续更新!$A$147</c:f>
              <c:strCache>
                <c:ptCount val="1"/>
                <c:pt idx="0">
                  <c:v>新能源</c:v>
                </c:pt>
              </c:strCache>
            </c:strRef>
          </c:tx>
          <c:spPr>
            <a:solidFill>
              <a:schemeClr val="accent1"/>
            </a:solidFill>
            <a:ln>
              <a:noFill/>
            </a:ln>
            <a:effectLst/>
          </c:spPr>
          <c:invertIfNegative val="0"/>
          <c:cat>
            <c:multiLvlStrRef>
              <c:f>指数持续更新!$B$142:$G$143</c:f>
              <c:multiLvlStrCache>
                <c:ptCount val="6"/>
                <c:lvl>
                  <c:pt idx="0">
                    <c:v>Q1</c:v>
                  </c:pt>
                  <c:pt idx="1">
                    <c:v>Q2</c:v>
                  </c:pt>
                  <c:pt idx="2">
                    <c:v>Q3</c:v>
                  </c:pt>
                  <c:pt idx="3">
                    <c:v>Q4</c:v>
                  </c:pt>
                  <c:pt idx="4">
                    <c:v>Q1</c:v>
                  </c:pt>
                  <c:pt idx="5">
                    <c:v>Q2</c:v>
                  </c:pt>
                </c:lvl>
                <c:lvl>
                  <c:pt idx="0">
                    <c:v>2015</c:v>
                  </c:pt>
                  <c:pt idx="4">
                    <c:v>2016</c:v>
                  </c:pt>
                </c:lvl>
              </c:multiLvlStrCache>
            </c:multiLvlStrRef>
          </c:cat>
          <c:val>
            <c:numRef>
              <c:f>指数持续更新!$B$147:$G$147</c:f>
              <c:numCache>
                <c:formatCode>General</c:formatCode>
                <c:ptCount val="6"/>
                <c:pt idx="0">
                  <c:v>145.69999999999999</c:v>
                </c:pt>
                <c:pt idx="1">
                  <c:v>145</c:v>
                </c:pt>
                <c:pt idx="2">
                  <c:v>140.9</c:v>
                </c:pt>
                <c:pt idx="3">
                  <c:v>142.69999999999999</c:v>
                </c:pt>
                <c:pt idx="4">
                  <c:v>145.1</c:v>
                </c:pt>
                <c:pt idx="5">
                  <c:v>136.5</c:v>
                </c:pt>
              </c:numCache>
            </c:numRef>
          </c:val>
        </c:ser>
        <c:dLbls>
          <c:showLegendKey val="0"/>
          <c:showVal val="0"/>
          <c:showCatName val="0"/>
          <c:showSerName val="0"/>
          <c:showPercent val="0"/>
          <c:showBubbleSize val="0"/>
        </c:dLbls>
        <c:gapWidth val="100"/>
        <c:overlap val="-27"/>
        <c:axId val="160292224"/>
        <c:axId val="342832256"/>
      </c:barChart>
      <c:catAx>
        <c:axId val="1602922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2832256"/>
        <c:crosses val="autoZero"/>
        <c:auto val="1"/>
        <c:lblAlgn val="ctr"/>
        <c:lblOffset val="100"/>
        <c:noMultiLvlLbl val="0"/>
      </c:catAx>
      <c:valAx>
        <c:axId val="342832256"/>
        <c:scaling>
          <c:orientation val="minMax"/>
          <c:max val="180"/>
          <c:min val="100"/>
        </c:scaling>
        <c:delete val="0"/>
        <c:axPos val="l"/>
        <c:numFmt formatCode="General"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0292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just">
        <a:defRPr/>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574019665452265"/>
          <c:y val="0.14634146341463414"/>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指数持续更新!$A$148</c:f>
              <c:strCache>
                <c:ptCount val="1"/>
                <c:pt idx="0">
                  <c:v>高端装备</c:v>
                </c:pt>
              </c:strCache>
            </c:strRef>
          </c:tx>
          <c:spPr>
            <a:solidFill>
              <a:schemeClr val="accent1"/>
            </a:solidFill>
            <a:ln>
              <a:noFill/>
            </a:ln>
            <a:effectLst/>
          </c:spPr>
          <c:invertIfNegative val="0"/>
          <c:cat>
            <c:multiLvlStrRef>
              <c:f>指数持续更新!$B$142:$G$143</c:f>
              <c:multiLvlStrCache>
                <c:ptCount val="6"/>
                <c:lvl>
                  <c:pt idx="0">
                    <c:v>Q1</c:v>
                  </c:pt>
                  <c:pt idx="1">
                    <c:v>Q2</c:v>
                  </c:pt>
                  <c:pt idx="2">
                    <c:v>Q3</c:v>
                  </c:pt>
                  <c:pt idx="3">
                    <c:v>Q4</c:v>
                  </c:pt>
                  <c:pt idx="4">
                    <c:v>Q1</c:v>
                  </c:pt>
                  <c:pt idx="5">
                    <c:v>Q2</c:v>
                  </c:pt>
                </c:lvl>
                <c:lvl>
                  <c:pt idx="0">
                    <c:v>2015</c:v>
                  </c:pt>
                  <c:pt idx="4">
                    <c:v>2016</c:v>
                  </c:pt>
                </c:lvl>
              </c:multiLvlStrCache>
            </c:multiLvlStrRef>
          </c:cat>
          <c:val>
            <c:numRef>
              <c:f>指数持续更新!$B$148:$G$148</c:f>
              <c:numCache>
                <c:formatCode>General</c:formatCode>
                <c:ptCount val="6"/>
                <c:pt idx="0">
                  <c:v>131.19999999999999</c:v>
                </c:pt>
                <c:pt idx="1">
                  <c:v>142.4</c:v>
                </c:pt>
                <c:pt idx="2">
                  <c:v>119.1</c:v>
                </c:pt>
                <c:pt idx="3">
                  <c:v>119.9</c:v>
                </c:pt>
                <c:pt idx="4">
                  <c:v>124.5</c:v>
                </c:pt>
                <c:pt idx="5">
                  <c:v>123.7</c:v>
                </c:pt>
              </c:numCache>
            </c:numRef>
          </c:val>
        </c:ser>
        <c:dLbls>
          <c:showLegendKey val="0"/>
          <c:showVal val="0"/>
          <c:showCatName val="0"/>
          <c:showSerName val="0"/>
          <c:showPercent val="0"/>
          <c:showBubbleSize val="0"/>
        </c:dLbls>
        <c:gapWidth val="100"/>
        <c:overlap val="-27"/>
        <c:axId val="342844160"/>
        <c:axId val="342845696"/>
      </c:barChart>
      <c:catAx>
        <c:axId val="3428441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2845696"/>
        <c:crosses val="autoZero"/>
        <c:auto val="1"/>
        <c:lblAlgn val="ctr"/>
        <c:lblOffset val="100"/>
        <c:noMultiLvlLbl val="0"/>
      </c:catAx>
      <c:valAx>
        <c:axId val="342845696"/>
        <c:scaling>
          <c:orientation val="minMax"/>
          <c:max val="180"/>
          <c:min val="100"/>
        </c:scaling>
        <c:delete val="1"/>
        <c:axPos val="l"/>
        <c:numFmt formatCode="General" sourceLinked="1"/>
        <c:majorTickMark val="out"/>
        <c:minorTickMark val="none"/>
        <c:tickLblPos val="nextTo"/>
        <c:crossAx val="3428441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051598201387616"/>
          <c:y val="0.2283609576427256"/>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指数持续更新!$A$149</c:f>
              <c:strCache>
                <c:ptCount val="1"/>
                <c:pt idx="0">
                  <c:v>新材料</c:v>
                </c:pt>
              </c:strCache>
            </c:strRef>
          </c:tx>
          <c:spPr>
            <a:solidFill>
              <a:schemeClr val="accent1"/>
            </a:solidFill>
            <a:ln>
              <a:noFill/>
            </a:ln>
            <a:effectLst/>
          </c:spPr>
          <c:invertIfNegative val="0"/>
          <c:cat>
            <c:multiLvlStrRef>
              <c:f>指数持续更新!$B$142:$G$143</c:f>
              <c:multiLvlStrCache>
                <c:ptCount val="6"/>
                <c:lvl>
                  <c:pt idx="0">
                    <c:v>Q1</c:v>
                  </c:pt>
                  <c:pt idx="1">
                    <c:v>Q2</c:v>
                  </c:pt>
                  <c:pt idx="2">
                    <c:v>Q3</c:v>
                  </c:pt>
                  <c:pt idx="3">
                    <c:v>Q4</c:v>
                  </c:pt>
                  <c:pt idx="4">
                    <c:v>Q1</c:v>
                  </c:pt>
                  <c:pt idx="5">
                    <c:v>Q2</c:v>
                  </c:pt>
                </c:lvl>
                <c:lvl>
                  <c:pt idx="0">
                    <c:v>2015</c:v>
                  </c:pt>
                  <c:pt idx="4">
                    <c:v>2016</c:v>
                  </c:pt>
                </c:lvl>
              </c:multiLvlStrCache>
            </c:multiLvlStrRef>
          </c:cat>
          <c:val>
            <c:numRef>
              <c:f>指数持续更新!$B$149:$G$149</c:f>
              <c:numCache>
                <c:formatCode>General</c:formatCode>
                <c:ptCount val="6"/>
                <c:pt idx="0">
                  <c:v>120.5</c:v>
                </c:pt>
                <c:pt idx="1">
                  <c:v>134.30000000000001</c:v>
                </c:pt>
                <c:pt idx="2">
                  <c:v>121.5</c:v>
                </c:pt>
                <c:pt idx="3">
                  <c:v>112.3</c:v>
                </c:pt>
                <c:pt idx="4">
                  <c:v>122.5</c:v>
                </c:pt>
                <c:pt idx="5">
                  <c:v>128</c:v>
                </c:pt>
              </c:numCache>
            </c:numRef>
          </c:val>
        </c:ser>
        <c:dLbls>
          <c:showLegendKey val="0"/>
          <c:showVal val="0"/>
          <c:showCatName val="0"/>
          <c:showSerName val="0"/>
          <c:showPercent val="0"/>
          <c:showBubbleSize val="0"/>
        </c:dLbls>
        <c:gapWidth val="100"/>
        <c:overlap val="-27"/>
        <c:axId val="342878080"/>
        <c:axId val="342879616"/>
      </c:barChart>
      <c:catAx>
        <c:axId val="342878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2879616"/>
        <c:crosses val="autoZero"/>
        <c:auto val="1"/>
        <c:lblAlgn val="ctr"/>
        <c:lblOffset val="100"/>
        <c:noMultiLvlLbl val="0"/>
      </c:catAx>
      <c:valAx>
        <c:axId val="342879616"/>
        <c:scaling>
          <c:orientation val="minMax"/>
          <c:max val="180"/>
          <c:min val="100"/>
        </c:scaling>
        <c:delete val="1"/>
        <c:axPos val="l"/>
        <c:numFmt formatCode="General" sourceLinked="1"/>
        <c:majorTickMark val="out"/>
        <c:minorTickMark val="none"/>
        <c:tickLblPos val="nextTo"/>
        <c:crossAx val="342878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085711942257215"/>
          <c:y val="0.13821138211382114"/>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指数持续更新!$A$150</c:f>
              <c:strCache>
                <c:ptCount val="1"/>
                <c:pt idx="0">
                  <c:v>节能环保</c:v>
                </c:pt>
              </c:strCache>
            </c:strRef>
          </c:tx>
          <c:spPr>
            <a:solidFill>
              <a:schemeClr val="accent1"/>
            </a:solidFill>
            <a:ln>
              <a:noFill/>
            </a:ln>
            <a:effectLst/>
          </c:spPr>
          <c:invertIfNegative val="0"/>
          <c:cat>
            <c:multiLvlStrRef>
              <c:f>指数持续更新!$B$142:$G$143</c:f>
              <c:multiLvlStrCache>
                <c:ptCount val="6"/>
                <c:lvl>
                  <c:pt idx="0">
                    <c:v>Q1</c:v>
                  </c:pt>
                  <c:pt idx="1">
                    <c:v>Q2</c:v>
                  </c:pt>
                  <c:pt idx="2">
                    <c:v>Q3</c:v>
                  </c:pt>
                  <c:pt idx="3">
                    <c:v>Q4</c:v>
                  </c:pt>
                  <c:pt idx="4">
                    <c:v>Q1</c:v>
                  </c:pt>
                  <c:pt idx="5">
                    <c:v>Q2</c:v>
                  </c:pt>
                </c:lvl>
                <c:lvl>
                  <c:pt idx="0">
                    <c:v>2015</c:v>
                  </c:pt>
                  <c:pt idx="4">
                    <c:v>2016</c:v>
                  </c:pt>
                </c:lvl>
              </c:multiLvlStrCache>
            </c:multiLvlStrRef>
          </c:cat>
          <c:val>
            <c:numRef>
              <c:f>指数持续更新!$B$150:$G$150</c:f>
              <c:numCache>
                <c:formatCode>General</c:formatCode>
                <c:ptCount val="6"/>
                <c:pt idx="0">
                  <c:v>132.19999999999999</c:v>
                </c:pt>
                <c:pt idx="1">
                  <c:v>134</c:v>
                </c:pt>
                <c:pt idx="2">
                  <c:v>126.4</c:v>
                </c:pt>
                <c:pt idx="3">
                  <c:v>121.1</c:v>
                </c:pt>
                <c:pt idx="4">
                  <c:v>119.4</c:v>
                </c:pt>
                <c:pt idx="5">
                  <c:v>123.1</c:v>
                </c:pt>
              </c:numCache>
            </c:numRef>
          </c:val>
        </c:ser>
        <c:dLbls>
          <c:showLegendKey val="0"/>
          <c:showVal val="0"/>
          <c:showCatName val="0"/>
          <c:showSerName val="0"/>
          <c:showPercent val="0"/>
          <c:showBubbleSize val="0"/>
        </c:dLbls>
        <c:gapWidth val="100"/>
        <c:overlap val="-27"/>
        <c:axId val="343219200"/>
        <c:axId val="343229184"/>
      </c:barChart>
      <c:catAx>
        <c:axId val="3432192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3229184"/>
        <c:crosses val="autoZero"/>
        <c:auto val="1"/>
        <c:lblAlgn val="ctr"/>
        <c:lblOffset val="100"/>
        <c:noMultiLvlLbl val="0"/>
      </c:catAx>
      <c:valAx>
        <c:axId val="343229184"/>
        <c:scaling>
          <c:orientation val="minMax"/>
          <c:max val="180"/>
          <c:min val="100"/>
        </c:scaling>
        <c:delete val="1"/>
        <c:axPos val="l"/>
        <c:numFmt formatCode="General" sourceLinked="1"/>
        <c:majorTickMark val="out"/>
        <c:minorTickMark val="none"/>
        <c:tickLblPos val="nextTo"/>
        <c:crossAx val="343219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62457738654976E-2"/>
          <c:y val="3.2252844173288234E-2"/>
          <c:w val="0.90375484921075411"/>
          <c:h val="0.93547700810526435"/>
        </c:manualLayout>
      </c:layout>
      <c:barChart>
        <c:barDir val="col"/>
        <c:grouping val="clustered"/>
        <c:varyColors val="0"/>
        <c:ser>
          <c:idx val="0"/>
          <c:order val="0"/>
          <c:tx>
            <c:strRef>
              <c:f>指数持续更新!$A$10</c:f>
              <c:strCache>
                <c:ptCount val="1"/>
                <c:pt idx="0">
                  <c:v>生产总指数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指数持续更新!$B$8:$K$9</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指数持续更新!$B$10:$K$10</c:f>
              <c:numCache>
                <c:formatCode>General</c:formatCode>
                <c:ptCount val="10"/>
                <c:pt idx="0">
                  <c:v>116.8</c:v>
                </c:pt>
                <c:pt idx="1">
                  <c:v>130.4</c:v>
                </c:pt>
                <c:pt idx="2">
                  <c:v>122.3</c:v>
                </c:pt>
                <c:pt idx="3">
                  <c:v>124.5</c:v>
                </c:pt>
                <c:pt idx="4">
                  <c:v>117.2</c:v>
                </c:pt>
                <c:pt idx="5">
                  <c:v>129.1</c:v>
                </c:pt>
                <c:pt idx="6">
                  <c:v>117.3</c:v>
                </c:pt>
                <c:pt idx="7">
                  <c:v>120.4</c:v>
                </c:pt>
                <c:pt idx="8">
                  <c:v>107.7</c:v>
                </c:pt>
                <c:pt idx="9">
                  <c:v>123.5</c:v>
                </c:pt>
              </c:numCache>
            </c:numRef>
          </c:val>
        </c:ser>
        <c:dLbls>
          <c:showLegendKey val="0"/>
          <c:showVal val="0"/>
          <c:showCatName val="0"/>
          <c:showSerName val="0"/>
          <c:showPercent val="0"/>
          <c:showBubbleSize val="0"/>
        </c:dLbls>
        <c:gapWidth val="124"/>
        <c:overlap val="-27"/>
        <c:axId val="342907520"/>
        <c:axId val="342909312"/>
      </c:barChart>
      <c:catAx>
        <c:axId val="34290752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342909312"/>
        <c:crossesAt val="100"/>
        <c:auto val="1"/>
        <c:lblAlgn val="ctr"/>
        <c:lblOffset val="100"/>
        <c:noMultiLvlLbl val="0"/>
      </c:catAx>
      <c:valAx>
        <c:axId val="342909312"/>
        <c:scaling>
          <c:orientation val="minMax"/>
          <c:max val="170"/>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34290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指数持续更新!$A$15</c:f>
              <c:strCache>
                <c:ptCount val="1"/>
                <c:pt idx="0">
                  <c:v>用工</c:v>
                </c:pt>
              </c:strCache>
            </c:strRef>
          </c:tx>
          <c:spPr>
            <a:ln w="28575" cap="rnd">
              <a:solidFill>
                <a:schemeClr val="accent1">
                  <a:lumMod val="75000"/>
                </a:schemeClr>
              </a:solidFill>
              <a:round/>
            </a:ln>
            <a:effectLst/>
          </c:spPr>
          <c:marker>
            <c:symbol val="none"/>
          </c:marker>
          <c:cat>
            <c:multiLvlStrRef>
              <c:f>指数持续更新!$B$13:$K$14</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指数持续更新!$B$15:$K$15</c:f>
              <c:numCache>
                <c:formatCode>General</c:formatCode>
                <c:ptCount val="10"/>
                <c:pt idx="0">
                  <c:v>122.5</c:v>
                </c:pt>
                <c:pt idx="1">
                  <c:v>143.69999999999999</c:v>
                </c:pt>
                <c:pt idx="2">
                  <c:v>132.9</c:v>
                </c:pt>
                <c:pt idx="3">
                  <c:v>131.4</c:v>
                </c:pt>
                <c:pt idx="4">
                  <c:v>122.3</c:v>
                </c:pt>
                <c:pt idx="5">
                  <c:v>133.1</c:v>
                </c:pt>
                <c:pt idx="6">
                  <c:v>124.8</c:v>
                </c:pt>
                <c:pt idx="7">
                  <c:v>126.4</c:v>
                </c:pt>
                <c:pt idx="8">
                  <c:v>107.2</c:v>
                </c:pt>
                <c:pt idx="9">
                  <c:v>127.5</c:v>
                </c:pt>
              </c:numCache>
            </c:numRef>
          </c:val>
          <c:smooth val="0"/>
        </c:ser>
        <c:ser>
          <c:idx val="1"/>
          <c:order val="1"/>
          <c:tx>
            <c:strRef>
              <c:f>指数持续更新!$A$16</c:f>
              <c:strCache>
                <c:ptCount val="1"/>
                <c:pt idx="0">
                  <c:v>设备</c:v>
                </c:pt>
              </c:strCache>
            </c:strRef>
          </c:tx>
          <c:spPr>
            <a:ln w="28575" cap="rnd">
              <a:solidFill>
                <a:srgbClr val="C00000"/>
              </a:solidFill>
              <a:round/>
            </a:ln>
            <a:effectLst/>
          </c:spPr>
          <c:marker>
            <c:symbol val="none"/>
          </c:marker>
          <c:cat>
            <c:multiLvlStrRef>
              <c:f>指数持续更新!$B$13:$K$14</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指数持续更新!$B$16:$K$16</c:f>
              <c:numCache>
                <c:formatCode>General</c:formatCode>
                <c:ptCount val="10"/>
                <c:pt idx="0">
                  <c:v>129.30000000000001</c:v>
                </c:pt>
                <c:pt idx="1">
                  <c:v>150.80000000000001</c:v>
                </c:pt>
                <c:pt idx="2">
                  <c:v>135.19999999999999</c:v>
                </c:pt>
                <c:pt idx="3">
                  <c:v>139.4</c:v>
                </c:pt>
                <c:pt idx="4">
                  <c:v>127.5</c:v>
                </c:pt>
                <c:pt idx="5">
                  <c:v>144.30000000000001</c:v>
                </c:pt>
                <c:pt idx="6">
                  <c:v>126.3</c:v>
                </c:pt>
                <c:pt idx="7">
                  <c:v>132.69999999999999</c:v>
                </c:pt>
                <c:pt idx="8">
                  <c:v>115</c:v>
                </c:pt>
                <c:pt idx="9">
                  <c:v>137.19999999999999</c:v>
                </c:pt>
              </c:numCache>
            </c:numRef>
          </c:val>
          <c:smooth val="0"/>
        </c:ser>
        <c:ser>
          <c:idx val="2"/>
          <c:order val="2"/>
          <c:tx>
            <c:strRef>
              <c:f>指数持续更新!$A$17</c:f>
              <c:strCache>
                <c:ptCount val="1"/>
                <c:pt idx="0">
                  <c:v>库存</c:v>
                </c:pt>
              </c:strCache>
            </c:strRef>
          </c:tx>
          <c:spPr>
            <a:ln w="28575" cap="rnd">
              <a:solidFill>
                <a:schemeClr val="accent6"/>
              </a:solidFill>
              <a:round/>
            </a:ln>
            <a:effectLst/>
          </c:spPr>
          <c:marker>
            <c:symbol val="none"/>
          </c:marker>
          <c:cat>
            <c:multiLvlStrRef>
              <c:f>指数持续更新!$B$13:$K$14</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指数持续更新!$B$17:$K$17</c:f>
              <c:numCache>
                <c:formatCode>General</c:formatCode>
                <c:ptCount val="10"/>
                <c:pt idx="0">
                  <c:v>95.5</c:v>
                </c:pt>
                <c:pt idx="1">
                  <c:v>91.4</c:v>
                </c:pt>
                <c:pt idx="2">
                  <c:v>94.5</c:v>
                </c:pt>
                <c:pt idx="3">
                  <c:v>96</c:v>
                </c:pt>
                <c:pt idx="4">
                  <c:v>96.9</c:v>
                </c:pt>
                <c:pt idx="5">
                  <c:v>102.9</c:v>
                </c:pt>
                <c:pt idx="6">
                  <c:v>96.2</c:v>
                </c:pt>
                <c:pt idx="7">
                  <c:v>95.2</c:v>
                </c:pt>
                <c:pt idx="8">
                  <c:v>98.7</c:v>
                </c:pt>
                <c:pt idx="9">
                  <c:v>97.5</c:v>
                </c:pt>
              </c:numCache>
            </c:numRef>
          </c:val>
          <c:smooth val="0"/>
        </c:ser>
        <c:dLbls>
          <c:showLegendKey val="0"/>
          <c:showVal val="0"/>
          <c:showCatName val="0"/>
          <c:showSerName val="0"/>
          <c:showPercent val="0"/>
          <c:showBubbleSize val="0"/>
        </c:dLbls>
        <c:marker val="1"/>
        <c:smooth val="0"/>
        <c:axId val="160027008"/>
        <c:axId val="160028544"/>
      </c:lineChart>
      <c:catAx>
        <c:axId val="160027008"/>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028544"/>
        <c:crossesAt val="100"/>
        <c:auto val="1"/>
        <c:lblAlgn val="ctr"/>
        <c:lblOffset val="100"/>
        <c:noMultiLvlLbl val="0"/>
      </c:catAx>
      <c:valAx>
        <c:axId val="160028544"/>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0270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888604909099677E-2"/>
          <c:y val="9.842632331902719E-2"/>
          <c:w val="0.90316439214929833"/>
          <c:h val="0.87014294886958876"/>
        </c:manualLayout>
      </c:layout>
      <c:barChart>
        <c:barDir val="col"/>
        <c:grouping val="clustered"/>
        <c:varyColors val="0"/>
        <c:ser>
          <c:idx val="0"/>
          <c:order val="0"/>
          <c:tx>
            <c:strRef>
              <c:f>指数持续更新!$A$38</c:f>
              <c:strCache>
                <c:ptCount val="1"/>
                <c:pt idx="0">
                  <c:v>销售总指数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指数持续更新!$B$36:$K$37</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指数持续更新!$B$38:$K$38</c:f>
              <c:numCache>
                <c:formatCode>General</c:formatCode>
                <c:ptCount val="10"/>
                <c:pt idx="0">
                  <c:v>126.9</c:v>
                </c:pt>
                <c:pt idx="1">
                  <c:v>148.30000000000001</c:v>
                </c:pt>
                <c:pt idx="2">
                  <c:v>136.30000000000001</c:v>
                </c:pt>
                <c:pt idx="3">
                  <c:v>140.6</c:v>
                </c:pt>
                <c:pt idx="4">
                  <c:v>121.4</c:v>
                </c:pt>
                <c:pt idx="5">
                  <c:v>141.19999999999999</c:v>
                </c:pt>
                <c:pt idx="6">
                  <c:v>128.6</c:v>
                </c:pt>
                <c:pt idx="7">
                  <c:v>132.30000000000001</c:v>
                </c:pt>
                <c:pt idx="8">
                  <c:v>112.3</c:v>
                </c:pt>
                <c:pt idx="9">
                  <c:v>133.19999999999999</c:v>
                </c:pt>
              </c:numCache>
            </c:numRef>
          </c:val>
        </c:ser>
        <c:dLbls>
          <c:showLegendKey val="0"/>
          <c:showVal val="0"/>
          <c:showCatName val="0"/>
          <c:showSerName val="0"/>
          <c:showPercent val="0"/>
          <c:showBubbleSize val="0"/>
        </c:dLbls>
        <c:gapWidth val="135"/>
        <c:overlap val="-27"/>
        <c:axId val="287020928"/>
        <c:axId val="287022464"/>
      </c:barChart>
      <c:catAx>
        <c:axId val="287020928"/>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287022464"/>
        <c:crossesAt val="100"/>
        <c:auto val="1"/>
        <c:lblAlgn val="ctr"/>
        <c:lblOffset val="100"/>
        <c:noMultiLvlLbl val="0"/>
      </c:catAx>
      <c:valAx>
        <c:axId val="287022464"/>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28702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指数持续更新!$A$43</c:f>
              <c:strCache>
                <c:ptCount val="1"/>
                <c:pt idx="0">
                  <c:v>市场需求</c:v>
                </c:pt>
              </c:strCache>
            </c:strRef>
          </c:tx>
          <c:spPr>
            <a:ln w="28575" cap="rnd">
              <a:solidFill>
                <a:schemeClr val="accent1"/>
              </a:solidFill>
              <a:round/>
            </a:ln>
            <a:effectLst/>
          </c:spPr>
          <c:marker>
            <c:symbol val="none"/>
          </c:marker>
          <c:cat>
            <c:multiLvlStrRef>
              <c:f>指数持续更新!$B$41:$K$42</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指数持续更新!$B$43:$K$43</c:f>
              <c:numCache>
                <c:formatCode>General</c:formatCode>
                <c:ptCount val="10"/>
                <c:pt idx="0">
                  <c:v>147.19999999999999</c:v>
                </c:pt>
                <c:pt idx="1">
                  <c:v>157.9</c:v>
                </c:pt>
                <c:pt idx="2">
                  <c:v>136.19999999999999</c:v>
                </c:pt>
                <c:pt idx="3">
                  <c:v>141.9</c:v>
                </c:pt>
                <c:pt idx="4">
                  <c:v>132.69999999999999</c:v>
                </c:pt>
                <c:pt idx="5">
                  <c:v>141.9</c:v>
                </c:pt>
                <c:pt idx="6">
                  <c:v>131.6</c:v>
                </c:pt>
                <c:pt idx="7">
                  <c:v>136.5</c:v>
                </c:pt>
                <c:pt idx="8">
                  <c:v>121.5</c:v>
                </c:pt>
                <c:pt idx="9">
                  <c:v>133.30000000000001</c:v>
                </c:pt>
              </c:numCache>
            </c:numRef>
          </c:val>
          <c:smooth val="0"/>
        </c:ser>
        <c:ser>
          <c:idx val="1"/>
          <c:order val="1"/>
          <c:tx>
            <c:strRef>
              <c:f>指数持续更新!$A$44</c:f>
              <c:strCache>
                <c:ptCount val="1"/>
                <c:pt idx="0">
                  <c:v>销售价格</c:v>
                </c:pt>
              </c:strCache>
            </c:strRef>
          </c:tx>
          <c:spPr>
            <a:ln w="28575" cap="rnd">
              <a:solidFill>
                <a:schemeClr val="accent2"/>
              </a:solidFill>
              <a:round/>
            </a:ln>
            <a:effectLst/>
          </c:spPr>
          <c:marker>
            <c:symbol val="none"/>
          </c:marker>
          <c:cat>
            <c:multiLvlStrRef>
              <c:f>指数持续更新!$B$41:$K$42</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指数持续更新!$B$44:$K$44</c:f>
              <c:numCache>
                <c:formatCode>General</c:formatCode>
                <c:ptCount val="10"/>
                <c:pt idx="0">
                  <c:v>123.4</c:v>
                </c:pt>
                <c:pt idx="1">
                  <c:v>111.9</c:v>
                </c:pt>
                <c:pt idx="2">
                  <c:v>107.8</c:v>
                </c:pt>
                <c:pt idx="3">
                  <c:v>107.1</c:v>
                </c:pt>
                <c:pt idx="4">
                  <c:v>103.6</c:v>
                </c:pt>
                <c:pt idx="5">
                  <c:v>105.2</c:v>
                </c:pt>
                <c:pt idx="6">
                  <c:v>99</c:v>
                </c:pt>
                <c:pt idx="7">
                  <c:v>103.3</c:v>
                </c:pt>
                <c:pt idx="8">
                  <c:v>101.5</c:v>
                </c:pt>
                <c:pt idx="9">
                  <c:v>102</c:v>
                </c:pt>
              </c:numCache>
            </c:numRef>
          </c:val>
          <c:smooth val="0"/>
        </c:ser>
        <c:ser>
          <c:idx val="2"/>
          <c:order val="2"/>
          <c:tx>
            <c:strRef>
              <c:f>指数持续更新!$A$45</c:f>
              <c:strCache>
                <c:ptCount val="1"/>
                <c:pt idx="0">
                  <c:v>订单</c:v>
                </c:pt>
              </c:strCache>
            </c:strRef>
          </c:tx>
          <c:spPr>
            <a:ln w="28575" cap="rnd">
              <a:solidFill>
                <a:schemeClr val="accent3"/>
              </a:solidFill>
              <a:round/>
            </a:ln>
            <a:effectLst/>
          </c:spPr>
          <c:marker>
            <c:symbol val="none"/>
          </c:marker>
          <c:cat>
            <c:multiLvlStrRef>
              <c:f>指数持续更新!$B$41:$K$42</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指数持续更新!$B$45:$K$45</c:f>
              <c:numCache>
                <c:formatCode>General</c:formatCode>
                <c:ptCount val="10"/>
                <c:pt idx="0">
                  <c:v>103.8</c:v>
                </c:pt>
                <c:pt idx="1">
                  <c:v>154.69999999999999</c:v>
                </c:pt>
                <c:pt idx="2">
                  <c:v>142.9</c:v>
                </c:pt>
                <c:pt idx="3">
                  <c:v>143.69999999999999</c:v>
                </c:pt>
                <c:pt idx="4">
                  <c:v>118.3</c:v>
                </c:pt>
                <c:pt idx="5">
                  <c:v>151.6</c:v>
                </c:pt>
                <c:pt idx="6">
                  <c:v>132.80000000000001</c:v>
                </c:pt>
                <c:pt idx="7">
                  <c:v>132.4</c:v>
                </c:pt>
                <c:pt idx="8">
                  <c:v>104.3</c:v>
                </c:pt>
                <c:pt idx="9">
                  <c:v>144.30000000000001</c:v>
                </c:pt>
              </c:numCache>
            </c:numRef>
          </c:val>
          <c:smooth val="0"/>
        </c:ser>
        <c:ser>
          <c:idx val="3"/>
          <c:order val="3"/>
          <c:tx>
            <c:strRef>
              <c:f>指数持续更新!$A$46</c:f>
              <c:strCache>
                <c:ptCount val="1"/>
                <c:pt idx="0">
                  <c:v>盈亏</c:v>
                </c:pt>
              </c:strCache>
            </c:strRef>
          </c:tx>
          <c:spPr>
            <a:ln w="28575" cap="rnd">
              <a:solidFill>
                <a:schemeClr val="accent4"/>
              </a:solidFill>
              <a:round/>
            </a:ln>
            <a:effectLst/>
          </c:spPr>
          <c:marker>
            <c:symbol val="none"/>
          </c:marker>
          <c:cat>
            <c:multiLvlStrRef>
              <c:f>指数持续更新!$B$41:$K$42</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指数持续更新!$B$46:$K$46</c:f>
              <c:numCache>
                <c:formatCode>General</c:formatCode>
                <c:ptCount val="10"/>
                <c:pt idx="0">
                  <c:v>121.7</c:v>
                </c:pt>
                <c:pt idx="1">
                  <c:v>153.19999999999999</c:v>
                </c:pt>
                <c:pt idx="2">
                  <c:v>145.69999999999999</c:v>
                </c:pt>
                <c:pt idx="3">
                  <c:v>154.4</c:v>
                </c:pt>
                <c:pt idx="4">
                  <c:v>121.8</c:v>
                </c:pt>
                <c:pt idx="5">
                  <c:v>151.1</c:v>
                </c:pt>
                <c:pt idx="6">
                  <c:v>138.19999999999999</c:v>
                </c:pt>
                <c:pt idx="7">
                  <c:v>145.4</c:v>
                </c:pt>
                <c:pt idx="8">
                  <c:v>116.7</c:v>
                </c:pt>
                <c:pt idx="9">
                  <c:v>141.4</c:v>
                </c:pt>
              </c:numCache>
            </c:numRef>
          </c:val>
          <c:smooth val="0"/>
        </c:ser>
        <c:dLbls>
          <c:showLegendKey val="0"/>
          <c:showVal val="0"/>
          <c:showCatName val="0"/>
          <c:showSerName val="0"/>
          <c:showPercent val="0"/>
          <c:showBubbleSize val="0"/>
        </c:dLbls>
        <c:marker val="1"/>
        <c:smooth val="0"/>
        <c:axId val="160191616"/>
        <c:axId val="160193152"/>
      </c:lineChart>
      <c:catAx>
        <c:axId val="16019161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193152"/>
        <c:crossesAt val="100"/>
        <c:auto val="1"/>
        <c:lblAlgn val="ctr"/>
        <c:lblOffset val="100"/>
        <c:noMultiLvlLbl val="0"/>
      </c:catAx>
      <c:valAx>
        <c:axId val="160193152"/>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191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52236082908425E-2"/>
          <c:y val="7.0114942528735652E-2"/>
          <c:w val="0.9050574200060254"/>
          <c:h val="0.89831885238483122"/>
        </c:manualLayout>
      </c:layout>
      <c:barChart>
        <c:barDir val="col"/>
        <c:grouping val="clustered"/>
        <c:varyColors val="0"/>
        <c:ser>
          <c:idx val="0"/>
          <c:order val="0"/>
          <c:tx>
            <c:strRef>
              <c:f>指数持续更新!$A$68</c:f>
              <c:strCache>
                <c:ptCount val="1"/>
                <c:pt idx="0">
                  <c:v>资金景气指数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指数持续更新!$B$66:$K$67</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指数持续更新!$B$68:$K$68</c:f>
              <c:numCache>
                <c:formatCode>General</c:formatCode>
                <c:ptCount val="10"/>
                <c:pt idx="0">
                  <c:v>138.6</c:v>
                </c:pt>
                <c:pt idx="1">
                  <c:v>146.19999999999999</c:v>
                </c:pt>
                <c:pt idx="2">
                  <c:v>144.19999999999999</c:v>
                </c:pt>
                <c:pt idx="3">
                  <c:v>142.1</c:v>
                </c:pt>
                <c:pt idx="4">
                  <c:v>138.30000000000001</c:v>
                </c:pt>
                <c:pt idx="5">
                  <c:v>141.69999999999999</c:v>
                </c:pt>
                <c:pt idx="6">
                  <c:v>137.9</c:v>
                </c:pt>
                <c:pt idx="7">
                  <c:v>131.9</c:v>
                </c:pt>
                <c:pt idx="8">
                  <c:v>134.5</c:v>
                </c:pt>
                <c:pt idx="9">
                  <c:v>132.6</c:v>
                </c:pt>
              </c:numCache>
            </c:numRef>
          </c:val>
        </c:ser>
        <c:dLbls>
          <c:showLegendKey val="0"/>
          <c:showVal val="0"/>
          <c:showCatName val="0"/>
          <c:showSerName val="0"/>
          <c:showPercent val="0"/>
          <c:showBubbleSize val="0"/>
        </c:dLbls>
        <c:gapWidth val="135"/>
        <c:overlap val="-27"/>
        <c:axId val="160201344"/>
        <c:axId val="160211328"/>
      </c:barChart>
      <c:catAx>
        <c:axId val="160201344"/>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211328"/>
        <c:crossesAt val="100"/>
        <c:auto val="1"/>
        <c:lblAlgn val="ctr"/>
        <c:lblOffset val="100"/>
        <c:noMultiLvlLbl val="0"/>
      </c:catAx>
      <c:valAx>
        <c:axId val="160211328"/>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201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指数持续更新!$A$73</c:f>
              <c:strCache>
                <c:ptCount val="1"/>
                <c:pt idx="0">
                  <c:v>融资</c:v>
                </c:pt>
              </c:strCache>
            </c:strRef>
          </c:tx>
          <c:spPr>
            <a:ln w="28575" cap="rnd">
              <a:solidFill>
                <a:schemeClr val="accent1"/>
              </a:solidFill>
              <a:round/>
            </a:ln>
            <a:effectLst/>
          </c:spPr>
          <c:marker>
            <c:symbol val="none"/>
          </c:marker>
          <c:cat>
            <c:multiLvlStrRef>
              <c:f>指数持续更新!$B$71:$K$72</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指数持续更新!$B$73:$K$73</c:f>
              <c:numCache>
                <c:formatCode>General</c:formatCode>
                <c:ptCount val="10"/>
                <c:pt idx="0">
                  <c:v>122.2</c:v>
                </c:pt>
                <c:pt idx="1">
                  <c:v>140.9</c:v>
                </c:pt>
                <c:pt idx="2">
                  <c:v>128.6</c:v>
                </c:pt>
                <c:pt idx="3">
                  <c:v>121.6</c:v>
                </c:pt>
                <c:pt idx="4">
                  <c:v>117</c:v>
                </c:pt>
                <c:pt idx="5">
                  <c:v>135.5</c:v>
                </c:pt>
                <c:pt idx="6">
                  <c:v>125.2</c:v>
                </c:pt>
                <c:pt idx="7">
                  <c:v>118</c:v>
                </c:pt>
                <c:pt idx="8">
                  <c:v>116.2</c:v>
                </c:pt>
                <c:pt idx="9">
                  <c:v>112.8</c:v>
                </c:pt>
              </c:numCache>
            </c:numRef>
          </c:val>
          <c:smooth val="0"/>
        </c:ser>
        <c:ser>
          <c:idx val="1"/>
          <c:order val="1"/>
          <c:tx>
            <c:strRef>
              <c:f>指数持续更新!$A$74</c:f>
              <c:strCache>
                <c:ptCount val="1"/>
                <c:pt idx="0">
                  <c:v>投资</c:v>
                </c:pt>
              </c:strCache>
            </c:strRef>
          </c:tx>
          <c:spPr>
            <a:ln w="28575" cap="rnd">
              <a:solidFill>
                <a:schemeClr val="accent2"/>
              </a:solidFill>
              <a:round/>
            </a:ln>
            <a:effectLst/>
          </c:spPr>
          <c:marker>
            <c:symbol val="none"/>
          </c:marker>
          <c:cat>
            <c:multiLvlStrRef>
              <c:f>指数持续更新!$B$71:$K$72</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指数持续更新!$B$74:$K$74</c:f>
              <c:numCache>
                <c:formatCode>General</c:formatCode>
                <c:ptCount val="10"/>
                <c:pt idx="0">
                  <c:v>124</c:v>
                </c:pt>
                <c:pt idx="1">
                  <c:v>131</c:v>
                </c:pt>
                <c:pt idx="2">
                  <c:v>126.2</c:v>
                </c:pt>
                <c:pt idx="3">
                  <c:v>121.9</c:v>
                </c:pt>
                <c:pt idx="4">
                  <c:v>124</c:v>
                </c:pt>
                <c:pt idx="5">
                  <c:v>122.3</c:v>
                </c:pt>
                <c:pt idx="6">
                  <c:v>116.2</c:v>
                </c:pt>
                <c:pt idx="7">
                  <c:v>119.1</c:v>
                </c:pt>
                <c:pt idx="8">
                  <c:v>107.7</c:v>
                </c:pt>
                <c:pt idx="9">
                  <c:v>126.2</c:v>
                </c:pt>
              </c:numCache>
            </c:numRef>
          </c:val>
          <c:smooth val="0"/>
        </c:ser>
        <c:ser>
          <c:idx val="2"/>
          <c:order val="2"/>
          <c:tx>
            <c:strRef>
              <c:f>指数持续更新!$A$75</c:f>
              <c:strCache>
                <c:ptCount val="1"/>
                <c:pt idx="0">
                  <c:v>资金周转</c:v>
                </c:pt>
              </c:strCache>
            </c:strRef>
          </c:tx>
          <c:spPr>
            <a:ln w="28575" cap="rnd">
              <a:solidFill>
                <a:schemeClr val="accent3"/>
              </a:solidFill>
              <a:round/>
            </a:ln>
            <a:effectLst/>
          </c:spPr>
          <c:marker>
            <c:symbol val="none"/>
          </c:marker>
          <c:cat>
            <c:multiLvlStrRef>
              <c:f>指数持续更新!$B$71:$K$72</c:f>
              <c:multiLvlStrCache>
                <c:ptCount val="10"/>
                <c:lvl>
                  <c:pt idx="0">
                    <c:v>Q1</c:v>
                  </c:pt>
                  <c:pt idx="1">
                    <c:v>Q2</c:v>
                  </c:pt>
                  <c:pt idx="2">
                    <c:v>Q3</c:v>
                  </c:pt>
                  <c:pt idx="3">
                    <c:v>Q4</c:v>
                  </c:pt>
                  <c:pt idx="4">
                    <c:v>Q1</c:v>
                  </c:pt>
                  <c:pt idx="5">
                    <c:v>Q2</c:v>
                  </c:pt>
                  <c:pt idx="6">
                    <c:v>Q3</c:v>
                  </c:pt>
                  <c:pt idx="7">
                    <c:v>Q4</c:v>
                  </c:pt>
                  <c:pt idx="8">
                    <c:v>Q1</c:v>
                  </c:pt>
                  <c:pt idx="9">
                    <c:v>Q2</c:v>
                  </c:pt>
                </c:lvl>
                <c:lvl>
                  <c:pt idx="0">
                    <c:v>2014</c:v>
                  </c:pt>
                  <c:pt idx="4">
                    <c:v>2015</c:v>
                  </c:pt>
                  <c:pt idx="8">
                    <c:v>2016</c:v>
                  </c:pt>
                </c:lvl>
              </c:multiLvlStrCache>
            </c:multiLvlStrRef>
          </c:cat>
          <c:val>
            <c:numRef>
              <c:f>指数持续更新!$B$75:$K$75</c:f>
              <c:numCache>
                <c:formatCode>General</c:formatCode>
                <c:ptCount val="10"/>
                <c:pt idx="0">
                  <c:v>146.6</c:v>
                </c:pt>
                <c:pt idx="1">
                  <c:v>151.4</c:v>
                </c:pt>
                <c:pt idx="2">
                  <c:v>152.4</c:v>
                </c:pt>
                <c:pt idx="3">
                  <c:v>152</c:v>
                </c:pt>
                <c:pt idx="4">
                  <c:v>147.19999999999999</c:v>
                </c:pt>
                <c:pt idx="5">
                  <c:v>148.9</c:v>
                </c:pt>
                <c:pt idx="6">
                  <c:v>146.5</c:v>
                </c:pt>
                <c:pt idx="7">
                  <c:v>137.80000000000001</c:v>
                </c:pt>
                <c:pt idx="8">
                  <c:v>145.6</c:v>
                </c:pt>
                <c:pt idx="9">
                  <c:v>138.9</c:v>
                </c:pt>
              </c:numCache>
            </c:numRef>
          </c:val>
          <c:smooth val="0"/>
        </c:ser>
        <c:dLbls>
          <c:showLegendKey val="0"/>
          <c:showVal val="0"/>
          <c:showCatName val="0"/>
          <c:showSerName val="0"/>
          <c:showPercent val="0"/>
          <c:showBubbleSize val="0"/>
        </c:dLbls>
        <c:marker val="1"/>
        <c:smooth val="0"/>
        <c:axId val="160232576"/>
        <c:axId val="160234112"/>
      </c:lineChart>
      <c:catAx>
        <c:axId val="16023257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234112"/>
        <c:crossesAt val="100"/>
        <c:auto val="1"/>
        <c:lblAlgn val="ctr"/>
        <c:lblOffset val="100"/>
        <c:noMultiLvlLbl val="0"/>
      </c:catAx>
      <c:valAx>
        <c:axId val="160234112"/>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232576"/>
        <c:crosses val="autoZero"/>
        <c:crossBetween val="between"/>
      </c:valAx>
      <c:spPr>
        <a:noFill/>
        <a:ln>
          <a:noFill/>
        </a:ln>
        <a:effectLst/>
      </c:spPr>
    </c:plotArea>
    <c:legend>
      <c:legendPos val="r"/>
      <c:layout>
        <c:manualLayout>
          <c:xMode val="edge"/>
          <c:yMode val="edge"/>
          <c:x val="0.8"/>
          <c:y val="0.33651538349372989"/>
          <c:w val="0.18333333333333332"/>
          <c:h val="0.234376640419947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指数持续更新!$A$211</c:f>
              <c:strCache>
                <c:ptCount val="1"/>
                <c:pt idx="0">
                  <c:v>东部</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指数持续更新!$B$210:$D$210</c:f>
              <c:strCache>
                <c:ptCount val="3"/>
                <c:pt idx="0">
                  <c:v>融资</c:v>
                </c:pt>
                <c:pt idx="1">
                  <c:v>投资</c:v>
                </c:pt>
                <c:pt idx="2">
                  <c:v>资金周转</c:v>
                </c:pt>
              </c:strCache>
            </c:strRef>
          </c:cat>
          <c:val>
            <c:numRef>
              <c:f>指数持续更新!$B$211:$D$211</c:f>
              <c:numCache>
                <c:formatCode>General</c:formatCode>
                <c:ptCount val="3"/>
                <c:pt idx="0">
                  <c:v>117.9</c:v>
                </c:pt>
                <c:pt idx="1">
                  <c:v>130.4</c:v>
                </c:pt>
                <c:pt idx="2">
                  <c:v>145.9</c:v>
                </c:pt>
              </c:numCache>
            </c:numRef>
          </c:val>
        </c:ser>
        <c:ser>
          <c:idx val="1"/>
          <c:order val="1"/>
          <c:tx>
            <c:strRef>
              <c:f>指数持续更新!$A$212</c:f>
              <c:strCache>
                <c:ptCount val="1"/>
                <c:pt idx="0">
                  <c:v>中部</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指数持续更新!$B$210:$D$210</c:f>
              <c:strCache>
                <c:ptCount val="3"/>
                <c:pt idx="0">
                  <c:v>融资</c:v>
                </c:pt>
                <c:pt idx="1">
                  <c:v>投资</c:v>
                </c:pt>
                <c:pt idx="2">
                  <c:v>资金周转</c:v>
                </c:pt>
              </c:strCache>
            </c:strRef>
          </c:cat>
          <c:val>
            <c:numRef>
              <c:f>指数持续更新!$B$212:$D$212</c:f>
              <c:numCache>
                <c:formatCode>General</c:formatCode>
                <c:ptCount val="3"/>
                <c:pt idx="0">
                  <c:v>99.9</c:v>
                </c:pt>
                <c:pt idx="1">
                  <c:v>122.7</c:v>
                </c:pt>
                <c:pt idx="2">
                  <c:v>121.6</c:v>
                </c:pt>
              </c:numCache>
            </c:numRef>
          </c:val>
        </c:ser>
        <c:ser>
          <c:idx val="2"/>
          <c:order val="2"/>
          <c:tx>
            <c:strRef>
              <c:f>指数持续更新!$A$213</c:f>
              <c:strCache>
                <c:ptCount val="1"/>
                <c:pt idx="0">
                  <c:v>西部</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指数持续更新!$B$210:$D$210</c:f>
              <c:strCache>
                <c:ptCount val="3"/>
                <c:pt idx="0">
                  <c:v>融资</c:v>
                </c:pt>
                <c:pt idx="1">
                  <c:v>投资</c:v>
                </c:pt>
                <c:pt idx="2">
                  <c:v>资金周转</c:v>
                </c:pt>
              </c:strCache>
            </c:strRef>
          </c:cat>
          <c:val>
            <c:numRef>
              <c:f>指数持续更新!$B$213:$D$213</c:f>
              <c:numCache>
                <c:formatCode>General</c:formatCode>
                <c:ptCount val="3"/>
                <c:pt idx="0">
                  <c:v>104.3</c:v>
                </c:pt>
                <c:pt idx="1">
                  <c:v>120.7</c:v>
                </c:pt>
                <c:pt idx="2">
                  <c:v>124.8</c:v>
                </c:pt>
              </c:numCache>
            </c:numRef>
          </c:val>
        </c:ser>
        <c:ser>
          <c:idx val="3"/>
          <c:order val="3"/>
          <c:tx>
            <c:strRef>
              <c:f>指数持续更新!$A$214</c:f>
              <c:strCache>
                <c:ptCount val="1"/>
                <c:pt idx="0">
                  <c:v>东北</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指数持续更新!$B$210:$D$210</c:f>
              <c:strCache>
                <c:ptCount val="3"/>
                <c:pt idx="0">
                  <c:v>融资</c:v>
                </c:pt>
                <c:pt idx="1">
                  <c:v>投资</c:v>
                </c:pt>
                <c:pt idx="2">
                  <c:v>资金周转</c:v>
                </c:pt>
              </c:strCache>
            </c:strRef>
          </c:cat>
          <c:val>
            <c:numRef>
              <c:f>指数持续更新!$B$214:$D$214</c:f>
              <c:numCache>
                <c:formatCode>General</c:formatCode>
                <c:ptCount val="3"/>
                <c:pt idx="0">
                  <c:v>111.6</c:v>
                </c:pt>
                <c:pt idx="1">
                  <c:v>108.7</c:v>
                </c:pt>
                <c:pt idx="2">
                  <c:v>122.2</c:v>
                </c:pt>
              </c:numCache>
            </c:numRef>
          </c:val>
        </c:ser>
        <c:dLbls>
          <c:showLegendKey val="0"/>
          <c:showVal val="0"/>
          <c:showCatName val="0"/>
          <c:showSerName val="0"/>
          <c:showPercent val="0"/>
          <c:showBubbleSize val="0"/>
        </c:dLbls>
        <c:gapWidth val="150"/>
        <c:overlap val="-27"/>
        <c:axId val="160402048"/>
        <c:axId val="160412032"/>
      </c:barChart>
      <c:catAx>
        <c:axId val="160402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412032"/>
        <c:crosses val="autoZero"/>
        <c:auto val="1"/>
        <c:lblAlgn val="ctr"/>
        <c:lblOffset val="100"/>
        <c:noMultiLvlLbl val="0"/>
      </c:catAx>
      <c:valAx>
        <c:axId val="160412032"/>
        <c:scaling>
          <c:orientation val="minMax"/>
        </c:scaling>
        <c:delete val="0"/>
        <c:axPos val="l"/>
        <c:numFmt formatCode="General"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402048"/>
        <c:crosses val="autoZero"/>
        <c:crossBetween val="between"/>
        <c:majorUnit val="40"/>
      </c:valAx>
      <c:spPr>
        <a:noFill/>
        <a:ln>
          <a:noFill/>
        </a:ln>
        <a:effectLst/>
      </c:spPr>
    </c:plotArea>
    <c:legend>
      <c:legendPos val="r"/>
      <c:layout>
        <c:manualLayout>
          <c:xMode val="edge"/>
          <c:yMode val="edge"/>
          <c:x val="0.88191658107953874"/>
          <c:y val="0.27832331303414659"/>
          <c:w val="8.1851534862490014E-2"/>
          <c:h val="0.44335285675497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指数持续更新!$B$193:$B$194</c:f>
              <c:strCache>
                <c:ptCount val="2"/>
                <c:pt idx="1">
                  <c:v>2016Q1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指数持续更新!$A$195:$A$198</c:f>
              <c:strCache>
                <c:ptCount val="4"/>
                <c:pt idx="0">
                  <c:v>东部</c:v>
                </c:pt>
                <c:pt idx="1">
                  <c:v>中部</c:v>
                </c:pt>
                <c:pt idx="2">
                  <c:v>西部</c:v>
                </c:pt>
                <c:pt idx="3">
                  <c:v>东北</c:v>
                </c:pt>
              </c:strCache>
            </c:strRef>
          </c:cat>
          <c:val>
            <c:numRef>
              <c:f>指数持续更新!$B$195:$B$198</c:f>
              <c:numCache>
                <c:formatCode>General</c:formatCode>
                <c:ptCount val="4"/>
                <c:pt idx="0">
                  <c:v>122.3</c:v>
                </c:pt>
                <c:pt idx="1">
                  <c:v>108.4</c:v>
                </c:pt>
                <c:pt idx="2">
                  <c:v>101.1</c:v>
                </c:pt>
                <c:pt idx="3">
                  <c:v>99.9</c:v>
                </c:pt>
              </c:numCache>
            </c:numRef>
          </c:val>
        </c:ser>
        <c:ser>
          <c:idx val="1"/>
          <c:order val="1"/>
          <c:tx>
            <c:strRef>
              <c:f>指数持续更新!$C$193:$C$194</c:f>
              <c:strCache>
                <c:ptCount val="2"/>
                <c:pt idx="1">
                  <c:v>2016Q2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指数持续更新!$A$195:$A$198</c:f>
              <c:strCache>
                <c:ptCount val="4"/>
                <c:pt idx="0">
                  <c:v>东部</c:v>
                </c:pt>
                <c:pt idx="1">
                  <c:v>中部</c:v>
                </c:pt>
                <c:pt idx="2">
                  <c:v>西部</c:v>
                </c:pt>
                <c:pt idx="3">
                  <c:v>东北</c:v>
                </c:pt>
              </c:strCache>
            </c:strRef>
          </c:cat>
          <c:val>
            <c:numRef>
              <c:f>指数持续更新!$C$195:$C$198</c:f>
              <c:numCache>
                <c:formatCode>General</c:formatCode>
                <c:ptCount val="4"/>
                <c:pt idx="0">
                  <c:v>117.9</c:v>
                </c:pt>
                <c:pt idx="1">
                  <c:v>99.9</c:v>
                </c:pt>
                <c:pt idx="2">
                  <c:v>104.3</c:v>
                </c:pt>
                <c:pt idx="3">
                  <c:v>111.6</c:v>
                </c:pt>
              </c:numCache>
            </c:numRef>
          </c:val>
        </c:ser>
        <c:dLbls>
          <c:showLegendKey val="0"/>
          <c:showVal val="0"/>
          <c:showCatName val="0"/>
          <c:showSerName val="0"/>
          <c:showPercent val="0"/>
          <c:showBubbleSize val="0"/>
        </c:dLbls>
        <c:gapWidth val="100"/>
        <c:overlap val="-27"/>
        <c:axId val="160425856"/>
        <c:axId val="160427392"/>
      </c:barChart>
      <c:catAx>
        <c:axId val="1604258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427392"/>
        <c:crosses val="autoZero"/>
        <c:auto val="1"/>
        <c:lblAlgn val="ctr"/>
        <c:lblOffset val="100"/>
        <c:noMultiLvlLbl val="0"/>
      </c:catAx>
      <c:valAx>
        <c:axId val="160427392"/>
        <c:scaling>
          <c:orientation val="minMax"/>
        </c:scaling>
        <c:delete val="0"/>
        <c:axPos val="l"/>
        <c:numFmt formatCode="General"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60425856"/>
        <c:crosses val="autoZero"/>
        <c:crossBetween val="between"/>
      </c:valAx>
      <c:spPr>
        <a:noFill/>
        <a:ln>
          <a:noFill/>
        </a:ln>
        <a:effectLst/>
      </c:spPr>
    </c:plotArea>
    <c:legend>
      <c:legendPos val="r"/>
      <c:layout>
        <c:manualLayout>
          <c:xMode val="edge"/>
          <c:yMode val="edge"/>
          <c:x val="0.84324108942903875"/>
          <c:y val="0.38579106545691944"/>
          <c:w val="0.12774525466925329"/>
          <c:h val="0.228417891104114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645</Words>
  <Characters>3679</Characters>
  <Application>Microsoft Office Word</Application>
  <DocSecurity>0</DocSecurity>
  <Lines>30</Lines>
  <Paragraphs>8</Paragraphs>
  <ScaleCrop>false</ScaleCrop>
  <Company>Lenovo</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2</cp:revision>
  <cp:lastPrinted>2016-06-16T06:26:00Z</cp:lastPrinted>
  <dcterms:created xsi:type="dcterms:W3CDTF">2016-11-04T09:34:00Z</dcterms:created>
  <dcterms:modified xsi:type="dcterms:W3CDTF">2016-11-04T09:34:00Z</dcterms:modified>
</cp:coreProperties>
</file>