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DC" w:rsidRPr="008C0052" w:rsidRDefault="00D6091C" w:rsidP="00AF3852">
      <w:pPr>
        <w:spacing w:beforeLines="100" w:before="312" w:line="360" w:lineRule="auto"/>
        <w:jc w:val="center"/>
        <w:rPr>
          <w:rFonts w:ascii="黑体" w:eastAsia="黑体" w:hAnsi="黑体" w:cs="宋体"/>
          <w:bCs/>
          <w:color w:val="FF0000"/>
          <w:kern w:val="0"/>
          <w:sz w:val="32"/>
          <w:szCs w:val="32"/>
        </w:rPr>
      </w:pPr>
      <w:r>
        <w:rPr>
          <w:rFonts w:ascii="黑体" w:eastAsia="黑体" w:hAnsi="黑体" w:cs="宋体" w:hint="eastAsia"/>
          <w:bCs/>
          <w:kern w:val="0"/>
          <w:sz w:val="32"/>
          <w:szCs w:val="32"/>
        </w:rPr>
        <w:t>一</w:t>
      </w:r>
      <w:r w:rsidR="004D38CD" w:rsidRPr="004D38CD">
        <w:rPr>
          <w:rFonts w:ascii="黑体" w:eastAsia="黑体" w:hAnsi="黑体" w:cs="宋体" w:hint="eastAsia"/>
          <w:bCs/>
          <w:kern w:val="0"/>
          <w:sz w:val="32"/>
          <w:szCs w:val="32"/>
        </w:rPr>
        <w:t>季度</w:t>
      </w:r>
      <w:r w:rsidR="00D446B2" w:rsidRPr="004D38CD">
        <w:rPr>
          <w:rFonts w:ascii="黑体" w:eastAsia="黑体" w:hAnsi="黑体" w:cs="宋体" w:hint="eastAsia"/>
          <w:bCs/>
          <w:kern w:val="0"/>
          <w:sz w:val="32"/>
          <w:szCs w:val="32"/>
        </w:rPr>
        <w:t>战略性新兴产业</w:t>
      </w:r>
      <w:r w:rsidR="00F97FEE">
        <w:rPr>
          <w:rFonts w:ascii="黑体" w:eastAsia="黑体" w:hAnsi="黑体" w:cs="宋体" w:hint="eastAsia"/>
          <w:bCs/>
          <w:kern w:val="0"/>
          <w:sz w:val="32"/>
          <w:szCs w:val="32"/>
        </w:rPr>
        <w:t>上市公司</w:t>
      </w:r>
      <w:r w:rsidR="00972069">
        <w:rPr>
          <w:rFonts w:ascii="黑体" w:eastAsia="黑体" w:hAnsi="黑体" w:cs="宋体" w:hint="eastAsia"/>
          <w:bCs/>
          <w:kern w:val="0"/>
          <w:sz w:val="32"/>
          <w:szCs w:val="32"/>
        </w:rPr>
        <w:t>实现</w:t>
      </w:r>
      <w:r w:rsidR="00972069">
        <w:rPr>
          <w:rFonts w:ascii="黑体" w:eastAsia="黑体" w:hAnsi="黑体" w:cs="宋体"/>
          <w:bCs/>
          <w:kern w:val="0"/>
          <w:sz w:val="32"/>
          <w:szCs w:val="32"/>
        </w:rPr>
        <w:t>稳步</w:t>
      </w:r>
      <w:r w:rsidR="00972069">
        <w:rPr>
          <w:rFonts w:ascii="黑体" w:eastAsia="黑体" w:hAnsi="黑体" w:cs="宋体" w:hint="eastAsia"/>
          <w:bCs/>
          <w:kern w:val="0"/>
          <w:sz w:val="32"/>
          <w:szCs w:val="32"/>
        </w:rPr>
        <w:t>增长</w:t>
      </w:r>
    </w:p>
    <w:p w:rsidR="003B6ED2" w:rsidRDefault="000D124D" w:rsidP="00AF3852">
      <w:pPr>
        <w:spacing w:beforeLines="100" w:before="312" w:line="360" w:lineRule="auto"/>
        <w:ind w:firstLineChars="200" w:firstLine="600"/>
        <w:rPr>
          <w:rFonts w:ascii="仿宋" w:eastAsia="仿宋" w:hAnsi="仿宋"/>
          <w:color w:val="FF0000"/>
          <w:sz w:val="30"/>
          <w:szCs w:val="30"/>
        </w:rPr>
      </w:pPr>
      <w:r w:rsidRPr="00531B67">
        <w:rPr>
          <w:rFonts w:ascii="仿宋" w:eastAsia="仿宋" w:hAnsi="仿宋" w:hint="eastAsia"/>
          <w:sz w:val="30"/>
          <w:szCs w:val="30"/>
        </w:rPr>
        <w:t>截止</w:t>
      </w:r>
      <w:r w:rsidR="00C230FE" w:rsidRPr="00531B67">
        <w:rPr>
          <w:rFonts w:ascii="仿宋" w:eastAsia="仿宋" w:hAnsi="仿宋"/>
          <w:sz w:val="30"/>
          <w:szCs w:val="30"/>
        </w:rPr>
        <w:t>201</w:t>
      </w:r>
      <w:r w:rsidR="00060C2E">
        <w:rPr>
          <w:rFonts w:ascii="仿宋" w:eastAsia="仿宋" w:hAnsi="仿宋" w:hint="eastAsia"/>
          <w:sz w:val="30"/>
          <w:szCs w:val="30"/>
        </w:rPr>
        <w:t>6</w:t>
      </w:r>
      <w:r w:rsidR="00C230FE" w:rsidRPr="00531B67">
        <w:rPr>
          <w:rFonts w:ascii="仿宋" w:eastAsia="仿宋" w:hAnsi="仿宋" w:hint="eastAsia"/>
          <w:sz w:val="30"/>
          <w:szCs w:val="30"/>
        </w:rPr>
        <w:t>年</w:t>
      </w:r>
      <w:r w:rsidR="00821996">
        <w:rPr>
          <w:rFonts w:ascii="仿宋" w:eastAsia="仿宋" w:hAnsi="仿宋" w:hint="eastAsia"/>
          <w:sz w:val="30"/>
          <w:szCs w:val="30"/>
        </w:rPr>
        <w:t>一</w:t>
      </w:r>
      <w:r w:rsidRPr="00531B67">
        <w:rPr>
          <w:rFonts w:ascii="仿宋" w:eastAsia="仿宋" w:hAnsi="仿宋"/>
          <w:sz w:val="30"/>
          <w:szCs w:val="30"/>
        </w:rPr>
        <w:t>季度末，</w:t>
      </w:r>
      <w:r w:rsidR="004C2242" w:rsidRPr="00531B67">
        <w:rPr>
          <w:rFonts w:ascii="仿宋" w:eastAsia="仿宋" w:hAnsi="仿宋"/>
          <w:sz w:val="30"/>
          <w:szCs w:val="30"/>
        </w:rPr>
        <w:t>A股</w:t>
      </w:r>
      <w:r w:rsidR="00DF6EB2" w:rsidRPr="00531B67">
        <w:rPr>
          <w:rFonts w:ascii="仿宋" w:eastAsia="仿宋" w:hAnsi="仿宋" w:hint="eastAsia"/>
          <w:sz w:val="30"/>
          <w:szCs w:val="30"/>
        </w:rPr>
        <w:t>上市公司</w:t>
      </w:r>
      <w:r w:rsidR="004C2242" w:rsidRPr="00531B67">
        <w:rPr>
          <w:rFonts w:ascii="仿宋" w:eastAsia="仿宋" w:hAnsi="仿宋" w:hint="eastAsia"/>
          <w:sz w:val="30"/>
          <w:szCs w:val="30"/>
        </w:rPr>
        <w:t>中共有</w:t>
      </w:r>
      <w:r w:rsidRPr="00531B67">
        <w:rPr>
          <w:rFonts w:ascii="仿宋" w:eastAsia="仿宋" w:hAnsi="仿宋"/>
          <w:sz w:val="30"/>
          <w:szCs w:val="30"/>
        </w:rPr>
        <w:t>1</w:t>
      </w:r>
      <w:r w:rsidR="00FA34F2" w:rsidRPr="00531B67">
        <w:rPr>
          <w:rFonts w:ascii="仿宋" w:eastAsia="仿宋" w:hAnsi="仿宋"/>
          <w:sz w:val="30"/>
          <w:szCs w:val="30"/>
        </w:rPr>
        <w:t>0</w:t>
      </w:r>
      <w:r w:rsidR="00C94290">
        <w:rPr>
          <w:rFonts w:ascii="仿宋" w:eastAsia="仿宋" w:hAnsi="仿宋" w:hint="eastAsia"/>
          <w:sz w:val="30"/>
          <w:szCs w:val="30"/>
        </w:rPr>
        <w:t>3</w:t>
      </w:r>
      <w:r w:rsidR="00601046">
        <w:rPr>
          <w:rFonts w:ascii="仿宋" w:eastAsia="仿宋" w:hAnsi="仿宋" w:hint="eastAsia"/>
          <w:sz w:val="30"/>
          <w:szCs w:val="30"/>
        </w:rPr>
        <w:t>6</w:t>
      </w:r>
      <w:r w:rsidR="00DF6EB2" w:rsidRPr="00531B67">
        <w:rPr>
          <w:rFonts w:ascii="仿宋" w:eastAsia="仿宋" w:hAnsi="仿宋" w:hint="eastAsia"/>
          <w:sz w:val="30"/>
          <w:szCs w:val="30"/>
        </w:rPr>
        <w:t>家</w:t>
      </w:r>
      <w:r w:rsidR="004C2242" w:rsidRPr="00531B67">
        <w:rPr>
          <w:rFonts w:ascii="仿宋" w:eastAsia="仿宋" w:hAnsi="仿宋" w:hint="eastAsia"/>
          <w:sz w:val="30"/>
          <w:szCs w:val="30"/>
        </w:rPr>
        <w:t>战略性新兴产业企业</w:t>
      </w:r>
      <w:r w:rsidR="00DF6EB2" w:rsidRPr="00531B67">
        <w:rPr>
          <w:rFonts w:ascii="仿宋" w:eastAsia="仿宋" w:hAnsi="仿宋" w:hint="eastAsia"/>
          <w:sz w:val="30"/>
          <w:szCs w:val="30"/>
        </w:rPr>
        <w:t>，</w:t>
      </w:r>
      <w:r w:rsidRPr="00531B67">
        <w:rPr>
          <w:rFonts w:ascii="仿宋" w:eastAsia="仿宋" w:hAnsi="仿宋" w:hint="eastAsia"/>
          <w:sz w:val="30"/>
          <w:szCs w:val="30"/>
        </w:rPr>
        <w:t>占</w:t>
      </w:r>
      <w:r w:rsidR="00572BCF" w:rsidRPr="00531B67">
        <w:rPr>
          <w:rFonts w:ascii="仿宋" w:eastAsia="仿宋" w:hAnsi="仿宋" w:hint="eastAsia"/>
          <w:sz w:val="30"/>
          <w:szCs w:val="30"/>
        </w:rPr>
        <w:t>上市公司总体的</w:t>
      </w:r>
      <w:r w:rsidR="00FA34F2" w:rsidRPr="00531B67">
        <w:rPr>
          <w:rFonts w:ascii="仿宋" w:eastAsia="仿宋" w:hAnsi="仿宋"/>
          <w:sz w:val="30"/>
          <w:szCs w:val="30"/>
        </w:rPr>
        <w:t>36.</w:t>
      </w:r>
      <w:r w:rsidR="00601046">
        <w:rPr>
          <w:rFonts w:ascii="仿宋" w:eastAsia="仿宋" w:hAnsi="仿宋" w:hint="eastAsia"/>
          <w:sz w:val="30"/>
          <w:szCs w:val="30"/>
        </w:rPr>
        <w:t>5</w:t>
      </w:r>
      <w:r w:rsidR="00572BCF" w:rsidRPr="00531B67">
        <w:rPr>
          <w:rFonts w:ascii="仿宋" w:eastAsia="仿宋" w:hAnsi="仿宋"/>
          <w:sz w:val="30"/>
          <w:szCs w:val="30"/>
        </w:rPr>
        <w:t>%</w:t>
      </w:r>
      <w:r w:rsidR="009935DB">
        <w:rPr>
          <w:rFonts w:ascii="仿宋" w:eastAsia="仿宋" w:hAnsi="仿宋" w:hint="eastAsia"/>
          <w:sz w:val="30"/>
          <w:szCs w:val="30"/>
        </w:rPr>
        <w:t>，比2015年底增加5家</w:t>
      </w:r>
      <w:r w:rsidR="00572BCF" w:rsidRPr="00531B67">
        <w:rPr>
          <w:rFonts w:ascii="仿宋" w:eastAsia="仿宋" w:hAnsi="仿宋"/>
          <w:sz w:val="30"/>
          <w:szCs w:val="30"/>
        </w:rPr>
        <w:t>。</w:t>
      </w:r>
      <w:r w:rsidR="00572BCF" w:rsidRPr="006179E2">
        <w:rPr>
          <w:rFonts w:ascii="仿宋" w:eastAsia="仿宋" w:hAnsi="仿宋"/>
          <w:sz w:val="30"/>
          <w:szCs w:val="30"/>
        </w:rPr>
        <w:t>战略性新兴产业上市公司在</w:t>
      </w:r>
      <w:r w:rsidR="00FF0D9C" w:rsidRPr="006179E2">
        <w:rPr>
          <w:rFonts w:ascii="仿宋" w:eastAsia="仿宋" w:hAnsi="仿宋" w:hint="eastAsia"/>
          <w:sz w:val="30"/>
          <w:szCs w:val="30"/>
        </w:rPr>
        <w:t>主板</w:t>
      </w:r>
      <w:r w:rsidR="00572BCF" w:rsidRPr="006179E2">
        <w:rPr>
          <w:rFonts w:ascii="仿宋" w:eastAsia="仿宋" w:hAnsi="仿宋" w:hint="eastAsia"/>
          <w:sz w:val="30"/>
          <w:szCs w:val="30"/>
        </w:rPr>
        <w:t>、</w:t>
      </w:r>
      <w:r w:rsidR="00FF0D9C" w:rsidRPr="006179E2">
        <w:rPr>
          <w:rFonts w:ascii="仿宋" w:eastAsia="仿宋" w:hAnsi="仿宋" w:hint="eastAsia"/>
          <w:sz w:val="30"/>
          <w:szCs w:val="30"/>
        </w:rPr>
        <w:t>创业板</w:t>
      </w:r>
      <w:r w:rsidR="00572BCF" w:rsidRPr="006179E2">
        <w:rPr>
          <w:rFonts w:ascii="仿宋" w:eastAsia="仿宋" w:hAnsi="仿宋" w:hint="eastAsia"/>
          <w:sz w:val="30"/>
          <w:szCs w:val="30"/>
        </w:rPr>
        <w:t>、</w:t>
      </w:r>
      <w:r w:rsidR="00FF0D9C" w:rsidRPr="006179E2">
        <w:rPr>
          <w:rFonts w:ascii="仿宋" w:eastAsia="仿宋" w:hAnsi="仿宋" w:hint="eastAsia"/>
          <w:sz w:val="30"/>
          <w:szCs w:val="30"/>
        </w:rPr>
        <w:t>中小板</w:t>
      </w:r>
      <w:r w:rsidR="00572BCF" w:rsidRPr="006179E2">
        <w:rPr>
          <w:rFonts w:ascii="仿宋" w:eastAsia="仿宋" w:hAnsi="仿宋" w:hint="eastAsia"/>
          <w:sz w:val="30"/>
          <w:szCs w:val="30"/>
        </w:rPr>
        <w:t>分别有</w:t>
      </w:r>
      <w:r w:rsidR="00C94290">
        <w:rPr>
          <w:rFonts w:ascii="仿宋" w:eastAsia="仿宋" w:hAnsi="仿宋" w:hint="eastAsia"/>
          <w:sz w:val="30"/>
          <w:szCs w:val="30"/>
        </w:rPr>
        <w:t>402</w:t>
      </w:r>
      <w:r w:rsidR="00572BCF" w:rsidRPr="006179E2">
        <w:rPr>
          <w:rFonts w:ascii="仿宋" w:eastAsia="仿宋" w:hAnsi="仿宋" w:hint="eastAsia"/>
          <w:sz w:val="30"/>
          <w:szCs w:val="30"/>
        </w:rPr>
        <w:t>家、</w:t>
      </w:r>
      <w:r w:rsidR="006179E2" w:rsidRPr="006179E2">
        <w:rPr>
          <w:rFonts w:ascii="仿宋" w:eastAsia="仿宋" w:hAnsi="仿宋"/>
          <w:sz w:val="30"/>
          <w:szCs w:val="30"/>
        </w:rPr>
        <w:t>3</w:t>
      </w:r>
      <w:r w:rsidR="00C94290">
        <w:rPr>
          <w:rFonts w:ascii="仿宋" w:eastAsia="仿宋" w:hAnsi="仿宋" w:hint="eastAsia"/>
          <w:sz w:val="30"/>
          <w:szCs w:val="30"/>
        </w:rPr>
        <w:t>4</w:t>
      </w:r>
      <w:r w:rsidR="006179E2" w:rsidRPr="006179E2">
        <w:rPr>
          <w:rFonts w:ascii="仿宋" w:eastAsia="仿宋" w:hAnsi="仿宋" w:hint="eastAsia"/>
          <w:sz w:val="30"/>
          <w:szCs w:val="30"/>
        </w:rPr>
        <w:t>6</w:t>
      </w:r>
      <w:r w:rsidR="00572BCF" w:rsidRPr="006179E2">
        <w:rPr>
          <w:rFonts w:ascii="仿宋" w:eastAsia="仿宋" w:hAnsi="仿宋" w:hint="eastAsia"/>
          <w:sz w:val="30"/>
          <w:szCs w:val="30"/>
        </w:rPr>
        <w:t>家以及</w:t>
      </w:r>
      <w:r w:rsidR="006C5DCC" w:rsidRPr="006179E2">
        <w:rPr>
          <w:rFonts w:ascii="仿宋" w:eastAsia="仿宋" w:hAnsi="仿宋"/>
          <w:sz w:val="30"/>
          <w:szCs w:val="30"/>
        </w:rPr>
        <w:t>28</w:t>
      </w:r>
      <w:r w:rsidR="00C94290">
        <w:rPr>
          <w:rFonts w:ascii="仿宋" w:eastAsia="仿宋" w:hAnsi="仿宋" w:hint="eastAsia"/>
          <w:sz w:val="30"/>
          <w:szCs w:val="30"/>
        </w:rPr>
        <w:t>8</w:t>
      </w:r>
      <w:r w:rsidR="00572BCF" w:rsidRPr="006179E2">
        <w:rPr>
          <w:rFonts w:ascii="仿宋" w:eastAsia="仿宋" w:hAnsi="仿宋" w:hint="eastAsia"/>
          <w:sz w:val="30"/>
          <w:szCs w:val="30"/>
        </w:rPr>
        <w:t>家，</w:t>
      </w:r>
      <w:r w:rsidR="00572BCF" w:rsidRPr="001F292D">
        <w:rPr>
          <w:rFonts w:ascii="仿宋" w:eastAsia="仿宋" w:hAnsi="仿宋" w:hint="eastAsia"/>
          <w:sz w:val="30"/>
          <w:szCs w:val="30"/>
        </w:rPr>
        <w:t>占比分别达到了</w:t>
      </w:r>
      <w:r w:rsidR="00397865" w:rsidRPr="001F292D">
        <w:rPr>
          <w:rFonts w:ascii="仿宋" w:eastAsia="仿宋" w:hAnsi="仿宋"/>
          <w:sz w:val="30"/>
          <w:szCs w:val="30"/>
        </w:rPr>
        <w:t>26.0</w:t>
      </w:r>
      <w:r w:rsidR="00572BCF" w:rsidRPr="001F292D">
        <w:rPr>
          <w:rFonts w:ascii="仿宋" w:eastAsia="仿宋" w:hAnsi="仿宋"/>
          <w:sz w:val="30"/>
          <w:szCs w:val="30"/>
        </w:rPr>
        <w:t>%、</w:t>
      </w:r>
      <w:r w:rsidR="00397865" w:rsidRPr="001F292D">
        <w:rPr>
          <w:rFonts w:ascii="仿宋" w:eastAsia="仿宋" w:hAnsi="仿宋"/>
          <w:sz w:val="30"/>
          <w:szCs w:val="30"/>
        </w:rPr>
        <w:t>6</w:t>
      </w:r>
      <w:r w:rsidR="00601046">
        <w:rPr>
          <w:rFonts w:ascii="仿宋" w:eastAsia="仿宋" w:hAnsi="仿宋" w:hint="eastAsia"/>
          <w:sz w:val="30"/>
          <w:szCs w:val="30"/>
        </w:rPr>
        <w:t>9.1</w:t>
      </w:r>
      <w:r w:rsidR="00572BCF" w:rsidRPr="001F292D">
        <w:rPr>
          <w:rFonts w:ascii="仿宋" w:eastAsia="仿宋" w:hAnsi="仿宋"/>
          <w:sz w:val="30"/>
          <w:szCs w:val="30"/>
        </w:rPr>
        <w:t>%以及</w:t>
      </w:r>
      <w:r w:rsidR="00397865" w:rsidRPr="001F292D">
        <w:rPr>
          <w:rFonts w:ascii="仿宋" w:eastAsia="仿宋" w:hAnsi="仿宋"/>
          <w:sz w:val="30"/>
          <w:szCs w:val="30"/>
        </w:rPr>
        <w:t>3</w:t>
      </w:r>
      <w:r w:rsidR="00183B71">
        <w:rPr>
          <w:rFonts w:ascii="仿宋" w:eastAsia="仿宋" w:hAnsi="仿宋" w:hint="eastAsia"/>
          <w:sz w:val="30"/>
          <w:szCs w:val="30"/>
        </w:rPr>
        <w:t>6.</w:t>
      </w:r>
      <w:r w:rsidR="00601046">
        <w:rPr>
          <w:rFonts w:ascii="仿宋" w:eastAsia="仿宋" w:hAnsi="仿宋" w:hint="eastAsia"/>
          <w:sz w:val="30"/>
          <w:szCs w:val="30"/>
        </w:rPr>
        <w:t>8</w:t>
      </w:r>
      <w:r w:rsidR="00572BCF" w:rsidRPr="001F292D">
        <w:rPr>
          <w:rFonts w:ascii="仿宋" w:eastAsia="仿宋" w:hAnsi="仿宋"/>
          <w:sz w:val="30"/>
          <w:szCs w:val="30"/>
        </w:rPr>
        <w:t>%。</w:t>
      </w:r>
      <w:r w:rsidR="00FB1EEF" w:rsidRPr="00FB1EEF">
        <w:rPr>
          <w:rFonts w:ascii="仿宋" w:eastAsia="仿宋" w:hAnsi="仿宋" w:hint="eastAsia"/>
          <w:sz w:val="30"/>
          <w:szCs w:val="30"/>
        </w:rPr>
        <w:t>一</w:t>
      </w:r>
      <w:r w:rsidR="00972069" w:rsidRPr="00FB1EEF">
        <w:rPr>
          <w:rFonts w:ascii="仿宋" w:eastAsia="仿宋" w:hAnsi="仿宋" w:hint="eastAsia"/>
          <w:sz w:val="30"/>
          <w:szCs w:val="30"/>
        </w:rPr>
        <w:t>季</w:t>
      </w:r>
      <w:bookmarkStart w:id="0" w:name="_GoBack"/>
      <w:bookmarkEnd w:id="0"/>
      <w:r w:rsidR="00972069" w:rsidRPr="00FB1EEF">
        <w:rPr>
          <w:rFonts w:ascii="仿宋" w:eastAsia="仿宋" w:hAnsi="仿宋" w:hint="eastAsia"/>
          <w:sz w:val="30"/>
          <w:szCs w:val="30"/>
        </w:rPr>
        <w:t>度，</w:t>
      </w:r>
      <w:r w:rsidR="00FB1EEF" w:rsidRPr="00FB1EEF">
        <w:rPr>
          <w:rFonts w:ascii="仿宋" w:eastAsia="仿宋" w:hAnsi="仿宋" w:hint="eastAsia"/>
          <w:sz w:val="30"/>
          <w:szCs w:val="30"/>
        </w:rPr>
        <w:t>重点领域业绩表现优异带动战略性新兴产业上市公司整体</w:t>
      </w:r>
      <w:r w:rsidR="00972069" w:rsidRPr="00FB1EEF">
        <w:rPr>
          <w:rFonts w:ascii="仿宋" w:eastAsia="仿宋" w:hAnsi="仿宋" w:hint="eastAsia"/>
          <w:sz w:val="30"/>
          <w:szCs w:val="30"/>
        </w:rPr>
        <w:t>延续平稳较快发展态势，营收增速小幅</w:t>
      </w:r>
      <w:r w:rsidR="00FB1EEF">
        <w:rPr>
          <w:rFonts w:ascii="仿宋" w:eastAsia="仿宋" w:hAnsi="仿宋" w:hint="eastAsia"/>
          <w:sz w:val="30"/>
          <w:szCs w:val="30"/>
        </w:rPr>
        <w:t>提</w:t>
      </w:r>
      <w:r w:rsidR="00972069" w:rsidRPr="00FB1EEF">
        <w:rPr>
          <w:rFonts w:ascii="仿宋" w:eastAsia="仿宋" w:hAnsi="仿宋" w:hint="eastAsia"/>
          <w:sz w:val="30"/>
          <w:szCs w:val="30"/>
        </w:rPr>
        <w:t>升，</w:t>
      </w:r>
      <w:r w:rsidR="00972069" w:rsidRPr="00FE2ED3">
        <w:rPr>
          <w:rFonts w:ascii="仿宋" w:eastAsia="仿宋" w:hAnsi="仿宋" w:hint="eastAsia"/>
          <w:sz w:val="30"/>
          <w:szCs w:val="30"/>
        </w:rPr>
        <w:t>增速仍大幅高于上市公司总体。</w:t>
      </w:r>
      <w:r w:rsidR="003B6ED2">
        <w:rPr>
          <w:rFonts w:ascii="仿宋" w:eastAsia="仿宋" w:hAnsi="仿宋" w:hint="eastAsia"/>
          <w:sz w:val="30"/>
          <w:szCs w:val="30"/>
        </w:rPr>
        <w:t>与此同时，一季度</w:t>
      </w:r>
      <w:r w:rsidR="003B6ED2" w:rsidRPr="003B6ED2">
        <w:rPr>
          <w:rFonts w:ascii="仿宋" w:eastAsia="仿宋" w:hAnsi="仿宋" w:hint="eastAsia"/>
          <w:sz w:val="30"/>
          <w:szCs w:val="30"/>
        </w:rPr>
        <w:t>战略性新兴产业</w:t>
      </w:r>
      <w:r w:rsidR="003B6ED2">
        <w:rPr>
          <w:rFonts w:ascii="仿宋" w:eastAsia="仿宋" w:hAnsi="仿宋" w:hint="eastAsia"/>
          <w:sz w:val="30"/>
          <w:szCs w:val="30"/>
        </w:rPr>
        <w:t>上市公司呈现</w:t>
      </w:r>
      <w:r w:rsidR="003B6ED2">
        <w:rPr>
          <w:rFonts w:ascii="仿宋" w:eastAsia="仿宋" w:hAnsi="仿宋"/>
          <w:sz w:val="30"/>
          <w:szCs w:val="30"/>
        </w:rPr>
        <w:t>出</w:t>
      </w:r>
      <w:r w:rsidR="003B6ED2">
        <w:rPr>
          <w:rFonts w:ascii="仿宋" w:eastAsia="仿宋" w:hAnsi="仿宋" w:hint="eastAsia"/>
          <w:sz w:val="30"/>
          <w:szCs w:val="30"/>
        </w:rPr>
        <w:t>股价大幅</w:t>
      </w:r>
      <w:r w:rsidR="003B6ED2">
        <w:rPr>
          <w:rFonts w:ascii="仿宋" w:eastAsia="仿宋" w:hAnsi="仿宋"/>
          <w:sz w:val="30"/>
          <w:szCs w:val="30"/>
        </w:rPr>
        <w:t>波动、</w:t>
      </w:r>
      <w:r w:rsidR="003B6ED2" w:rsidRPr="003B6ED2">
        <w:rPr>
          <w:rFonts w:ascii="仿宋" w:eastAsia="仿宋" w:hAnsi="仿宋" w:hint="eastAsia"/>
          <w:sz w:val="30"/>
          <w:szCs w:val="30"/>
        </w:rPr>
        <w:t>直接融资高位运行</w:t>
      </w:r>
      <w:r w:rsidR="003B6ED2">
        <w:rPr>
          <w:rFonts w:ascii="仿宋" w:eastAsia="仿宋" w:hAnsi="仿宋" w:hint="eastAsia"/>
          <w:sz w:val="30"/>
          <w:szCs w:val="30"/>
        </w:rPr>
        <w:t>、</w:t>
      </w:r>
      <w:r w:rsidR="003B6ED2" w:rsidRPr="003B6ED2">
        <w:rPr>
          <w:rFonts w:ascii="仿宋" w:eastAsia="仿宋" w:hAnsi="仿宋" w:hint="eastAsia"/>
          <w:sz w:val="30"/>
          <w:szCs w:val="30"/>
        </w:rPr>
        <w:t>并购重组热度有所下滑</w:t>
      </w:r>
      <w:r w:rsidR="003B6ED2">
        <w:rPr>
          <w:rFonts w:ascii="仿宋" w:eastAsia="仿宋" w:hAnsi="仿宋" w:hint="eastAsia"/>
          <w:sz w:val="30"/>
          <w:szCs w:val="30"/>
        </w:rPr>
        <w:t>等</w:t>
      </w:r>
      <w:r w:rsidR="00214C02">
        <w:rPr>
          <w:rFonts w:ascii="仿宋" w:eastAsia="仿宋" w:hAnsi="仿宋" w:hint="eastAsia"/>
          <w:sz w:val="30"/>
          <w:szCs w:val="30"/>
        </w:rPr>
        <w:t>新趋势</w:t>
      </w:r>
      <w:r w:rsidR="00214C02">
        <w:rPr>
          <w:rFonts w:ascii="仿宋" w:eastAsia="仿宋" w:hAnsi="仿宋"/>
          <w:sz w:val="30"/>
          <w:szCs w:val="30"/>
        </w:rPr>
        <w:t>、</w:t>
      </w:r>
      <w:r w:rsidR="003B6ED2">
        <w:rPr>
          <w:rFonts w:ascii="仿宋" w:eastAsia="仿宋" w:hAnsi="仿宋"/>
          <w:sz w:val="30"/>
          <w:szCs w:val="30"/>
        </w:rPr>
        <w:t>新特征</w:t>
      </w:r>
      <w:r w:rsidR="00214C02">
        <w:rPr>
          <w:rFonts w:ascii="仿宋" w:eastAsia="仿宋" w:hAnsi="仿宋" w:hint="eastAsia"/>
          <w:sz w:val="30"/>
          <w:szCs w:val="30"/>
        </w:rPr>
        <w:t>。</w:t>
      </w:r>
    </w:p>
    <w:p w:rsidR="000D124D" w:rsidRPr="0020765F" w:rsidRDefault="0020765F" w:rsidP="00AF3852">
      <w:pPr>
        <w:spacing w:beforeLines="100" w:before="312" w:line="360" w:lineRule="auto"/>
        <w:rPr>
          <w:rFonts w:ascii="仿宋" w:eastAsia="仿宋" w:hAnsi="仿宋"/>
          <w:b/>
          <w:sz w:val="30"/>
          <w:szCs w:val="30"/>
        </w:rPr>
      </w:pPr>
      <w:r w:rsidRPr="0020765F">
        <w:rPr>
          <w:rFonts w:ascii="仿宋" w:eastAsia="仿宋" w:hAnsi="仿宋" w:hint="eastAsia"/>
          <w:b/>
          <w:sz w:val="30"/>
          <w:szCs w:val="30"/>
        </w:rPr>
        <w:t>一、战略性新兴产业上市公司保持</w:t>
      </w:r>
      <w:r w:rsidR="00972069">
        <w:rPr>
          <w:rFonts w:ascii="仿宋" w:eastAsia="仿宋" w:hAnsi="仿宋" w:hint="eastAsia"/>
          <w:b/>
          <w:sz w:val="30"/>
          <w:szCs w:val="30"/>
        </w:rPr>
        <w:t>平稳</w:t>
      </w:r>
      <w:r w:rsidR="00E35D3C">
        <w:rPr>
          <w:rFonts w:ascii="仿宋" w:eastAsia="仿宋" w:hAnsi="仿宋" w:hint="eastAsia"/>
          <w:b/>
          <w:sz w:val="30"/>
          <w:szCs w:val="30"/>
        </w:rPr>
        <w:t>增长</w:t>
      </w:r>
      <w:r w:rsidR="00972069">
        <w:rPr>
          <w:rFonts w:ascii="仿宋" w:eastAsia="仿宋" w:hAnsi="仿宋" w:hint="eastAsia"/>
          <w:b/>
          <w:sz w:val="30"/>
          <w:szCs w:val="30"/>
        </w:rPr>
        <w:t>态势</w:t>
      </w:r>
    </w:p>
    <w:p w:rsidR="0020765F" w:rsidRPr="00653F74" w:rsidRDefault="00491E5B" w:rsidP="00AF3852">
      <w:pPr>
        <w:spacing w:beforeLines="100" w:before="312" w:line="360" w:lineRule="auto"/>
        <w:rPr>
          <w:rFonts w:ascii="仿宋" w:eastAsia="仿宋" w:hAnsi="仿宋"/>
          <w:b/>
          <w:sz w:val="30"/>
          <w:szCs w:val="30"/>
        </w:rPr>
      </w:pPr>
      <w:r w:rsidRPr="00653F74">
        <w:rPr>
          <w:rFonts w:ascii="仿宋" w:eastAsia="仿宋" w:hAnsi="仿宋" w:hint="eastAsia"/>
          <w:b/>
          <w:sz w:val="30"/>
          <w:szCs w:val="30"/>
        </w:rPr>
        <w:t>（一）战略性新兴产业</w:t>
      </w:r>
      <w:r w:rsidR="00421C18" w:rsidRPr="00653F74">
        <w:rPr>
          <w:rFonts w:ascii="仿宋" w:eastAsia="仿宋" w:hAnsi="仿宋" w:hint="eastAsia"/>
          <w:b/>
          <w:sz w:val="30"/>
          <w:szCs w:val="30"/>
        </w:rPr>
        <w:t>上市公司</w:t>
      </w:r>
      <w:r w:rsidR="008373A1">
        <w:rPr>
          <w:rFonts w:ascii="仿宋" w:eastAsia="仿宋" w:hAnsi="仿宋" w:hint="eastAsia"/>
          <w:b/>
          <w:sz w:val="30"/>
          <w:szCs w:val="30"/>
        </w:rPr>
        <w:t>业绩</w:t>
      </w:r>
      <w:r w:rsidR="00E648E6">
        <w:rPr>
          <w:rFonts w:ascii="仿宋" w:eastAsia="仿宋" w:hAnsi="仿宋" w:hint="eastAsia"/>
          <w:b/>
          <w:sz w:val="30"/>
          <w:szCs w:val="30"/>
        </w:rPr>
        <w:t>平稳</w:t>
      </w:r>
      <w:r w:rsidR="00972069">
        <w:rPr>
          <w:rFonts w:ascii="仿宋" w:eastAsia="仿宋" w:hAnsi="仿宋" w:hint="eastAsia"/>
          <w:b/>
          <w:sz w:val="30"/>
          <w:szCs w:val="30"/>
        </w:rPr>
        <w:t>增长</w:t>
      </w:r>
    </w:p>
    <w:p w:rsidR="00A21442" w:rsidRDefault="00A21442" w:rsidP="00A21442">
      <w:pPr>
        <w:spacing w:line="360" w:lineRule="auto"/>
        <w:ind w:firstLineChars="200" w:firstLine="600"/>
        <w:rPr>
          <w:rFonts w:ascii="仿宋" w:eastAsia="仿宋" w:hAnsi="仿宋"/>
          <w:sz w:val="30"/>
          <w:szCs w:val="30"/>
        </w:rPr>
      </w:pPr>
      <w:r w:rsidRPr="00181B9E">
        <w:rPr>
          <w:rFonts w:ascii="仿宋" w:eastAsia="仿宋" w:hAnsi="仿宋"/>
          <w:sz w:val="30"/>
          <w:szCs w:val="30"/>
        </w:rPr>
        <w:t>201</w:t>
      </w:r>
      <w:r w:rsidR="00096711">
        <w:rPr>
          <w:rFonts w:ascii="仿宋" w:eastAsia="仿宋" w:hAnsi="仿宋" w:hint="eastAsia"/>
          <w:sz w:val="30"/>
          <w:szCs w:val="30"/>
        </w:rPr>
        <w:t>6</w:t>
      </w:r>
      <w:r w:rsidRPr="00181B9E">
        <w:rPr>
          <w:rFonts w:ascii="仿宋" w:eastAsia="仿宋" w:hAnsi="仿宋"/>
          <w:sz w:val="30"/>
          <w:szCs w:val="30"/>
        </w:rPr>
        <w:t>年</w:t>
      </w:r>
      <w:r w:rsidR="00096711">
        <w:rPr>
          <w:rFonts w:ascii="仿宋" w:eastAsia="仿宋" w:hAnsi="仿宋" w:hint="eastAsia"/>
          <w:sz w:val="30"/>
          <w:szCs w:val="30"/>
        </w:rPr>
        <w:t>一</w:t>
      </w:r>
      <w:r w:rsidR="00D2116A" w:rsidRPr="00181B9E">
        <w:rPr>
          <w:rFonts w:ascii="仿宋" w:eastAsia="仿宋" w:hAnsi="仿宋" w:hint="eastAsia"/>
          <w:sz w:val="30"/>
          <w:szCs w:val="30"/>
        </w:rPr>
        <w:t>季度</w:t>
      </w:r>
      <w:r w:rsidRPr="00181B9E">
        <w:rPr>
          <w:rFonts w:ascii="仿宋" w:eastAsia="仿宋" w:hAnsi="仿宋" w:hint="eastAsia"/>
          <w:sz w:val="30"/>
          <w:szCs w:val="30"/>
        </w:rPr>
        <w:t>，</w:t>
      </w:r>
      <w:r w:rsidR="00972069">
        <w:rPr>
          <w:rFonts w:ascii="仿宋" w:eastAsia="仿宋" w:hAnsi="仿宋" w:hint="eastAsia"/>
          <w:sz w:val="30"/>
          <w:szCs w:val="30"/>
        </w:rPr>
        <w:t>上市公司整体营收增速明显回升</w:t>
      </w:r>
      <w:r w:rsidR="005206A3" w:rsidRPr="00181B9E">
        <w:rPr>
          <w:rFonts w:ascii="仿宋" w:eastAsia="仿宋" w:hAnsi="仿宋" w:hint="eastAsia"/>
          <w:sz w:val="30"/>
          <w:szCs w:val="30"/>
        </w:rPr>
        <w:t>，</w:t>
      </w:r>
      <w:r w:rsidR="009A1804" w:rsidRPr="00181B9E">
        <w:rPr>
          <w:rFonts w:ascii="仿宋" w:eastAsia="仿宋" w:hAnsi="仿宋" w:hint="eastAsia"/>
          <w:sz w:val="30"/>
          <w:szCs w:val="30"/>
        </w:rPr>
        <w:t>营收增速</w:t>
      </w:r>
      <w:r w:rsidR="00CE4A42" w:rsidRPr="00181B9E">
        <w:rPr>
          <w:rFonts w:ascii="仿宋" w:eastAsia="仿宋" w:hAnsi="仿宋" w:hint="eastAsia"/>
          <w:sz w:val="30"/>
          <w:szCs w:val="30"/>
        </w:rPr>
        <w:t>为</w:t>
      </w:r>
      <w:r w:rsidR="003C2257">
        <w:rPr>
          <w:rFonts w:ascii="仿宋" w:eastAsia="仿宋" w:hAnsi="仿宋" w:hint="eastAsia"/>
          <w:sz w:val="30"/>
          <w:szCs w:val="30"/>
        </w:rPr>
        <w:t>5</w:t>
      </w:r>
      <w:r w:rsidR="00CE4A42" w:rsidRPr="00181B9E">
        <w:rPr>
          <w:rFonts w:ascii="仿宋" w:eastAsia="仿宋" w:hAnsi="仿宋"/>
          <w:sz w:val="30"/>
          <w:szCs w:val="30"/>
        </w:rPr>
        <w:t>.5%</w:t>
      </w:r>
      <w:r w:rsidRPr="00181B9E">
        <w:rPr>
          <w:rFonts w:ascii="仿宋" w:eastAsia="仿宋" w:hAnsi="仿宋" w:hint="eastAsia"/>
          <w:sz w:val="30"/>
          <w:szCs w:val="30"/>
        </w:rPr>
        <w:t>，</w:t>
      </w:r>
      <w:r w:rsidR="005206A3" w:rsidRPr="00181B9E">
        <w:rPr>
          <w:rFonts w:ascii="仿宋" w:eastAsia="仿宋" w:hAnsi="仿宋" w:hint="eastAsia"/>
          <w:sz w:val="30"/>
          <w:szCs w:val="30"/>
        </w:rPr>
        <w:t>较</w:t>
      </w:r>
      <w:r w:rsidR="003C2257">
        <w:rPr>
          <w:rFonts w:ascii="仿宋" w:eastAsia="仿宋" w:hAnsi="仿宋" w:hint="eastAsia"/>
          <w:sz w:val="30"/>
          <w:szCs w:val="30"/>
        </w:rPr>
        <w:t>2015年</w:t>
      </w:r>
      <w:r w:rsidR="00972069">
        <w:rPr>
          <w:rFonts w:ascii="仿宋" w:eastAsia="仿宋" w:hAnsi="仿宋" w:hint="eastAsia"/>
          <w:sz w:val="30"/>
          <w:szCs w:val="30"/>
        </w:rPr>
        <w:t>同期</w:t>
      </w:r>
      <w:r w:rsidR="003C2257">
        <w:rPr>
          <w:rFonts w:ascii="仿宋" w:eastAsia="仿宋" w:hAnsi="仿宋" w:hint="eastAsia"/>
          <w:sz w:val="30"/>
          <w:szCs w:val="30"/>
        </w:rPr>
        <w:t>上升</w:t>
      </w:r>
      <w:r w:rsidR="00972069">
        <w:rPr>
          <w:rFonts w:ascii="仿宋" w:eastAsia="仿宋" w:hAnsi="仿宋"/>
          <w:sz w:val="30"/>
          <w:szCs w:val="30"/>
        </w:rPr>
        <w:t>5.2</w:t>
      </w:r>
      <w:r w:rsidR="005206A3" w:rsidRPr="00181B9E">
        <w:rPr>
          <w:rFonts w:ascii="仿宋" w:eastAsia="仿宋" w:hAnsi="仿宋" w:hint="eastAsia"/>
          <w:sz w:val="30"/>
          <w:szCs w:val="30"/>
        </w:rPr>
        <w:t>个百分点。</w:t>
      </w:r>
      <w:r w:rsidR="00684070" w:rsidRPr="00653F74">
        <w:rPr>
          <w:rFonts w:ascii="仿宋" w:eastAsia="仿宋" w:hAnsi="仿宋" w:hint="eastAsia"/>
          <w:sz w:val="30"/>
          <w:szCs w:val="30"/>
        </w:rPr>
        <w:t>同期，</w:t>
      </w:r>
      <w:r w:rsidRPr="006E34E2">
        <w:rPr>
          <w:rFonts w:ascii="仿宋" w:eastAsia="仿宋" w:hAnsi="仿宋" w:hint="eastAsia"/>
          <w:sz w:val="30"/>
          <w:szCs w:val="30"/>
        </w:rPr>
        <w:t>战略性新兴产业上市公司</w:t>
      </w:r>
      <w:r w:rsidR="00684070" w:rsidRPr="006E34E2">
        <w:rPr>
          <w:rFonts w:ascii="仿宋" w:eastAsia="仿宋" w:hAnsi="仿宋" w:hint="eastAsia"/>
          <w:sz w:val="30"/>
          <w:szCs w:val="30"/>
        </w:rPr>
        <w:t>营收保持</w:t>
      </w:r>
      <w:r w:rsidR="003C2257">
        <w:rPr>
          <w:rFonts w:ascii="仿宋" w:eastAsia="仿宋" w:hAnsi="仿宋" w:hint="eastAsia"/>
          <w:sz w:val="30"/>
          <w:szCs w:val="30"/>
        </w:rPr>
        <w:t>平稳</w:t>
      </w:r>
      <w:r w:rsidR="00972069">
        <w:rPr>
          <w:rFonts w:ascii="仿宋" w:eastAsia="仿宋" w:hAnsi="仿宋" w:hint="eastAsia"/>
          <w:sz w:val="30"/>
          <w:szCs w:val="30"/>
        </w:rPr>
        <w:t>快速</w:t>
      </w:r>
      <w:r w:rsidR="00684070" w:rsidRPr="006E34E2">
        <w:rPr>
          <w:rFonts w:ascii="仿宋" w:eastAsia="仿宋" w:hAnsi="仿宋" w:hint="eastAsia"/>
          <w:sz w:val="30"/>
          <w:szCs w:val="30"/>
        </w:rPr>
        <w:t>增长态势，</w:t>
      </w:r>
      <w:r w:rsidR="006E34E2" w:rsidRPr="008C0052">
        <w:rPr>
          <w:rFonts w:ascii="仿宋" w:eastAsia="仿宋" w:hAnsi="仿宋" w:hint="eastAsia"/>
          <w:sz w:val="30"/>
          <w:szCs w:val="30"/>
        </w:rPr>
        <w:t>稳定</w:t>
      </w:r>
      <w:r w:rsidR="00684070" w:rsidRPr="006E34E2">
        <w:rPr>
          <w:rFonts w:ascii="仿宋" w:eastAsia="仿宋" w:hAnsi="仿宋" w:hint="eastAsia"/>
          <w:sz w:val="30"/>
          <w:szCs w:val="30"/>
        </w:rPr>
        <w:t>经济</w:t>
      </w:r>
      <w:r w:rsidR="006E34E2" w:rsidRPr="008C0052">
        <w:rPr>
          <w:rFonts w:ascii="仿宋" w:eastAsia="仿宋" w:hAnsi="仿宋" w:hint="eastAsia"/>
          <w:sz w:val="30"/>
          <w:szCs w:val="30"/>
        </w:rPr>
        <w:t>增长效果突出</w:t>
      </w:r>
      <w:r w:rsidR="006E34E2">
        <w:rPr>
          <w:rFonts w:ascii="仿宋" w:eastAsia="仿宋" w:hAnsi="仿宋" w:hint="eastAsia"/>
          <w:sz w:val="30"/>
          <w:szCs w:val="30"/>
        </w:rPr>
        <w:t>。</w:t>
      </w:r>
      <w:r w:rsidR="003C2257">
        <w:rPr>
          <w:rFonts w:ascii="仿宋" w:eastAsia="仿宋" w:hAnsi="仿宋" w:hint="eastAsia"/>
          <w:sz w:val="30"/>
          <w:szCs w:val="30"/>
        </w:rPr>
        <w:t>一</w:t>
      </w:r>
      <w:r w:rsidR="006E34E2" w:rsidRPr="008C0052">
        <w:rPr>
          <w:rFonts w:ascii="仿宋" w:eastAsia="仿宋" w:hAnsi="仿宋" w:hint="eastAsia"/>
          <w:sz w:val="30"/>
          <w:szCs w:val="30"/>
        </w:rPr>
        <w:t>季度</w:t>
      </w:r>
      <w:r w:rsidRPr="007F1F72">
        <w:rPr>
          <w:rFonts w:ascii="仿宋" w:eastAsia="仿宋" w:hAnsi="仿宋" w:hint="eastAsia"/>
          <w:sz w:val="30"/>
          <w:szCs w:val="30"/>
        </w:rPr>
        <w:t>，战略性新兴产业上市公司实现营收</w:t>
      </w:r>
      <w:r w:rsidR="00C226E1">
        <w:rPr>
          <w:rFonts w:ascii="仿宋" w:eastAsia="仿宋" w:hAnsi="仿宋" w:hint="eastAsia"/>
          <w:sz w:val="30"/>
          <w:szCs w:val="30"/>
        </w:rPr>
        <w:t>5855.4</w:t>
      </w:r>
      <w:r w:rsidRPr="007F1F72">
        <w:rPr>
          <w:rFonts w:ascii="仿宋" w:eastAsia="仿宋" w:hAnsi="仿宋" w:hint="eastAsia"/>
          <w:sz w:val="30"/>
          <w:szCs w:val="30"/>
        </w:rPr>
        <w:t>亿元，</w:t>
      </w:r>
      <w:r w:rsidR="00972069">
        <w:rPr>
          <w:rFonts w:ascii="仿宋" w:eastAsia="仿宋" w:hAnsi="仿宋" w:hint="eastAsia"/>
          <w:sz w:val="30"/>
          <w:szCs w:val="30"/>
        </w:rPr>
        <w:t>累计</w:t>
      </w:r>
      <w:r w:rsidRPr="007F1F72">
        <w:rPr>
          <w:rFonts w:ascii="仿宋" w:eastAsia="仿宋" w:hAnsi="仿宋" w:hint="eastAsia"/>
          <w:sz w:val="30"/>
          <w:szCs w:val="30"/>
        </w:rPr>
        <w:t>同比增长</w:t>
      </w:r>
      <w:r w:rsidR="007F1F72" w:rsidRPr="008C0052">
        <w:rPr>
          <w:rFonts w:ascii="仿宋" w:eastAsia="仿宋" w:hAnsi="仿宋"/>
          <w:sz w:val="30"/>
          <w:szCs w:val="30"/>
        </w:rPr>
        <w:t>16.</w:t>
      </w:r>
      <w:r w:rsidR="00C226E1">
        <w:rPr>
          <w:rFonts w:ascii="仿宋" w:eastAsia="仿宋" w:hAnsi="仿宋" w:hint="eastAsia"/>
          <w:sz w:val="30"/>
          <w:szCs w:val="30"/>
        </w:rPr>
        <w:t>6</w:t>
      </w:r>
      <w:r w:rsidRPr="007F1F72">
        <w:rPr>
          <w:rFonts w:ascii="仿宋" w:eastAsia="仿宋" w:hAnsi="仿宋"/>
          <w:sz w:val="30"/>
          <w:szCs w:val="30"/>
        </w:rPr>
        <w:t>%，</w:t>
      </w:r>
      <w:r w:rsidR="007F1F72">
        <w:rPr>
          <w:rFonts w:ascii="仿宋" w:eastAsia="仿宋" w:hAnsi="仿宋" w:hint="eastAsia"/>
          <w:sz w:val="30"/>
          <w:szCs w:val="30"/>
        </w:rPr>
        <w:t>较</w:t>
      </w:r>
      <w:r w:rsidR="00C226E1">
        <w:rPr>
          <w:rFonts w:ascii="仿宋" w:eastAsia="仿宋" w:hAnsi="仿宋" w:hint="eastAsia"/>
          <w:sz w:val="30"/>
          <w:szCs w:val="30"/>
        </w:rPr>
        <w:t>2015年四季度</w:t>
      </w:r>
      <w:r w:rsidR="00972069">
        <w:rPr>
          <w:rFonts w:ascii="仿宋" w:eastAsia="仿宋" w:hAnsi="仿宋" w:hint="eastAsia"/>
          <w:sz w:val="30"/>
          <w:szCs w:val="30"/>
        </w:rPr>
        <w:t>末</w:t>
      </w:r>
      <w:r w:rsidR="007F1F72">
        <w:rPr>
          <w:rFonts w:ascii="仿宋" w:eastAsia="仿宋" w:hAnsi="仿宋" w:hint="eastAsia"/>
          <w:sz w:val="30"/>
          <w:szCs w:val="30"/>
        </w:rPr>
        <w:t>回升</w:t>
      </w:r>
      <w:r w:rsidR="00C226E1">
        <w:rPr>
          <w:rFonts w:ascii="仿宋" w:eastAsia="仿宋" w:hAnsi="仿宋" w:hint="eastAsia"/>
          <w:sz w:val="30"/>
          <w:szCs w:val="30"/>
        </w:rPr>
        <w:t>0</w:t>
      </w:r>
      <w:r w:rsidR="007F1F72">
        <w:rPr>
          <w:rFonts w:ascii="仿宋" w:eastAsia="仿宋" w:hAnsi="仿宋" w:hint="eastAsia"/>
          <w:sz w:val="30"/>
          <w:szCs w:val="30"/>
        </w:rPr>
        <w:t>.2个百分点，</w:t>
      </w:r>
      <w:r w:rsidR="00623A73" w:rsidRPr="007F1F72">
        <w:rPr>
          <w:rFonts w:ascii="仿宋" w:eastAsia="仿宋" w:hAnsi="仿宋" w:hint="eastAsia"/>
          <w:sz w:val="30"/>
          <w:szCs w:val="30"/>
        </w:rPr>
        <w:t>高于</w:t>
      </w:r>
      <w:r w:rsidR="007F1F72">
        <w:rPr>
          <w:rFonts w:ascii="仿宋" w:eastAsia="仿宋" w:hAnsi="仿宋" w:hint="eastAsia"/>
          <w:sz w:val="30"/>
          <w:szCs w:val="30"/>
        </w:rPr>
        <w:t>同期</w:t>
      </w:r>
      <w:r w:rsidR="00623A73" w:rsidRPr="007F1F72">
        <w:rPr>
          <w:rFonts w:ascii="仿宋" w:eastAsia="仿宋" w:hAnsi="仿宋" w:hint="eastAsia"/>
          <w:sz w:val="30"/>
          <w:szCs w:val="30"/>
        </w:rPr>
        <w:t>上市公司整体</w:t>
      </w:r>
      <w:r w:rsidR="00C226E1">
        <w:rPr>
          <w:rFonts w:ascii="仿宋" w:eastAsia="仿宋" w:hAnsi="仿宋" w:hint="eastAsia"/>
          <w:sz w:val="30"/>
          <w:szCs w:val="30"/>
        </w:rPr>
        <w:t>11.1</w:t>
      </w:r>
      <w:r w:rsidR="00623A73" w:rsidRPr="007F1F72">
        <w:rPr>
          <w:rFonts w:ascii="仿宋" w:eastAsia="仿宋" w:hAnsi="仿宋" w:hint="eastAsia"/>
          <w:sz w:val="30"/>
          <w:szCs w:val="30"/>
        </w:rPr>
        <w:t>个百分点</w:t>
      </w:r>
      <w:r w:rsidR="002A2D8F" w:rsidRPr="003F77C3">
        <w:rPr>
          <w:rFonts w:ascii="仿宋" w:eastAsia="仿宋" w:hAnsi="仿宋" w:hint="eastAsia"/>
          <w:sz w:val="30"/>
          <w:szCs w:val="30"/>
        </w:rPr>
        <w:t>（见图1）</w:t>
      </w:r>
      <w:r w:rsidR="000A0A57" w:rsidRPr="007F1F72">
        <w:rPr>
          <w:rFonts w:ascii="仿宋" w:eastAsia="仿宋" w:hAnsi="仿宋" w:hint="eastAsia"/>
          <w:sz w:val="30"/>
          <w:szCs w:val="30"/>
        </w:rPr>
        <w:t>。</w:t>
      </w:r>
    </w:p>
    <w:p w:rsidR="00972069" w:rsidRDefault="00972069" w:rsidP="00FE2ED3">
      <w:pPr>
        <w:spacing w:line="360" w:lineRule="auto"/>
        <w:rPr>
          <w:rFonts w:ascii="仿宋" w:eastAsia="仿宋" w:hAnsi="仿宋"/>
          <w:sz w:val="30"/>
          <w:szCs w:val="30"/>
        </w:rPr>
      </w:pPr>
    </w:p>
    <w:p w:rsidR="00FE2ED3" w:rsidRDefault="00FE2ED3" w:rsidP="00FE2ED3">
      <w:pPr>
        <w:spacing w:line="360" w:lineRule="auto"/>
        <w:rPr>
          <w:rFonts w:ascii="仿宋" w:eastAsia="仿宋" w:hAnsi="仿宋"/>
          <w:sz w:val="30"/>
          <w:szCs w:val="30"/>
        </w:rPr>
      </w:pPr>
    </w:p>
    <w:p w:rsidR="00FE2ED3" w:rsidRDefault="00FE2ED3" w:rsidP="00FE2ED3">
      <w:pPr>
        <w:spacing w:line="360" w:lineRule="auto"/>
        <w:rPr>
          <w:rFonts w:ascii="仿宋" w:eastAsia="仿宋" w:hAnsi="仿宋"/>
          <w:sz w:val="30"/>
          <w:szCs w:val="30"/>
        </w:rPr>
      </w:pPr>
    </w:p>
    <w:p w:rsidR="003C2257" w:rsidRPr="00D7304C" w:rsidRDefault="00392DC7" w:rsidP="00A21442">
      <w:pPr>
        <w:spacing w:line="360" w:lineRule="auto"/>
        <w:ind w:firstLineChars="200" w:firstLine="562"/>
        <w:rPr>
          <w:rFonts w:ascii="仿宋" w:eastAsia="仿宋" w:hAnsi="仿宋"/>
          <w:sz w:val="30"/>
          <w:szCs w:val="30"/>
        </w:rPr>
      </w:pPr>
      <w:r>
        <w:rPr>
          <w:rFonts w:ascii="黑体" w:eastAsia="黑体" w:hAnsi="黑体" w:hint="eastAsia"/>
          <w:b/>
          <w:noProof/>
          <w:sz w:val="28"/>
          <w:szCs w:val="28"/>
        </w:rPr>
        <w:lastRenderedPageBreak/>
        <w:drawing>
          <wp:anchor distT="0" distB="0" distL="114300" distR="114300" simplePos="0" relativeHeight="251630592" behindDoc="0" locked="0" layoutInCell="1" allowOverlap="1" wp14:anchorId="045DC1A5" wp14:editId="1BDA7E0E">
            <wp:simplePos x="0" y="0"/>
            <wp:positionH relativeFrom="column">
              <wp:posOffset>-182880</wp:posOffset>
            </wp:positionH>
            <wp:positionV relativeFrom="paragraph">
              <wp:posOffset>6985</wp:posOffset>
            </wp:positionV>
            <wp:extent cx="6263005" cy="2595245"/>
            <wp:effectExtent l="0" t="0" r="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46A73" w:rsidRDefault="00846A73" w:rsidP="00846A73">
      <w:pPr>
        <w:spacing w:line="360" w:lineRule="auto"/>
        <w:ind w:firstLineChars="200" w:firstLine="600"/>
        <w:rPr>
          <w:rFonts w:ascii="仿宋" w:eastAsia="仿宋" w:hAnsi="仿宋"/>
          <w:sz w:val="30"/>
          <w:szCs w:val="30"/>
        </w:rPr>
      </w:pPr>
    </w:p>
    <w:p w:rsidR="00846A73" w:rsidRDefault="00846A73" w:rsidP="00846A73">
      <w:pPr>
        <w:spacing w:line="360" w:lineRule="auto"/>
        <w:ind w:firstLineChars="200" w:firstLine="600"/>
        <w:rPr>
          <w:rFonts w:ascii="仿宋" w:eastAsia="仿宋" w:hAnsi="仿宋"/>
          <w:sz w:val="30"/>
          <w:szCs w:val="30"/>
        </w:rPr>
      </w:pPr>
    </w:p>
    <w:p w:rsidR="00846A73" w:rsidRDefault="00846A73">
      <w:pPr>
        <w:spacing w:line="360" w:lineRule="auto"/>
        <w:ind w:firstLineChars="200" w:firstLine="600"/>
        <w:rPr>
          <w:rFonts w:ascii="仿宋" w:eastAsia="仿宋" w:hAnsi="仿宋"/>
          <w:sz w:val="30"/>
          <w:szCs w:val="30"/>
        </w:rPr>
      </w:pPr>
    </w:p>
    <w:p w:rsidR="00846A73" w:rsidRDefault="00846A73" w:rsidP="00846A73">
      <w:pPr>
        <w:spacing w:line="360" w:lineRule="auto"/>
        <w:ind w:firstLineChars="200" w:firstLine="600"/>
        <w:rPr>
          <w:rFonts w:ascii="仿宋" w:eastAsia="仿宋" w:hAnsi="仿宋"/>
          <w:sz w:val="30"/>
          <w:szCs w:val="30"/>
        </w:rPr>
      </w:pPr>
    </w:p>
    <w:p w:rsidR="00846A73" w:rsidRDefault="00EC78E7" w:rsidP="00846A73">
      <w:pPr>
        <w:spacing w:line="360" w:lineRule="auto"/>
        <w:ind w:firstLineChars="200" w:firstLine="420"/>
        <w:rPr>
          <w:rFonts w:ascii="仿宋" w:eastAsia="仿宋" w:hAnsi="仿宋"/>
          <w:sz w:val="30"/>
          <w:szCs w:val="30"/>
        </w:rPr>
      </w:pPr>
      <w:r>
        <w:rPr>
          <w:noProof/>
        </w:rPr>
        <mc:AlternateContent>
          <mc:Choice Requires="wps">
            <w:drawing>
              <wp:anchor distT="0" distB="0" distL="114300" distR="114300" simplePos="0" relativeHeight="251658240" behindDoc="0" locked="0" layoutInCell="1" allowOverlap="1" wp14:anchorId="1CC04DF5" wp14:editId="187B625C">
                <wp:simplePos x="0" y="0"/>
                <wp:positionH relativeFrom="margin">
                  <wp:align>center</wp:align>
                </wp:positionH>
                <wp:positionV relativeFrom="paragraph">
                  <wp:posOffset>202565</wp:posOffset>
                </wp:positionV>
                <wp:extent cx="4788535" cy="28956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A73" w:rsidRPr="00F11A1B" w:rsidRDefault="00846A73" w:rsidP="00846A73">
                            <w:pPr>
                              <w:jc w:val="center"/>
                              <w:rPr>
                                <w:b/>
                              </w:rPr>
                            </w:pPr>
                            <w:r w:rsidRPr="00F11A1B">
                              <w:rPr>
                                <w:rFonts w:hint="eastAsia"/>
                                <w:b/>
                              </w:rPr>
                              <w:t>图</w:t>
                            </w:r>
                            <w:r>
                              <w:rPr>
                                <w:rFonts w:hint="eastAsia"/>
                                <w:b/>
                              </w:rPr>
                              <w:t>1</w:t>
                            </w:r>
                            <w:r w:rsidR="00185E2F">
                              <w:rPr>
                                <w:rFonts w:hint="eastAsia"/>
                                <w:b/>
                              </w:rPr>
                              <w:t xml:space="preserve"> </w:t>
                            </w:r>
                            <w:r w:rsidR="005C7305">
                              <w:rPr>
                                <w:b/>
                              </w:rPr>
                              <w:t xml:space="preserve"> </w:t>
                            </w:r>
                            <w:r w:rsidRPr="00F11A1B">
                              <w:rPr>
                                <w:rFonts w:hint="eastAsia"/>
                                <w:b/>
                              </w:rPr>
                              <w:t>战略性新兴产业上市公司营收</w:t>
                            </w:r>
                            <w:r w:rsidR="00E011D6">
                              <w:rPr>
                                <w:rFonts w:hint="eastAsia"/>
                                <w:b/>
                              </w:rPr>
                              <w:t>累计</w:t>
                            </w:r>
                            <w:r w:rsidRPr="00F11A1B">
                              <w:rPr>
                                <w:rFonts w:hint="eastAsia"/>
                                <w:b/>
                              </w:rPr>
                              <w:t>增速</w:t>
                            </w:r>
                            <w:r w:rsidR="00116205">
                              <w:rPr>
                                <w:rFonts w:hint="eastAsia"/>
                                <w:b/>
                              </w:rPr>
                              <w:t>季度</w:t>
                            </w:r>
                            <w:r w:rsidRPr="00F11A1B">
                              <w:rPr>
                                <w:rFonts w:hint="eastAsia"/>
                                <w:b/>
                              </w:rPr>
                              <w:t>变化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CC04DF5" id="_x0000_t202" coordsize="21600,21600" o:spt="202" path="m,l,21600r21600,l21600,xe">
                <v:stroke joinstyle="miter"/>
                <v:path gradientshapeok="t" o:connecttype="rect"/>
              </v:shapetype>
              <v:shape id="文本框 2" o:spid="_x0000_s1026" type="#_x0000_t202" style="position:absolute;left:0;text-align:left;margin-left:0;margin-top:15.95pt;width:377.05pt;height:22.8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" stroked="f">
                <v:textbox style="mso-fit-shape-to-text:t">
                  <w:txbxContent>
                    <w:p w:rsidR="00846A73" w:rsidRPr="00F11A1B" w:rsidRDefault="00846A73" w:rsidP="00846A73">
                      <w:pPr>
                        <w:jc w:val="center"/>
                        <w:rPr>
                          <w:b/>
                        </w:rPr>
                      </w:pPr>
                      <w:r w:rsidRPr="00F11A1B">
                        <w:rPr>
                          <w:rFonts w:hint="eastAsia"/>
                          <w:b/>
                        </w:rPr>
                        <w:t>图</w:t>
                      </w:r>
                      <w:r>
                        <w:rPr>
                          <w:rFonts w:hint="eastAsia"/>
                          <w:b/>
                        </w:rPr>
                        <w:t>1</w:t>
                      </w:r>
                      <w:r w:rsidR="00185E2F">
                        <w:rPr>
                          <w:rFonts w:hint="eastAsia"/>
                          <w:b/>
                        </w:rPr>
                        <w:t xml:space="preserve"> </w:t>
                      </w:r>
                      <w:r w:rsidR="005C7305">
                        <w:rPr>
                          <w:b/>
                        </w:rPr>
                        <w:t xml:space="preserve"> </w:t>
                      </w:r>
                      <w:r w:rsidRPr="00F11A1B">
                        <w:rPr>
                          <w:rFonts w:hint="eastAsia"/>
                          <w:b/>
                        </w:rPr>
                        <w:t>战略性新兴产业上市公司营收</w:t>
                      </w:r>
                      <w:r w:rsidR="00E011D6">
                        <w:rPr>
                          <w:rFonts w:hint="eastAsia"/>
                          <w:b/>
                        </w:rPr>
                        <w:t>累计</w:t>
                      </w:r>
                      <w:r w:rsidRPr="00F11A1B">
                        <w:rPr>
                          <w:rFonts w:hint="eastAsia"/>
                          <w:b/>
                        </w:rPr>
                        <w:t>增速</w:t>
                      </w:r>
                      <w:r w:rsidR="00116205">
                        <w:rPr>
                          <w:rFonts w:hint="eastAsia"/>
                          <w:b/>
                        </w:rPr>
                        <w:t>季度</w:t>
                      </w:r>
                      <w:r w:rsidRPr="00F11A1B">
                        <w:rPr>
                          <w:rFonts w:hint="eastAsia"/>
                          <w:b/>
                        </w:rPr>
                        <w:t>变化</w:t>
                      </w:r>
                    </w:p>
                  </w:txbxContent>
                </v:textbox>
                <w10:wrap anchorx="margin"/>
              </v:shape>
            </w:pict>
          </mc:Fallback>
        </mc:AlternateContent>
      </w:r>
    </w:p>
    <w:p w:rsidR="00846A73" w:rsidRDefault="00ED5866" w:rsidP="008C0052">
      <w:pPr>
        <w:spacing w:beforeLines="100" w:before="312" w:line="360" w:lineRule="auto"/>
        <w:ind w:firstLineChars="200" w:firstLine="600"/>
        <w:rPr>
          <w:rFonts w:ascii="仿宋" w:eastAsia="仿宋" w:hAnsi="仿宋"/>
          <w:b/>
          <w:sz w:val="30"/>
          <w:szCs w:val="30"/>
        </w:rPr>
      </w:pPr>
      <w:r>
        <w:rPr>
          <w:rFonts w:ascii="仿宋" w:eastAsia="仿宋" w:hAnsi="仿宋" w:hint="eastAsia"/>
          <w:sz w:val="30"/>
          <w:szCs w:val="30"/>
        </w:rPr>
        <w:t>一季度，</w:t>
      </w:r>
      <w:r w:rsidR="00EF62E2">
        <w:rPr>
          <w:rFonts w:ascii="仿宋" w:eastAsia="仿宋" w:hAnsi="仿宋" w:hint="eastAsia"/>
          <w:sz w:val="30"/>
          <w:szCs w:val="30"/>
        </w:rPr>
        <w:t>上市公司整体盈利</w:t>
      </w:r>
      <w:r w:rsidR="00845B2C">
        <w:rPr>
          <w:rFonts w:ascii="仿宋" w:eastAsia="仿宋" w:hAnsi="仿宋" w:hint="eastAsia"/>
          <w:sz w:val="30"/>
          <w:szCs w:val="30"/>
        </w:rPr>
        <w:t>状况继续</w:t>
      </w:r>
      <w:r w:rsidR="00845B2C">
        <w:rPr>
          <w:rFonts w:ascii="仿宋" w:eastAsia="仿宋" w:hAnsi="仿宋"/>
          <w:sz w:val="30"/>
          <w:szCs w:val="30"/>
        </w:rPr>
        <w:t>恶化</w:t>
      </w:r>
      <w:r w:rsidR="00EF62E2">
        <w:rPr>
          <w:rFonts w:ascii="仿宋" w:eastAsia="仿宋" w:hAnsi="仿宋" w:hint="eastAsia"/>
          <w:sz w:val="30"/>
          <w:szCs w:val="30"/>
        </w:rPr>
        <w:t>，</w:t>
      </w:r>
      <w:r w:rsidR="00845B2C">
        <w:rPr>
          <w:rFonts w:ascii="仿宋" w:eastAsia="仿宋" w:hAnsi="仿宋" w:hint="eastAsia"/>
          <w:sz w:val="30"/>
          <w:szCs w:val="30"/>
        </w:rPr>
        <w:t>利润增速</w:t>
      </w:r>
      <w:r w:rsidR="00EF62E2">
        <w:rPr>
          <w:rFonts w:ascii="仿宋" w:eastAsia="仿宋" w:hAnsi="仿宋" w:hint="eastAsia"/>
          <w:sz w:val="30"/>
          <w:szCs w:val="30"/>
        </w:rPr>
        <w:t>滑落为负值，</w:t>
      </w:r>
      <w:r w:rsidR="00845B2C">
        <w:rPr>
          <w:rFonts w:ascii="仿宋" w:eastAsia="仿宋" w:hAnsi="仿宋" w:hint="eastAsia"/>
          <w:sz w:val="30"/>
          <w:szCs w:val="30"/>
        </w:rPr>
        <w:t>而</w:t>
      </w:r>
      <w:r>
        <w:rPr>
          <w:rFonts w:ascii="仿宋" w:eastAsia="仿宋" w:hAnsi="仿宋" w:hint="eastAsia"/>
          <w:sz w:val="30"/>
          <w:szCs w:val="30"/>
        </w:rPr>
        <w:t>战略性新兴产业</w:t>
      </w:r>
      <w:r w:rsidR="00845B2C">
        <w:rPr>
          <w:rFonts w:ascii="仿宋" w:eastAsia="仿宋" w:hAnsi="仿宋" w:hint="eastAsia"/>
          <w:sz w:val="30"/>
          <w:szCs w:val="30"/>
        </w:rPr>
        <w:t>盈利状况</w:t>
      </w:r>
      <w:r w:rsidR="00845B2C">
        <w:rPr>
          <w:rFonts w:ascii="仿宋" w:eastAsia="仿宋" w:hAnsi="仿宋"/>
          <w:sz w:val="30"/>
          <w:szCs w:val="30"/>
        </w:rPr>
        <w:t>逆势大幅反弹</w:t>
      </w:r>
      <w:r>
        <w:rPr>
          <w:rFonts w:ascii="仿宋" w:eastAsia="仿宋" w:hAnsi="仿宋" w:hint="eastAsia"/>
          <w:sz w:val="30"/>
          <w:szCs w:val="30"/>
        </w:rPr>
        <w:t>，</w:t>
      </w:r>
      <w:r w:rsidR="00845B2C">
        <w:rPr>
          <w:rFonts w:ascii="仿宋" w:eastAsia="仿宋" w:hAnsi="仿宋" w:hint="eastAsia"/>
          <w:sz w:val="30"/>
          <w:szCs w:val="30"/>
        </w:rPr>
        <w:t>当季</w:t>
      </w:r>
      <w:r w:rsidR="007F1F72" w:rsidRPr="008C0052">
        <w:rPr>
          <w:rFonts w:ascii="仿宋" w:eastAsia="仿宋" w:hAnsi="仿宋" w:hint="eastAsia"/>
          <w:sz w:val="30"/>
          <w:szCs w:val="30"/>
        </w:rPr>
        <w:t>利润总额</w:t>
      </w:r>
      <w:r w:rsidR="00B70D5D">
        <w:rPr>
          <w:rFonts w:ascii="仿宋" w:eastAsia="仿宋" w:hAnsi="仿宋" w:hint="eastAsia"/>
          <w:sz w:val="30"/>
          <w:szCs w:val="30"/>
        </w:rPr>
        <w:t>为</w:t>
      </w:r>
      <w:r w:rsidR="00314183">
        <w:rPr>
          <w:rFonts w:ascii="仿宋" w:eastAsia="仿宋" w:hAnsi="仿宋"/>
          <w:sz w:val="30"/>
          <w:szCs w:val="30"/>
        </w:rPr>
        <w:t>629.2</w:t>
      </w:r>
      <w:r w:rsidR="007F1F72" w:rsidRPr="008C0052">
        <w:rPr>
          <w:rFonts w:ascii="仿宋" w:eastAsia="仿宋" w:hAnsi="仿宋" w:hint="eastAsia"/>
          <w:sz w:val="30"/>
          <w:szCs w:val="30"/>
        </w:rPr>
        <w:t>亿元，同比增长</w:t>
      </w:r>
      <w:r w:rsidR="0065782E">
        <w:rPr>
          <w:rFonts w:ascii="仿宋" w:eastAsia="仿宋" w:hAnsi="仿宋" w:hint="eastAsia"/>
          <w:sz w:val="30"/>
          <w:szCs w:val="30"/>
        </w:rPr>
        <w:t>3</w:t>
      </w:r>
      <w:r w:rsidR="00CD05E7">
        <w:rPr>
          <w:rFonts w:ascii="仿宋" w:eastAsia="仿宋" w:hAnsi="仿宋"/>
          <w:sz w:val="30"/>
          <w:szCs w:val="30"/>
        </w:rPr>
        <w:t>6.4</w:t>
      </w:r>
      <w:r w:rsidR="007F1F72" w:rsidRPr="008C0052">
        <w:rPr>
          <w:rFonts w:ascii="仿宋" w:eastAsia="仿宋" w:hAnsi="仿宋"/>
          <w:sz w:val="30"/>
          <w:szCs w:val="30"/>
        </w:rPr>
        <w:t>%，</w:t>
      </w:r>
      <w:r w:rsidR="00CD05E7">
        <w:rPr>
          <w:rFonts w:ascii="仿宋" w:eastAsia="仿宋" w:hAnsi="仿宋" w:hint="eastAsia"/>
          <w:sz w:val="30"/>
          <w:szCs w:val="30"/>
        </w:rPr>
        <w:t>较2015年</w:t>
      </w:r>
      <w:r w:rsidR="00CD05E7">
        <w:rPr>
          <w:rFonts w:ascii="仿宋" w:eastAsia="仿宋" w:hAnsi="仿宋"/>
          <w:sz w:val="30"/>
          <w:szCs w:val="30"/>
        </w:rPr>
        <w:t>末提升24.0</w:t>
      </w:r>
      <w:r w:rsidR="0065782E">
        <w:rPr>
          <w:rFonts w:ascii="仿宋" w:eastAsia="仿宋" w:hAnsi="仿宋" w:hint="eastAsia"/>
          <w:sz w:val="30"/>
          <w:szCs w:val="30"/>
        </w:rPr>
        <w:t>个百分点</w:t>
      </w:r>
      <w:r w:rsidR="008A3EF3">
        <w:rPr>
          <w:rFonts w:ascii="仿宋" w:eastAsia="仿宋" w:hAnsi="仿宋" w:hint="eastAsia"/>
          <w:sz w:val="30"/>
          <w:szCs w:val="30"/>
        </w:rPr>
        <w:t>，到达2013年以来的最高增速</w:t>
      </w:r>
      <w:r w:rsidR="00CD05E7">
        <w:rPr>
          <w:rFonts w:ascii="仿宋" w:eastAsia="仿宋" w:hAnsi="仿宋" w:hint="eastAsia"/>
          <w:sz w:val="30"/>
          <w:szCs w:val="30"/>
        </w:rPr>
        <w:t>。</w:t>
      </w:r>
      <w:r w:rsidR="003270A4">
        <w:rPr>
          <w:rFonts w:ascii="仿宋" w:eastAsia="仿宋" w:hAnsi="仿宋" w:hint="eastAsia"/>
          <w:sz w:val="30"/>
          <w:szCs w:val="30"/>
        </w:rPr>
        <w:t>具体来看，</w:t>
      </w:r>
      <w:r w:rsidR="005158C4">
        <w:rPr>
          <w:rFonts w:ascii="仿宋" w:eastAsia="仿宋" w:hAnsi="仿宋" w:hint="eastAsia"/>
          <w:sz w:val="30"/>
          <w:szCs w:val="30"/>
        </w:rPr>
        <w:t>一季度除节能环保产业利润</w:t>
      </w:r>
      <w:r w:rsidR="00CD05E7">
        <w:rPr>
          <w:rFonts w:ascii="仿宋" w:eastAsia="仿宋" w:hAnsi="仿宋" w:hint="eastAsia"/>
          <w:sz w:val="30"/>
          <w:szCs w:val="30"/>
        </w:rPr>
        <w:t>增速小幅</w:t>
      </w:r>
      <w:r w:rsidR="005158C4">
        <w:rPr>
          <w:rFonts w:ascii="仿宋" w:eastAsia="仿宋" w:hAnsi="仿宋" w:hint="eastAsia"/>
          <w:sz w:val="30"/>
          <w:szCs w:val="30"/>
        </w:rPr>
        <w:t>下滑，其余</w:t>
      </w:r>
      <w:r w:rsidR="00F406E3">
        <w:rPr>
          <w:rFonts w:ascii="仿宋" w:eastAsia="仿宋" w:hAnsi="仿宋" w:hint="eastAsia"/>
          <w:sz w:val="30"/>
          <w:szCs w:val="30"/>
        </w:rPr>
        <w:t>几大</w:t>
      </w:r>
      <w:r w:rsidR="005158C4">
        <w:rPr>
          <w:rFonts w:ascii="仿宋" w:eastAsia="仿宋" w:hAnsi="仿宋" w:hint="eastAsia"/>
          <w:sz w:val="30"/>
          <w:szCs w:val="30"/>
        </w:rPr>
        <w:t>重点领域利润</w:t>
      </w:r>
      <w:r w:rsidR="001F5DC4">
        <w:rPr>
          <w:rFonts w:ascii="仿宋" w:eastAsia="仿宋" w:hAnsi="仿宋" w:hint="eastAsia"/>
          <w:sz w:val="30"/>
          <w:szCs w:val="30"/>
        </w:rPr>
        <w:t>增速</w:t>
      </w:r>
      <w:r w:rsidR="009A0C41">
        <w:rPr>
          <w:rFonts w:ascii="仿宋" w:eastAsia="仿宋" w:hAnsi="仿宋" w:hint="eastAsia"/>
          <w:sz w:val="30"/>
          <w:szCs w:val="30"/>
        </w:rPr>
        <w:t>均</w:t>
      </w:r>
      <w:r w:rsidR="001F5DC4">
        <w:rPr>
          <w:rFonts w:ascii="仿宋" w:eastAsia="仿宋" w:hAnsi="仿宋" w:hint="eastAsia"/>
          <w:sz w:val="30"/>
          <w:szCs w:val="30"/>
        </w:rPr>
        <w:t>较四季度</w:t>
      </w:r>
      <w:r w:rsidR="00F406E3">
        <w:rPr>
          <w:rFonts w:ascii="仿宋" w:eastAsia="仿宋" w:hAnsi="仿宋" w:hint="eastAsia"/>
          <w:sz w:val="30"/>
          <w:szCs w:val="30"/>
        </w:rPr>
        <w:t>末</w:t>
      </w:r>
      <w:r w:rsidR="00F406E3">
        <w:rPr>
          <w:rFonts w:ascii="仿宋" w:eastAsia="仿宋" w:hAnsi="仿宋"/>
          <w:sz w:val="30"/>
          <w:szCs w:val="30"/>
        </w:rPr>
        <w:t>出现</w:t>
      </w:r>
      <w:r w:rsidR="00F406E3">
        <w:rPr>
          <w:rFonts w:ascii="仿宋" w:eastAsia="仿宋" w:hAnsi="仿宋" w:hint="eastAsia"/>
          <w:sz w:val="30"/>
          <w:szCs w:val="30"/>
        </w:rPr>
        <w:t>明显</w:t>
      </w:r>
      <w:r w:rsidR="00C1037A">
        <w:rPr>
          <w:rFonts w:ascii="仿宋" w:eastAsia="仿宋" w:hAnsi="仿宋" w:hint="eastAsia"/>
          <w:sz w:val="30"/>
          <w:szCs w:val="30"/>
        </w:rPr>
        <w:t>上升。</w:t>
      </w:r>
      <w:r w:rsidR="001F5DC4">
        <w:rPr>
          <w:rFonts w:ascii="仿宋" w:eastAsia="仿宋" w:hAnsi="仿宋" w:hint="eastAsia"/>
          <w:sz w:val="30"/>
          <w:szCs w:val="30"/>
        </w:rPr>
        <w:t>其中，新一代信息技术</w:t>
      </w:r>
      <w:r w:rsidR="008A3EF3">
        <w:rPr>
          <w:rFonts w:ascii="仿宋" w:eastAsia="仿宋" w:hAnsi="仿宋" w:hint="eastAsia"/>
          <w:sz w:val="30"/>
          <w:szCs w:val="30"/>
        </w:rPr>
        <w:t>产业</w:t>
      </w:r>
      <w:r w:rsidR="001F5DC4">
        <w:rPr>
          <w:rFonts w:ascii="仿宋" w:eastAsia="仿宋" w:hAnsi="仿宋" w:hint="eastAsia"/>
          <w:sz w:val="30"/>
          <w:szCs w:val="30"/>
        </w:rPr>
        <w:t>利润增速达到一年来最高值，</w:t>
      </w:r>
      <w:r w:rsidR="00994979">
        <w:rPr>
          <w:rFonts w:ascii="仿宋" w:eastAsia="仿宋" w:hAnsi="仿宋" w:hint="eastAsia"/>
          <w:sz w:val="30"/>
          <w:szCs w:val="30"/>
        </w:rPr>
        <w:t>高端装备、新材料与新能源</w:t>
      </w:r>
      <w:r w:rsidR="008A3EF3">
        <w:rPr>
          <w:rFonts w:ascii="仿宋" w:eastAsia="仿宋" w:hAnsi="仿宋" w:hint="eastAsia"/>
          <w:sz w:val="30"/>
          <w:szCs w:val="30"/>
        </w:rPr>
        <w:t>产业</w:t>
      </w:r>
      <w:r w:rsidR="00994979">
        <w:rPr>
          <w:rFonts w:ascii="仿宋" w:eastAsia="仿宋" w:hAnsi="仿宋" w:hint="eastAsia"/>
          <w:sz w:val="30"/>
          <w:szCs w:val="30"/>
        </w:rPr>
        <w:t>摆脱</w:t>
      </w:r>
      <w:r w:rsidR="008A3EF3">
        <w:rPr>
          <w:rFonts w:ascii="仿宋" w:eastAsia="仿宋" w:hAnsi="仿宋" w:hint="eastAsia"/>
          <w:sz w:val="30"/>
          <w:szCs w:val="30"/>
        </w:rPr>
        <w:t>了</w:t>
      </w:r>
      <w:r w:rsidR="00994979">
        <w:rPr>
          <w:rFonts w:ascii="仿宋" w:eastAsia="仿宋" w:hAnsi="仿宋" w:hint="eastAsia"/>
          <w:sz w:val="30"/>
          <w:szCs w:val="30"/>
        </w:rPr>
        <w:t>四季度利润增速</w:t>
      </w:r>
      <w:r w:rsidR="008A3EF3">
        <w:rPr>
          <w:rFonts w:ascii="仿宋" w:eastAsia="仿宋" w:hAnsi="仿宋" w:hint="eastAsia"/>
          <w:sz w:val="30"/>
          <w:szCs w:val="30"/>
        </w:rPr>
        <w:t>为负</w:t>
      </w:r>
      <w:r w:rsidR="00994979">
        <w:rPr>
          <w:rFonts w:ascii="仿宋" w:eastAsia="仿宋" w:hAnsi="仿宋" w:hint="eastAsia"/>
          <w:sz w:val="30"/>
          <w:szCs w:val="30"/>
        </w:rPr>
        <w:t>的阴霾</w:t>
      </w:r>
      <w:r w:rsidR="009A0C41">
        <w:rPr>
          <w:rFonts w:ascii="仿宋" w:eastAsia="仿宋" w:hAnsi="仿宋" w:hint="eastAsia"/>
          <w:sz w:val="30"/>
          <w:szCs w:val="30"/>
        </w:rPr>
        <w:t>，一季度利润</w:t>
      </w:r>
      <w:r w:rsidR="005B42E8">
        <w:rPr>
          <w:rFonts w:ascii="仿宋" w:eastAsia="仿宋" w:hAnsi="仿宋" w:hint="eastAsia"/>
          <w:sz w:val="30"/>
          <w:szCs w:val="30"/>
        </w:rPr>
        <w:t>增速纷纷上升为正值</w:t>
      </w:r>
      <w:r w:rsidR="00F51D95">
        <w:rPr>
          <w:rFonts w:ascii="仿宋" w:eastAsia="仿宋" w:hAnsi="仿宋" w:hint="eastAsia"/>
          <w:sz w:val="30"/>
          <w:szCs w:val="30"/>
        </w:rPr>
        <w:t>（见图</w:t>
      </w:r>
      <w:r w:rsidR="00AB6D79">
        <w:rPr>
          <w:rFonts w:ascii="仿宋" w:eastAsia="仿宋" w:hAnsi="仿宋"/>
          <w:sz w:val="30"/>
          <w:szCs w:val="30"/>
        </w:rPr>
        <w:t>2</w:t>
      </w:r>
      <w:r w:rsidR="00F51D95">
        <w:rPr>
          <w:rFonts w:ascii="仿宋" w:eastAsia="仿宋" w:hAnsi="仿宋" w:hint="eastAsia"/>
          <w:sz w:val="30"/>
          <w:szCs w:val="30"/>
        </w:rPr>
        <w:t>）</w:t>
      </w:r>
      <w:r w:rsidR="005B42E8">
        <w:rPr>
          <w:rFonts w:ascii="仿宋" w:eastAsia="仿宋" w:hAnsi="仿宋" w:hint="eastAsia"/>
          <w:sz w:val="30"/>
          <w:szCs w:val="30"/>
        </w:rPr>
        <w:t>。</w:t>
      </w:r>
    </w:p>
    <w:p w:rsidR="00846A73" w:rsidRDefault="00FB7C01">
      <w:pPr>
        <w:spacing w:beforeLines="100" w:before="312" w:line="360" w:lineRule="auto"/>
        <w:ind w:firstLineChars="200" w:firstLine="562"/>
        <w:rPr>
          <w:rFonts w:ascii="仿宋" w:eastAsia="仿宋" w:hAnsi="仿宋"/>
          <w:b/>
          <w:sz w:val="30"/>
          <w:szCs w:val="30"/>
        </w:rPr>
      </w:pPr>
      <w:r>
        <w:rPr>
          <w:rFonts w:ascii="黑体" w:eastAsia="黑体" w:hAnsi="黑体" w:hint="eastAsia"/>
          <w:b/>
          <w:noProof/>
          <w:sz w:val="28"/>
          <w:szCs w:val="28"/>
        </w:rPr>
        <w:drawing>
          <wp:anchor distT="0" distB="0" distL="114300" distR="114300" simplePos="0" relativeHeight="251653120" behindDoc="0" locked="0" layoutInCell="1" allowOverlap="1" wp14:anchorId="14EDD050" wp14:editId="025D5872">
            <wp:simplePos x="0" y="0"/>
            <wp:positionH relativeFrom="column">
              <wp:posOffset>-84558</wp:posOffset>
            </wp:positionH>
            <wp:positionV relativeFrom="paragraph">
              <wp:posOffset>63787</wp:posOffset>
            </wp:positionV>
            <wp:extent cx="6164580" cy="2781935"/>
            <wp:effectExtent l="0" t="0" r="0" b="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1F72" w:rsidRDefault="007F1F72">
      <w:pPr>
        <w:spacing w:beforeLines="100" w:before="312" w:line="360" w:lineRule="auto"/>
        <w:ind w:firstLineChars="200" w:firstLine="602"/>
        <w:rPr>
          <w:rFonts w:ascii="仿宋" w:eastAsia="仿宋" w:hAnsi="仿宋"/>
          <w:b/>
          <w:sz w:val="30"/>
          <w:szCs w:val="30"/>
        </w:rPr>
      </w:pPr>
    </w:p>
    <w:p w:rsidR="007F1F72" w:rsidRDefault="007F1F72">
      <w:pPr>
        <w:spacing w:beforeLines="100" w:before="312" w:line="360" w:lineRule="auto"/>
        <w:ind w:firstLineChars="200" w:firstLine="602"/>
        <w:rPr>
          <w:rFonts w:ascii="仿宋" w:eastAsia="仿宋" w:hAnsi="仿宋"/>
          <w:b/>
          <w:sz w:val="30"/>
          <w:szCs w:val="30"/>
        </w:rPr>
      </w:pPr>
    </w:p>
    <w:p w:rsidR="00846A73" w:rsidRDefault="00EC78E7" w:rsidP="008C0052">
      <w:pPr>
        <w:spacing w:beforeLines="100" w:before="312" w:line="360" w:lineRule="auto"/>
        <w:ind w:firstLineChars="200" w:firstLine="420"/>
        <w:rPr>
          <w:rFonts w:ascii="仿宋" w:eastAsia="仿宋" w:hAnsi="仿宋"/>
          <w:b/>
          <w:sz w:val="30"/>
          <w:szCs w:val="30"/>
        </w:rPr>
      </w:pPr>
      <w:r>
        <w:rPr>
          <w:noProof/>
        </w:rPr>
        <mc:AlternateContent>
          <mc:Choice Requires="wps">
            <w:drawing>
              <wp:anchor distT="0" distB="0" distL="114300" distR="114300" simplePos="0" relativeHeight="251659264" behindDoc="0" locked="0" layoutInCell="1" allowOverlap="1" wp14:anchorId="5216B68D" wp14:editId="4C660E59">
                <wp:simplePos x="0" y="0"/>
                <wp:positionH relativeFrom="column">
                  <wp:posOffset>1006475</wp:posOffset>
                </wp:positionH>
                <wp:positionV relativeFrom="paragraph">
                  <wp:posOffset>337820</wp:posOffset>
                </wp:positionV>
                <wp:extent cx="4001135" cy="2895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A73" w:rsidRPr="00F11A1B" w:rsidRDefault="00846A73" w:rsidP="00846A73">
                            <w:pPr>
                              <w:jc w:val="center"/>
                              <w:rPr>
                                <w:b/>
                              </w:rPr>
                            </w:pPr>
                            <w:r w:rsidRPr="00F11A1B">
                              <w:rPr>
                                <w:rFonts w:hint="eastAsia"/>
                                <w:b/>
                              </w:rPr>
                              <w:t>图</w:t>
                            </w:r>
                            <w:r>
                              <w:rPr>
                                <w:rFonts w:hint="eastAsia"/>
                                <w:b/>
                              </w:rPr>
                              <w:t>2</w:t>
                            </w:r>
                            <w:r w:rsidR="00185E2F">
                              <w:rPr>
                                <w:rFonts w:hint="eastAsia"/>
                                <w:b/>
                              </w:rPr>
                              <w:t xml:space="preserve"> </w:t>
                            </w:r>
                            <w:r w:rsidR="00F406E3">
                              <w:rPr>
                                <w:b/>
                              </w:rPr>
                              <w:t xml:space="preserve"> </w:t>
                            </w:r>
                            <w:r w:rsidRPr="00F11A1B">
                              <w:rPr>
                                <w:rFonts w:hint="eastAsia"/>
                                <w:b/>
                              </w:rPr>
                              <w:t>战略性新兴产业上市公司利润</w:t>
                            </w:r>
                            <w:r w:rsidR="00E011D6">
                              <w:rPr>
                                <w:rFonts w:hint="eastAsia"/>
                                <w:b/>
                              </w:rPr>
                              <w:t>累计</w:t>
                            </w:r>
                            <w:r w:rsidRPr="00F11A1B">
                              <w:rPr>
                                <w:rFonts w:hint="eastAsia"/>
                                <w:b/>
                              </w:rPr>
                              <w:t>增速</w:t>
                            </w:r>
                            <w:r w:rsidR="00116205">
                              <w:rPr>
                                <w:rFonts w:hint="eastAsia"/>
                                <w:b/>
                              </w:rPr>
                              <w:t>季度</w:t>
                            </w:r>
                            <w:r w:rsidRPr="00F11A1B">
                              <w:rPr>
                                <w:rFonts w:hint="eastAsia"/>
                                <w:b/>
                              </w:rPr>
                              <w:t>变化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4E94D" id="Text Box 4" o:spid="_x0000_s1027" type="#_x0000_t202" style="position:absolute;left:0;text-align:left;margin-left:79.25pt;margin-top:26.6pt;width:315.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z9gwIAABY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" stroked="f">
                <v:textbox style="mso-fit-shape-to-text:t">
                  <w:txbxContent>
                    <w:p w:rsidR="00846A73" w:rsidRPr="00F11A1B" w:rsidRDefault="00846A73" w:rsidP="00846A73">
                      <w:pPr>
                        <w:jc w:val="center"/>
                        <w:rPr>
                          <w:b/>
                        </w:rPr>
                      </w:pPr>
                      <w:r w:rsidRPr="00F11A1B">
                        <w:rPr>
                          <w:rFonts w:hint="eastAsia"/>
                          <w:b/>
                        </w:rPr>
                        <w:t>图</w:t>
                      </w:r>
                      <w:r>
                        <w:rPr>
                          <w:rFonts w:hint="eastAsia"/>
                          <w:b/>
                        </w:rPr>
                        <w:t>2</w:t>
                      </w:r>
                      <w:r w:rsidR="00185E2F">
                        <w:rPr>
                          <w:rFonts w:hint="eastAsia"/>
                          <w:b/>
                        </w:rPr>
                        <w:t xml:space="preserve"> </w:t>
                      </w:r>
                      <w:r w:rsidR="00F406E3">
                        <w:rPr>
                          <w:b/>
                        </w:rPr>
                        <w:t xml:space="preserve"> </w:t>
                      </w:r>
                      <w:r w:rsidRPr="00F11A1B">
                        <w:rPr>
                          <w:rFonts w:hint="eastAsia"/>
                          <w:b/>
                        </w:rPr>
                        <w:t>战略性新兴产业上市公司利润</w:t>
                      </w:r>
                      <w:r w:rsidR="00E011D6">
                        <w:rPr>
                          <w:rFonts w:hint="eastAsia"/>
                          <w:b/>
                        </w:rPr>
                        <w:t>累计</w:t>
                      </w:r>
                      <w:r w:rsidRPr="00F11A1B">
                        <w:rPr>
                          <w:rFonts w:hint="eastAsia"/>
                          <w:b/>
                        </w:rPr>
                        <w:t>增速</w:t>
                      </w:r>
                      <w:r w:rsidR="00116205">
                        <w:rPr>
                          <w:rFonts w:hint="eastAsia"/>
                          <w:b/>
                        </w:rPr>
                        <w:t>季度</w:t>
                      </w:r>
                      <w:r w:rsidRPr="00F11A1B">
                        <w:rPr>
                          <w:rFonts w:hint="eastAsia"/>
                          <w:b/>
                        </w:rPr>
                        <w:t>变化</w:t>
                      </w:r>
                    </w:p>
                  </w:txbxContent>
                </v:textbox>
              </v:shape>
            </w:pict>
          </mc:Fallback>
        </mc:AlternateContent>
      </w:r>
    </w:p>
    <w:p w:rsidR="000C2F9C" w:rsidRDefault="000C2F9C" w:rsidP="00AF3852">
      <w:pPr>
        <w:spacing w:beforeLines="100" w:before="312" w:line="360" w:lineRule="auto"/>
        <w:rPr>
          <w:rFonts w:ascii="仿宋" w:eastAsia="仿宋" w:hAnsi="仿宋"/>
          <w:b/>
          <w:sz w:val="30"/>
          <w:szCs w:val="30"/>
        </w:rPr>
      </w:pPr>
    </w:p>
    <w:p w:rsidR="008652AF" w:rsidRDefault="008652AF" w:rsidP="00AF3852">
      <w:pPr>
        <w:spacing w:beforeLines="100" w:before="312" w:line="360" w:lineRule="auto"/>
        <w:rPr>
          <w:rFonts w:ascii="仿宋" w:eastAsia="仿宋" w:hAnsi="仿宋"/>
          <w:b/>
          <w:sz w:val="30"/>
          <w:szCs w:val="30"/>
        </w:rPr>
      </w:pPr>
      <w:r w:rsidRPr="00FA70DE">
        <w:rPr>
          <w:rFonts w:ascii="黑体" w:eastAsia="黑体" w:hAnsi="黑体"/>
          <w:b/>
          <w:noProof/>
          <w:sz w:val="28"/>
          <w:szCs w:val="28"/>
        </w:rPr>
        <w:lastRenderedPageBreak/>
        <w:drawing>
          <wp:anchor distT="0" distB="0" distL="114300" distR="114300" simplePos="0" relativeHeight="251720704" behindDoc="0" locked="0" layoutInCell="1" allowOverlap="1" wp14:anchorId="024155FC" wp14:editId="1F8C5C5F">
            <wp:simplePos x="0" y="0"/>
            <wp:positionH relativeFrom="column">
              <wp:posOffset>223520</wp:posOffset>
            </wp:positionH>
            <wp:positionV relativeFrom="paragraph">
              <wp:posOffset>21591</wp:posOffset>
            </wp:positionV>
            <wp:extent cx="5486400" cy="2038350"/>
            <wp:effectExtent l="0" t="0" r="0" b="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652AF" w:rsidRDefault="008652AF" w:rsidP="00AF3852">
      <w:pPr>
        <w:spacing w:beforeLines="100" w:before="312" w:line="360" w:lineRule="auto"/>
        <w:rPr>
          <w:rFonts w:ascii="仿宋" w:eastAsia="仿宋" w:hAnsi="仿宋"/>
          <w:b/>
          <w:sz w:val="30"/>
          <w:szCs w:val="30"/>
        </w:rPr>
      </w:pPr>
    </w:p>
    <w:p w:rsidR="008652AF" w:rsidRDefault="008652AF" w:rsidP="00AF3852">
      <w:pPr>
        <w:spacing w:beforeLines="100" w:before="312" w:line="360" w:lineRule="auto"/>
        <w:rPr>
          <w:rFonts w:ascii="仿宋" w:eastAsia="仿宋" w:hAnsi="仿宋"/>
          <w:b/>
          <w:sz w:val="30"/>
          <w:szCs w:val="30"/>
        </w:rPr>
      </w:pPr>
    </w:p>
    <w:p w:rsidR="008652AF" w:rsidRDefault="008652AF" w:rsidP="00AF3852">
      <w:pPr>
        <w:spacing w:beforeLines="100" w:before="312" w:line="360" w:lineRule="auto"/>
        <w:rPr>
          <w:rFonts w:ascii="仿宋" w:eastAsia="仿宋" w:hAnsi="仿宋"/>
          <w:b/>
          <w:sz w:val="30"/>
          <w:szCs w:val="30"/>
        </w:rPr>
      </w:pPr>
      <w:r>
        <w:rPr>
          <w:noProof/>
        </w:rPr>
        <mc:AlternateContent>
          <mc:Choice Requires="wps">
            <w:drawing>
              <wp:anchor distT="0" distB="0" distL="114300" distR="114300" simplePos="0" relativeHeight="251722752" behindDoc="0" locked="0" layoutInCell="1" allowOverlap="1" wp14:anchorId="66C0685A" wp14:editId="7E702C3E">
                <wp:simplePos x="0" y="0"/>
                <wp:positionH relativeFrom="column">
                  <wp:posOffset>1004570</wp:posOffset>
                </wp:positionH>
                <wp:positionV relativeFrom="paragraph">
                  <wp:posOffset>526415</wp:posOffset>
                </wp:positionV>
                <wp:extent cx="4001135" cy="28956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2AF" w:rsidRPr="00F11A1B" w:rsidRDefault="008652AF" w:rsidP="008652AF">
                            <w:pPr>
                              <w:jc w:val="center"/>
                              <w:rPr>
                                <w:b/>
                              </w:rPr>
                            </w:pPr>
                            <w:r w:rsidRPr="00F11A1B">
                              <w:rPr>
                                <w:rFonts w:hint="eastAsia"/>
                                <w:b/>
                              </w:rPr>
                              <w:t>图</w:t>
                            </w:r>
                            <w:r w:rsidR="00FC0684">
                              <w:rPr>
                                <w:b/>
                              </w:rPr>
                              <w:t>3</w:t>
                            </w:r>
                            <w:r>
                              <w:rPr>
                                <w:rFonts w:hint="eastAsia"/>
                                <w:b/>
                              </w:rPr>
                              <w:t xml:space="preserve"> </w:t>
                            </w:r>
                            <w:r w:rsidR="00F406E3">
                              <w:rPr>
                                <w:b/>
                              </w:rPr>
                              <w:t xml:space="preserve"> </w:t>
                            </w:r>
                            <w:r w:rsidR="00FC0684">
                              <w:rPr>
                                <w:b/>
                              </w:rPr>
                              <w:t>重点领域</w:t>
                            </w:r>
                            <w:r w:rsidRPr="00F11A1B">
                              <w:rPr>
                                <w:rFonts w:hint="eastAsia"/>
                                <w:b/>
                              </w:rPr>
                              <w:t>战略性新兴产业上市公司利润</w:t>
                            </w:r>
                            <w:r>
                              <w:rPr>
                                <w:rFonts w:hint="eastAsia"/>
                                <w:b/>
                              </w:rPr>
                              <w:t>累计</w:t>
                            </w:r>
                            <w:r w:rsidRPr="00F11A1B">
                              <w:rPr>
                                <w:rFonts w:hint="eastAsia"/>
                                <w:b/>
                              </w:rPr>
                              <w:t>增速</w:t>
                            </w:r>
                            <w:r>
                              <w:rPr>
                                <w:rFonts w:hint="eastAsia"/>
                                <w:b/>
                              </w:rPr>
                              <w:t>季度</w:t>
                            </w:r>
                            <w:r w:rsidRPr="00F11A1B">
                              <w:rPr>
                                <w:rFonts w:hint="eastAsia"/>
                                <w:b/>
                              </w:rPr>
                              <w:t>变化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D78ABC" id="_x0000_s1028" type="#_x0000_t202" style="position:absolute;left:0;text-align:left;margin-left:79.1pt;margin-top:41.45pt;width:315.05pt;height:2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gLhQIAABc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" stroked="f">
                <v:textbox style="mso-fit-shape-to-text:t">
                  <w:txbxContent>
                    <w:p w:rsidR="008652AF" w:rsidRPr="00F11A1B" w:rsidRDefault="008652AF" w:rsidP="008652AF">
                      <w:pPr>
                        <w:jc w:val="center"/>
                        <w:rPr>
                          <w:b/>
                        </w:rPr>
                      </w:pPr>
                      <w:r w:rsidRPr="00F11A1B">
                        <w:rPr>
                          <w:rFonts w:hint="eastAsia"/>
                          <w:b/>
                        </w:rPr>
                        <w:t>图</w:t>
                      </w:r>
                      <w:r w:rsidR="00FC0684">
                        <w:rPr>
                          <w:b/>
                        </w:rPr>
                        <w:t>3</w:t>
                      </w:r>
                      <w:r>
                        <w:rPr>
                          <w:rFonts w:hint="eastAsia"/>
                          <w:b/>
                        </w:rPr>
                        <w:t xml:space="preserve"> </w:t>
                      </w:r>
                      <w:r w:rsidR="00F406E3">
                        <w:rPr>
                          <w:b/>
                        </w:rPr>
                        <w:t xml:space="preserve"> </w:t>
                      </w:r>
                      <w:r w:rsidR="00FC0684">
                        <w:rPr>
                          <w:b/>
                        </w:rPr>
                        <w:t>重点领域</w:t>
                      </w:r>
                      <w:r w:rsidRPr="00F11A1B">
                        <w:rPr>
                          <w:rFonts w:hint="eastAsia"/>
                          <w:b/>
                        </w:rPr>
                        <w:t>战略性新兴产业上市公司利润</w:t>
                      </w:r>
                      <w:r>
                        <w:rPr>
                          <w:rFonts w:hint="eastAsia"/>
                          <w:b/>
                        </w:rPr>
                        <w:t>累计</w:t>
                      </w:r>
                      <w:r w:rsidRPr="00F11A1B">
                        <w:rPr>
                          <w:rFonts w:hint="eastAsia"/>
                          <w:b/>
                        </w:rPr>
                        <w:t>增速</w:t>
                      </w:r>
                      <w:r>
                        <w:rPr>
                          <w:rFonts w:hint="eastAsia"/>
                          <w:b/>
                        </w:rPr>
                        <w:t>季度</w:t>
                      </w:r>
                      <w:r w:rsidRPr="00F11A1B">
                        <w:rPr>
                          <w:rFonts w:hint="eastAsia"/>
                          <w:b/>
                        </w:rPr>
                        <w:t>变化</w:t>
                      </w:r>
                    </w:p>
                  </w:txbxContent>
                </v:textbox>
              </v:shape>
            </w:pict>
          </mc:Fallback>
        </mc:AlternateContent>
      </w:r>
    </w:p>
    <w:p w:rsidR="00491E5B" w:rsidRDefault="00491E5B" w:rsidP="00AF3852">
      <w:pPr>
        <w:spacing w:beforeLines="100" w:before="312" w:line="360" w:lineRule="auto"/>
        <w:rPr>
          <w:rFonts w:ascii="仿宋" w:eastAsia="仿宋" w:hAnsi="仿宋"/>
          <w:b/>
          <w:sz w:val="30"/>
          <w:szCs w:val="30"/>
        </w:rPr>
      </w:pPr>
      <w:r>
        <w:rPr>
          <w:rFonts w:ascii="仿宋" w:eastAsia="仿宋" w:hAnsi="仿宋" w:hint="eastAsia"/>
          <w:b/>
          <w:sz w:val="30"/>
          <w:szCs w:val="30"/>
        </w:rPr>
        <w:t>（二）</w:t>
      </w:r>
      <w:r w:rsidR="00BB186C">
        <w:rPr>
          <w:rFonts w:ascii="仿宋" w:eastAsia="仿宋" w:hAnsi="仿宋" w:hint="eastAsia"/>
          <w:b/>
          <w:sz w:val="30"/>
          <w:szCs w:val="30"/>
        </w:rPr>
        <w:t>重点领域</w:t>
      </w:r>
      <w:r w:rsidR="00094414">
        <w:rPr>
          <w:rFonts w:ascii="仿宋" w:eastAsia="仿宋" w:hAnsi="仿宋" w:hint="eastAsia"/>
          <w:b/>
          <w:sz w:val="30"/>
          <w:szCs w:val="30"/>
        </w:rPr>
        <w:t>业绩</w:t>
      </w:r>
      <w:r w:rsidR="00BE3E37">
        <w:rPr>
          <w:rFonts w:ascii="仿宋" w:eastAsia="仿宋" w:hAnsi="仿宋" w:hint="eastAsia"/>
          <w:b/>
          <w:sz w:val="30"/>
          <w:szCs w:val="30"/>
        </w:rPr>
        <w:t>表现优异</w:t>
      </w:r>
      <w:r w:rsidR="00BE3E37">
        <w:rPr>
          <w:rFonts w:ascii="仿宋" w:eastAsia="仿宋" w:hAnsi="仿宋"/>
          <w:b/>
          <w:sz w:val="30"/>
          <w:szCs w:val="30"/>
        </w:rPr>
        <w:t>带动整体发展</w:t>
      </w:r>
    </w:p>
    <w:p w:rsidR="00B864AD" w:rsidRDefault="008B1660">
      <w:pPr>
        <w:spacing w:line="360" w:lineRule="auto"/>
        <w:ind w:firstLineChars="200" w:firstLine="600"/>
        <w:rPr>
          <w:rFonts w:ascii="仿宋" w:eastAsia="仿宋" w:hAnsi="仿宋"/>
          <w:sz w:val="30"/>
          <w:szCs w:val="30"/>
        </w:rPr>
      </w:pPr>
      <w:r>
        <w:rPr>
          <w:rFonts w:ascii="仿宋" w:eastAsia="仿宋" w:hAnsi="仿宋" w:hint="eastAsia"/>
          <w:sz w:val="30"/>
          <w:szCs w:val="30"/>
        </w:rPr>
        <w:t>一</w:t>
      </w:r>
      <w:r w:rsidR="00BB186C" w:rsidRPr="008C0052">
        <w:rPr>
          <w:rFonts w:ascii="仿宋" w:eastAsia="仿宋" w:hAnsi="仿宋" w:hint="eastAsia"/>
          <w:sz w:val="30"/>
          <w:szCs w:val="30"/>
        </w:rPr>
        <w:t>季度</w:t>
      </w:r>
      <w:r w:rsidR="00C2122B" w:rsidRPr="00875695">
        <w:rPr>
          <w:rFonts w:ascii="仿宋" w:eastAsia="仿宋" w:hAnsi="仿宋" w:hint="eastAsia"/>
          <w:sz w:val="30"/>
          <w:szCs w:val="30"/>
        </w:rPr>
        <w:t>，</w:t>
      </w:r>
      <w:r w:rsidR="00094414" w:rsidRPr="00094414">
        <w:rPr>
          <w:rFonts w:ascii="仿宋" w:eastAsia="仿宋" w:hAnsi="仿宋" w:hint="eastAsia"/>
          <w:sz w:val="30"/>
          <w:szCs w:val="30"/>
        </w:rPr>
        <w:t>重点领域业绩</w:t>
      </w:r>
      <w:r w:rsidR="00BE3E37">
        <w:rPr>
          <w:rFonts w:ascii="仿宋" w:eastAsia="仿宋" w:hAnsi="仿宋" w:hint="eastAsia"/>
          <w:sz w:val="30"/>
          <w:szCs w:val="30"/>
        </w:rPr>
        <w:t>延续</w:t>
      </w:r>
      <w:r w:rsidR="00BE3E37">
        <w:rPr>
          <w:rFonts w:ascii="仿宋" w:eastAsia="仿宋" w:hAnsi="仿宋"/>
          <w:sz w:val="30"/>
          <w:szCs w:val="30"/>
        </w:rPr>
        <w:t>良好</w:t>
      </w:r>
      <w:r w:rsidR="00BE3E37">
        <w:rPr>
          <w:rFonts w:ascii="仿宋" w:eastAsia="仿宋" w:hAnsi="仿宋" w:hint="eastAsia"/>
          <w:sz w:val="30"/>
          <w:szCs w:val="30"/>
        </w:rPr>
        <w:t>表现，带动战略性</w:t>
      </w:r>
      <w:r w:rsidR="00BE3E37">
        <w:rPr>
          <w:rFonts w:ascii="仿宋" w:eastAsia="仿宋" w:hAnsi="仿宋"/>
          <w:sz w:val="30"/>
          <w:szCs w:val="30"/>
        </w:rPr>
        <w:t>新兴产业上市公司</w:t>
      </w:r>
      <w:r w:rsidR="00BE3E37">
        <w:rPr>
          <w:rFonts w:ascii="仿宋" w:eastAsia="仿宋" w:hAnsi="仿宋" w:hint="eastAsia"/>
          <w:sz w:val="30"/>
          <w:szCs w:val="30"/>
        </w:rPr>
        <w:t>整体</w:t>
      </w:r>
      <w:r w:rsidR="00BE3E37">
        <w:rPr>
          <w:rFonts w:ascii="仿宋" w:eastAsia="仿宋" w:hAnsi="仿宋"/>
          <w:sz w:val="30"/>
          <w:szCs w:val="30"/>
        </w:rPr>
        <w:t>业绩增长</w:t>
      </w:r>
      <w:r w:rsidR="00BE3E37">
        <w:rPr>
          <w:rFonts w:ascii="仿宋" w:eastAsia="仿宋" w:hAnsi="仿宋" w:hint="eastAsia"/>
          <w:sz w:val="30"/>
          <w:szCs w:val="30"/>
        </w:rPr>
        <w:t>。</w:t>
      </w:r>
      <w:r w:rsidR="00094414">
        <w:rPr>
          <w:rFonts w:ascii="仿宋" w:eastAsia="仿宋" w:hAnsi="仿宋" w:hint="eastAsia"/>
          <w:sz w:val="30"/>
          <w:szCs w:val="30"/>
        </w:rPr>
        <w:t>主要</w:t>
      </w:r>
      <w:r w:rsidR="00094414">
        <w:rPr>
          <w:rFonts w:ascii="仿宋" w:eastAsia="仿宋" w:hAnsi="仿宋"/>
          <w:sz w:val="30"/>
          <w:szCs w:val="30"/>
        </w:rPr>
        <w:t>表现在，</w:t>
      </w:r>
      <w:r w:rsidR="00B864AD" w:rsidRPr="008C0052">
        <w:rPr>
          <w:rFonts w:ascii="仿宋" w:eastAsia="仿宋" w:hAnsi="仿宋" w:hint="eastAsia"/>
          <w:b/>
          <w:sz w:val="30"/>
          <w:szCs w:val="30"/>
        </w:rPr>
        <w:t>一是</w:t>
      </w:r>
      <w:r w:rsidR="00B864AD" w:rsidRPr="008C0052">
        <w:rPr>
          <w:rFonts w:ascii="仿宋" w:eastAsia="仿宋" w:hAnsi="仿宋" w:hint="eastAsia"/>
          <w:sz w:val="30"/>
          <w:szCs w:val="30"/>
        </w:rPr>
        <w:t>新能源</w:t>
      </w:r>
      <w:r w:rsidR="002D3C67">
        <w:rPr>
          <w:rFonts w:ascii="仿宋" w:eastAsia="仿宋" w:hAnsi="仿宋" w:hint="eastAsia"/>
          <w:sz w:val="30"/>
          <w:szCs w:val="30"/>
        </w:rPr>
        <w:t>、</w:t>
      </w:r>
      <w:r w:rsidR="002D3C67" w:rsidRPr="008C0052">
        <w:rPr>
          <w:rFonts w:ascii="仿宋" w:eastAsia="仿宋" w:hAnsi="仿宋" w:hint="eastAsia"/>
          <w:sz w:val="30"/>
          <w:szCs w:val="30"/>
        </w:rPr>
        <w:t>新一代信息技术</w:t>
      </w:r>
      <w:r w:rsidR="00B864AD" w:rsidRPr="008C0052">
        <w:rPr>
          <w:rFonts w:ascii="仿宋" w:eastAsia="仿宋" w:hAnsi="仿宋" w:hint="eastAsia"/>
          <w:sz w:val="30"/>
          <w:szCs w:val="30"/>
        </w:rPr>
        <w:t>以及节能环保</w:t>
      </w:r>
      <w:r w:rsidR="008A3EF3">
        <w:rPr>
          <w:rFonts w:ascii="仿宋" w:eastAsia="仿宋" w:hAnsi="仿宋" w:hint="eastAsia"/>
          <w:sz w:val="30"/>
          <w:szCs w:val="30"/>
        </w:rPr>
        <w:t>产业</w:t>
      </w:r>
      <w:r w:rsidR="00B864AD" w:rsidRPr="008C0052">
        <w:rPr>
          <w:rFonts w:ascii="仿宋" w:eastAsia="仿宋" w:hAnsi="仿宋" w:hint="eastAsia"/>
          <w:sz w:val="30"/>
          <w:szCs w:val="30"/>
        </w:rPr>
        <w:t>业绩</w:t>
      </w:r>
      <w:r w:rsidR="00DC0D4C" w:rsidRPr="008C0052">
        <w:rPr>
          <w:rFonts w:ascii="仿宋" w:eastAsia="仿宋" w:hAnsi="仿宋" w:hint="eastAsia"/>
          <w:sz w:val="30"/>
          <w:szCs w:val="30"/>
        </w:rPr>
        <w:t>增长</w:t>
      </w:r>
      <w:r w:rsidR="00B864AD" w:rsidRPr="008C0052">
        <w:rPr>
          <w:rFonts w:ascii="仿宋" w:eastAsia="仿宋" w:hAnsi="仿宋" w:hint="eastAsia"/>
          <w:sz w:val="30"/>
          <w:szCs w:val="30"/>
        </w:rPr>
        <w:t>依然处于领先地位。</w:t>
      </w:r>
      <w:r w:rsidR="00C77EBB" w:rsidRPr="008C0052">
        <w:rPr>
          <w:rFonts w:ascii="仿宋" w:eastAsia="仿宋" w:hAnsi="仿宋" w:hint="eastAsia"/>
          <w:sz w:val="30"/>
          <w:szCs w:val="30"/>
        </w:rPr>
        <w:t>其中</w:t>
      </w:r>
      <w:r w:rsidR="00BA3144">
        <w:rPr>
          <w:rFonts w:ascii="仿宋" w:eastAsia="仿宋" w:hAnsi="仿宋" w:hint="eastAsia"/>
          <w:sz w:val="30"/>
          <w:szCs w:val="30"/>
        </w:rPr>
        <w:t>，</w:t>
      </w:r>
      <w:r w:rsidR="0050189F">
        <w:rPr>
          <w:rFonts w:ascii="仿宋" w:eastAsia="仿宋" w:hAnsi="仿宋" w:hint="eastAsia"/>
          <w:sz w:val="30"/>
          <w:szCs w:val="30"/>
        </w:rPr>
        <w:t>太阳能与风能业绩的大幅增长使新能源产业营收增速跃居七大产业之首，</w:t>
      </w:r>
      <w:r w:rsidR="00834E98">
        <w:rPr>
          <w:rFonts w:ascii="仿宋" w:eastAsia="仿宋" w:hAnsi="仿宋" w:hint="eastAsia"/>
          <w:sz w:val="30"/>
          <w:szCs w:val="30"/>
        </w:rPr>
        <w:t>一季度营收增长32.9%，高于去年同期17.5个百分点，</w:t>
      </w:r>
      <w:r w:rsidR="00CD6E2B">
        <w:rPr>
          <w:rFonts w:ascii="仿宋" w:eastAsia="仿宋" w:hAnsi="仿宋" w:hint="eastAsia"/>
          <w:sz w:val="30"/>
          <w:szCs w:val="30"/>
        </w:rPr>
        <w:t>营收</w:t>
      </w:r>
      <w:r w:rsidR="00A3410A">
        <w:rPr>
          <w:rFonts w:ascii="仿宋" w:eastAsia="仿宋" w:hAnsi="仿宋" w:hint="eastAsia"/>
          <w:sz w:val="30"/>
          <w:szCs w:val="30"/>
        </w:rPr>
        <w:t>增速连续第5个季度提升</w:t>
      </w:r>
      <w:r w:rsidR="003031A8">
        <w:rPr>
          <w:rFonts w:ascii="仿宋" w:eastAsia="仿宋" w:hAnsi="仿宋" w:hint="eastAsia"/>
          <w:sz w:val="30"/>
          <w:szCs w:val="30"/>
        </w:rPr>
        <w:t>；</w:t>
      </w:r>
      <w:r w:rsidR="001D2891" w:rsidRPr="001D2891">
        <w:rPr>
          <w:rFonts w:ascii="仿宋" w:eastAsia="仿宋" w:hAnsi="仿宋" w:hint="eastAsia"/>
          <w:sz w:val="30"/>
          <w:szCs w:val="30"/>
        </w:rPr>
        <w:t>高端软件和新兴信息服务</w:t>
      </w:r>
      <w:r w:rsidR="00597BAC">
        <w:rPr>
          <w:rFonts w:ascii="仿宋" w:eastAsia="仿宋" w:hAnsi="仿宋" w:hint="eastAsia"/>
          <w:sz w:val="30"/>
          <w:szCs w:val="30"/>
        </w:rPr>
        <w:t>业稳步增长</w:t>
      </w:r>
      <w:r w:rsidR="001D2891">
        <w:rPr>
          <w:rFonts w:ascii="仿宋" w:eastAsia="仿宋" w:hAnsi="仿宋" w:hint="eastAsia"/>
          <w:sz w:val="30"/>
          <w:szCs w:val="30"/>
        </w:rPr>
        <w:t>带动</w:t>
      </w:r>
      <w:r w:rsidR="00C77EBB" w:rsidRPr="00183709">
        <w:rPr>
          <w:rFonts w:ascii="仿宋" w:eastAsia="仿宋" w:hAnsi="仿宋" w:hint="eastAsia"/>
          <w:sz w:val="30"/>
          <w:szCs w:val="30"/>
        </w:rPr>
        <w:t>新一代信息技术</w:t>
      </w:r>
      <w:r w:rsidR="00127CAC" w:rsidRPr="00127CAC">
        <w:rPr>
          <w:rFonts w:ascii="仿宋" w:eastAsia="仿宋" w:hAnsi="仿宋" w:hint="eastAsia"/>
          <w:sz w:val="30"/>
          <w:szCs w:val="30"/>
        </w:rPr>
        <w:t>上市公司</w:t>
      </w:r>
      <w:r w:rsidR="00B83499">
        <w:rPr>
          <w:rFonts w:ascii="仿宋" w:eastAsia="仿宋" w:hAnsi="仿宋" w:hint="eastAsia"/>
          <w:sz w:val="30"/>
          <w:szCs w:val="30"/>
        </w:rPr>
        <w:t>业绩实现小幅上涨，一季度</w:t>
      </w:r>
      <w:r w:rsidR="00127CAC" w:rsidRPr="00127CAC">
        <w:rPr>
          <w:rFonts w:ascii="仿宋" w:eastAsia="仿宋" w:hAnsi="仿宋" w:hint="eastAsia"/>
          <w:sz w:val="30"/>
          <w:szCs w:val="30"/>
        </w:rPr>
        <w:t>营收增长</w:t>
      </w:r>
      <w:r w:rsidR="00127CAC">
        <w:rPr>
          <w:rFonts w:ascii="仿宋" w:eastAsia="仿宋" w:hAnsi="仿宋" w:hint="eastAsia"/>
          <w:sz w:val="30"/>
          <w:szCs w:val="30"/>
        </w:rPr>
        <w:t>2</w:t>
      </w:r>
      <w:r w:rsidR="00597BAC">
        <w:rPr>
          <w:rFonts w:ascii="仿宋" w:eastAsia="仿宋" w:hAnsi="仿宋" w:hint="eastAsia"/>
          <w:sz w:val="30"/>
          <w:szCs w:val="30"/>
        </w:rPr>
        <w:t>2.9</w:t>
      </w:r>
      <w:r w:rsidR="00127CAC" w:rsidRPr="00127CAC">
        <w:rPr>
          <w:rFonts w:ascii="仿宋" w:eastAsia="仿宋" w:hAnsi="仿宋" w:hint="eastAsia"/>
          <w:sz w:val="30"/>
          <w:szCs w:val="30"/>
        </w:rPr>
        <w:t>%，</w:t>
      </w:r>
      <w:r w:rsidR="00127CAC">
        <w:rPr>
          <w:rFonts w:ascii="仿宋" w:eastAsia="仿宋" w:hAnsi="仿宋" w:hint="eastAsia"/>
          <w:sz w:val="30"/>
          <w:szCs w:val="30"/>
        </w:rPr>
        <w:t>且较去年同期提升</w:t>
      </w:r>
      <w:r w:rsidR="00597BAC">
        <w:rPr>
          <w:rFonts w:ascii="仿宋" w:eastAsia="仿宋" w:hAnsi="仿宋" w:hint="eastAsia"/>
          <w:sz w:val="30"/>
          <w:szCs w:val="30"/>
        </w:rPr>
        <w:t>1.5</w:t>
      </w:r>
      <w:r w:rsidR="00127CAC">
        <w:rPr>
          <w:rFonts w:ascii="仿宋" w:eastAsia="仿宋" w:hAnsi="仿宋" w:hint="eastAsia"/>
          <w:sz w:val="30"/>
          <w:szCs w:val="30"/>
        </w:rPr>
        <w:t>个百分点</w:t>
      </w:r>
      <w:r w:rsidR="00453C97">
        <w:rPr>
          <w:rFonts w:ascii="仿宋" w:eastAsia="仿宋" w:hAnsi="仿宋" w:hint="eastAsia"/>
          <w:sz w:val="30"/>
          <w:szCs w:val="30"/>
        </w:rPr>
        <w:t>；</w:t>
      </w:r>
      <w:r w:rsidR="00083618">
        <w:rPr>
          <w:rFonts w:ascii="仿宋" w:eastAsia="仿宋" w:hAnsi="仿宋" w:hint="eastAsia"/>
          <w:sz w:val="30"/>
          <w:szCs w:val="30"/>
        </w:rPr>
        <w:t>节能环保</w:t>
      </w:r>
      <w:r w:rsidR="00B76D4B">
        <w:rPr>
          <w:rFonts w:ascii="仿宋" w:eastAsia="仿宋" w:hAnsi="仿宋" w:hint="eastAsia"/>
          <w:sz w:val="30"/>
          <w:szCs w:val="30"/>
        </w:rPr>
        <w:t>位列第三，</w:t>
      </w:r>
      <w:r w:rsidR="00834E98">
        <w:rPr>
          <w:rFonts w:ascii="仿宋" w:eastAsia="仿宋" w:hAnsi="仿宋" w:hint="eastAsia"/>
          <w:sz w:val="30"/>
          <w:szCs w:val="30"/>
        </w:rPr>
        <w:t>当季</w:t>
      </w:r>
      <w:r w:rsidR="00D85ADB">
        <w:rPr>
          <w:rFonts w:ascii="仿宋" w:eastAsia="仿宋" w:hAnsi="仿宋" w:hint="eastAsia"/>
          <w:sz w:val="30"/>
          <w:szCs w:val="30"/>
        </w:rPr>
        <w:t>营收增长20.9</w:t>
      </w:r>
      <w:r w:rsidR="00083618">
        <w:rPr>
          <w:rFonts w:ascii="仿宋" w:eastAsia="仿宋" w:hAnsi="仿宋" w:hint="eastAsia"/>
          <w:sz w:val="30"/>
          <w:szCs w:val="30"/>
        </w:rPr>
        <w:t>%，</w:t>
      </w:r>
      <w:r w:rsidR="00834E98">
        <w:rPr>
          <w:rFonts w:ascii="仿宋" w:eastAsia="仿宋" w:hAnsi="仿宋" w:hint="eastAsia"/>
          <w:sz w:val="30"/>
          <w:szCs w:val="30"/>
        </w:rPr>
        <w:t>受</w:t>
      </w:r>
      <w:r w:rsidR="00510C28">
        <w:rPr>
          <w:rFonts w:ascii="仿宋" w:eastAsia="仿宋" w:hAnsi="仿宋" w:hint="eastAsia"/>
          <w:sz w:val="30"/>
          <w:szCs w:val="30"/>
        </w:rPr>
        <w:t>先进环保</w:t>
      </w:r>
      <w:r w:rsidR="000A5F30">
        <w:rPr>
          <w:rFonts w:ascii="仿宋" w:eastAsia="仿宋" w:hAnsi="仿宋" w:hint="eastAsia"/>
          <w:sz w:val="30"/>
          <w:szCs w:val="30"/>
        </w:rPr>
        <w:t>领域</w:t>
      </w:r>
      <w:r w:rsidR="00510C28">
        <w:rPr>
          <w:rFonts w:ascii="仿宋" w:eastAsia="仿宋" w:hAnsi="仿宋" w:hint="eastAsia"/>
          <w:sz w:val="30"/>
          <w:szCs w:val="30"/>
        </w:rPr>
        <w:t>业绩大幅度下滑影响</w:t>
      </w:r>
      <w:r w:rsidR="00834E98">
        <w:rPr>
          <w:rFonts w:ascii="仿宋" w:eastAsia="仿宋" w:hAnsi="仿宋" w:hint="eastAsia"/>
          <w:sz w:val="30"/>
          <w:szCs w:val="30"/>
        </w:rPr>
        <w:t>，</w:t>
      </w:r>
      <w:r w:rsidR="00834E98">
        <w:rPr>
          <w:rFonts w:ascii="仿宋" w:eastAsia="仿宋" w:hAnsi="仿宋"/>
          <w:sz w:val="30"/>
          <w:szCs w:val="30"/>
        </w:rPr>
        <w:t>节能环保</w:t>
      </w:r>
      <w:r w:rsidR="00510C28">
        <w:rPr>
          <w:rFonts w:ascii="仿宋" w:eastAsia="仿宋" w:hAnsi="仿宋" w:hint="eastAsia"/>
          <w:sz w:val="30"/>
          <w:szCs w:val="30"/>
        </w:rPr>
        <w:t>产业整体表现</w:t>
      </w:r>
      <w:r w:rsidR="00834E98">
        <w:rPr>
          <w:rFonts w:ascii="仿宋" w:eastAsia="仿宋" w:hAnsi="仿宋" w:hint="eastAsia"/>
          <w:sz w:val="30"/>
          <w:szCs w:val="30"/>
        </w:rPr>
        <w:t>有所</w:t>
      </w:r>
      <w:r w:rsidR="00834E98">
        <w:rPr>
          <w:rFonts w:ascii="仿宋" w:eastAsia="仿宋" w:hAnsi="仿宋"/>
          <w:sz w:val="30"/>
          <w:szCs w:val="30"/>
        </w:rPr>
        <w:t>下滑</w:t>
      </w:r>
      <w:r w:rsidR="00510C28">
        <w:rPr>
          <w:rFonts w:ascii="仿宋" w:eastAsia="仿宋" w:hAnsi="仿宋" w:hint="eastAsia"/>
          <w:sz w:val="30"/>
          <w:szCs w:val="30"/>
        </w:rPr>
        <w:t>，产业营收增速</w:t>
      </w:r>
      <w:r w:rsidR="00083618">
        <w:rPr>
          <w:rFonts w:ascii="仿宋" w:eastAsia="仿宋" w:hAnsi="仿宋" w:hint="eastAsia"/>
          <w:sz w:val="30"/>
          <w:szCs w:val="30"/>
        </w:rPr>
        <w:t>较去年同期下滑</w:t>
      </w:r>
      <w:r w:rsidR="00D85ADB">
        <w:rPr>
          <w:rFonts w:ascii="仿宋" w:eastAsia="仿宋" w:hAnsi="仿宋" w:hint="eastAsia"/>
          <w:sz w:val="30"/>
          <w:szCs w:val="30"/>
        </w:rPr>
        <w:t>6.7</w:t>
      </w:r>
      <w:r w:rsidR="00083618">
        <w:rPr>
          <w:rFonts w:ascii="仿宋" w:eastAsia="仿宋" w:hAnsi="仿宋" w:hint="eastAsia"/>
          <w:sz w:val="30"/>
          <w:szCs w:val="30"/>
        </w:rPr>
        <w:t>个百分点</w:t>
      </w:r>
      <w:r w:rsidR="00D85ADB">
        <w:rPr>
          <w:rFonts w:ascii="仿宋" w:eastAsia="仿宋" w:hAnsi="仿宋" w:hint="eastAsia"/>
          <w:sz w:val="30"/>
          <w:szCs w:val="30"/>
        </w:rPr>
        <w:t>，较四季度下降</w:t>
      </w:r>
      <w:r w:rsidR="00510C28">
        <w:rPr>
          <w:rFonts w:ascii="仿宋" w:eastAsia="仿宋" w:hAnsi="仿宋" w:hint="eastAsia"/>
          <w:sz w:val="30"/>
          <w:szCs w:val="30"/>
        </w:rPr>
        <w:t>2.8个百分点</w:t>
      </w:r>
      <w:r w:rsidR="009972AD" w:rsidRPr="009972AD">
        <w:rPr>
          <w:rFonts w:ascii="仿宋" w:eastAsia="仿宋" w:hAnsi="仿宋" w:hint="eastAsia"/>
          <w:sz w:val="30"/>
          <w:szCs w:val="30"/>
        </w:rPr>
        <w:t>（见图</w:t>
      </w:r>
      <w:r w:rsidR="00211C7E">
        <w:rPr>
          <w:rFonts w:ascii="仿宋" w:eastAsia="仿宋" w:hAnsi="仿宋" w:hint="eastAsia"/>
          <w:sz w:val="30"/>
          <w:szCs w:val="30"/>
        </w:rPr>
        <w:t>4</w:t>
      </w:r>
      <w:r w:rsidR="009972AD" w:rsidRPr="009972AD">
        <w:rPr>
          <w:rFonts w:ascii="仿宋" w:eastAsia="仿宋" w:hAnsi="仿宋"/>
          <w:sz w:val="30"/>
          <w:szCs w:val="30"/>
        </w:rPr>
        <w:t>）</w:t>
      </w:r>
      <w:r w:rsidR="00083618">
        <w:rPr>
          <w:rFonts w:ascii="仿宋" w:eastAsia="仿宋" w:hAnsi="仿宋" w:hint="eastAsia"/>
          <w:sz w:val="30"/>
          <w:szCs w:val="30"/>
        </w:rPr>
        <w:t>。</w:t>
      </w:r>
      <w:r w:rsidR="00DC277C">
        <w:rPr>
          <w:rFonts w:ascii="仿宋" w:eastAsia="仿宋" w:hAnsi="仿宋" w:hint="eastAsia"/>
          <w:b/>
          <w:sz w:val="30"/>
          <w:szCs w:val="30"/>
        </w:rPr>
        <w:t>二</w:t>
      </w:r>
      <w:r w:rsidR="00DC277C" w:rsidRPr="00183709">
        <w:rPr>
          <w:rFonts w:ascii="仿宋" w:eastAsia="仿宋" w:hAnsi="仿宋" w:hint="eastAsia"/>
          <w:b/>
          <w:sz w:val="30"/>
          <w:szCs w:val="30"/>
        </w:rPr>
        <w:t>是</w:t>
      </w:r>
      <w:r w:rsidR="00C92555" w:rsidRPr="008C0052">
        <w:rPr>
          <w:rFonts w:ascii="仿宋" w:eastAsia="仿宋" w:hAnsi="仿宋" w:hint="eastAsia"/>
          <w:sz w:val="30"/>
          <w:szCs w:val="30"/>
        </w:rPr>
        <w:t>生物</w:t>
      </w:r>
      <w:r w:rsidR="00C92555">
        <w:rPr>
          <w:rFonts w:ascii="仿宋" w:eastAsia="仿宋" w:hAnsi="仿宋" w:hint="eastAsia"/>
          <w:sz w:val="30"/>
          <w:szCs w:val="30"/>
        </w:rPr>
        <w:t>产业业绩</w:t>
      </w:r>
      <w:r w:rsidR="00D520D9">
        <w:rPr>
          <w:rFonts w:ascii="仿宋" w:eastAsia="仿宋" w:hAnsi="仿宋" w:hint="eastAsia"/>
          <w:sz w:val="30"/>
          <w:szCs w:val="30"/>
        </w:rPr>
        <w:t>维持</w:t>
      </w:r>
      <w:r w:rsidR="00C92555">
        <w:rPr>
          <w:rFonts w:ascii="仿宋" w:eastAsia="仿宋" w:hAnsi="仿宋" w:hint="eastAsia"/>
          <w:sz w:val="30"/>
          <w:szCs w:val="30"/>
        </w:rPr>
        <w:t>平稳</w:t>
      </w:r>
      <w:r w:rsidR="00834E98">
        <w:rPr>
          <w:rFonts w:ascii="仿宋" w:eastAsia="仿宋" w:hAnsi="仿宋" w:hint="eastAsia"/>
          <w:sz w:val="30"/>
          <w:szCs w:val="30"/>
        </w:rPr>
        <w:t>较快增长</w:t>
      </w:r>
      <w:r w:rsidR="0027346A">
        <w:rPr>
          <w:rFonts w:ascii="仿宋" w:eastAsia="仿宋" w:hAnsi="仿宋" w:hint="eastAsia"/>
          <w:sz w:val="30"/>
          <w:szCs w:val="30"/>
        </w:rPr>
        <w:t>。</w:t>
      </w:r>
      <w:r w:rsidR="000A5F30">
        <w:rPr>
          <w:rFonts w:ascii="仿宋" w:eastAsia="仿宋" w:hAnsi="仿宋" w:hint="eastAsia"/>
          <w:sz w:val="30"/>
          <w:szCs w:val="30"/>
        </w:rPr>
        <w:t>一</w:t>
      </w:r>
      <w:r w:rsidR="00504E2E">
        <w:rPr>
          <w:rFonts w:ascii="仿宋" w:eastAsia="仿宋" w:hAnsi="仿宋" w:hint="eastAsia"/>
          <w:sz w:val="30"/>
          <w:szCs w:val="30"/>
        </w:rPr>
        <w:t>季度</w:t>
      </w:r>
      <w:r w:rsidR="0027346A">
        <w:rPr>
          <w:rFonts w:ascii="仿宋" w:eastAsia="仿宋" w:hAnsi="仿宋" w:hint="eastAsia"/>
          <w:sz w:val="30"/>
          <w:szCs w:val="30"/>
        </w:rPr>
        <w:t>，生物产业上市公司</w:t>
      </w:r>
      <w:r w:rsidR="00504E2E">
        <w:rPr>
          <w:rFonts w:ascii="仿宋" w:eastAsia="仿宋" w:hAnsi="仿宋" w:hint="eastAsia"/>
          <w:sz w:val="30"/>
          <w:szCs w:val="30"/>
        </w:rPr>
        <w:t>营收增长</w:t>
      </w:r>
      <w:r w:rsidR="000A5F30">
        <w:rPr>
          <w:rFonts w:ascii="仿宋" w:eastAsia="仿宋" w:hAnsi="仿宋" w:hint="eastAsia"/>
          <w:sz w:val="30"/>
          <w:szCs w:val="30"/>
        </w:rPr>
        <w:t>12.1</w:t>
      </w:r>
      <w:r w:rsidR="00504E2E">
        <w:rPr>
          <w:rFonts w:ascii="仿宋" w:eastAsia="仿宋" w:hAnsi="仿宋" w:hint="eastAsia"/>
          <w:sz w:val="30"/>
          <w:szCs w:val="30"/>
        </w:rPr>
        <w:t>%，</w:t>
      </w:r>
      <w:r w:rsidR="00834E98">
        <w:rPr>
          <w:rFonts w:ascii="仿宋" w:eastAsia="仿宋" w:hAnsi="仿宋" w:hint="eastAsia"/>
          <w:sz w:val="30"/>
          <w:szCs w:val="30"/>
        </w:rPr>
        <w:t>其中生物医学工程增长较为突出，营收同比分别增长</w:t>
      </w:r>
      <w:r w:rsidR="00834E98" w:rsidRPr="0027346A">
        <w:rPr>
          <w:rFonts w:ascii="仿宋" w:eastAsia="仿宋" w:hAnsi="仿宋"/>
          <w:sz w:val="30"/>
          <w:szCs w:val="30"/>
        </w:rPr>
        <w:t>24.</w:t>
      </w:r>
      <w:r w:rsidR="00834E98">
        <w:rPr>
          <w:rFonts w:ascii="仿宋" w:eastAsia="仿宋" w:hAnsi="仿宋" w:hint="eastAsia"/>
          <w:sz w:val="30"/>
          <w:szCs w:val="30"/>
        </w:rPr>
        <w:t>9</w:t>
      </w:r>
      <w:r w:rsidR="00834E98" w:rsidRPr="0027346A">
        <w:rPr>
          <w:rFonts w:ascii="仿宋" w:eastAsia="仿宋" w:hAnsi="仿宋"/>
          <w:sz w:val="30"/>
          <w:szCs w:val="30"/>
        </w:rPr>
        <w:t>%</w:t>
      </w:r>
      <w:r w:rsidR="00834E98">
        <w:rPr>
          <w:rFonts w:ascii="仿宋" w:eastAsia="仿宋" w:hAnsi="仿宋" w:hint="eastAsia"/>
          <w:sz w:val="30"/>
          <w:szCs w:val="30"/>
        </w:rPr>
        <w:t>，增速位于生物</w:t>
      </w:r>
      <w:r w:rsidR="00834E98">
        <w:rPr>
          <w:rFonts w:ascii="仿宋" w:eastAsia="仿宋" w:hAnsi="仿宋"/>
          <w:sz w:val="30"/>
          <w:szCs w:val="30"/>
        </w:rPr>
        <w:t>领域</w:t>
      </w:r>
      <w:r w:rsidR="00834E98">
        <w:rPr>
          <w:rFonts w:ascii="仿宋" w:eastAsia="仿宋" w:hAnsi="仿宋" w:hint="eastAsia"/>
          <w:sz w:val="30"/>
          <w:szCs w:val="30"/>
        </w:rPr>
        <w:t>前列，与此同时</w:t>
      </w:r>
      <w:r w:rsidR="00834E98">
        <w:rPr>
          <w:rFonts w:ascii="仿宋" w:eastAsia="仿宋" w:hAnsi="仿宋"/>
          <w:sz w:val="30"/>
          <w:szCs w:val="30"/>
        </w:rPr>
        <w:t>，受</w:t>
      </w:r>
      <w:r w:rsidR="00834E98">
        <w:rPr>
          <w:rFonts w:ascii="仿宋" w:eastAsia="仿宋" w:hAnsi="仿宋" w:hint="eastAsia"/>
          <w:sz w:val="30"/>
          <w:szCs w:val="30"/>
        </w:rPr>
        <w:t>生物医药和生物制造领域业绩出现小幅下滑影响</w:t>
      </w:r>
      <w:r w:rsidR="00834E98">
        <w:rPr>
          <w:rFonts w:ascii="仿宋" w:eastAsia="仿宋" w:hAnsi="仿宋"/>
          <w:sz w:val="30"/>
          <w:szCs w:val="30"/>
        </w:rPr>
        <w:t>，生物</w:t>
      </w:r>
      <w:r w:rsidR="00834E98">
        <w:rPr>
          <w:rFonts w:ascii="仿宋" w:eastAsia="仿宋" w:hAnsi="仿宋" w:hint="eastAsia"/>
          <w:sz w:val="30"/>
          <w:szCs w:val="30"/>
        </w:rPr>
        <w:t>产业</w:t>
      </w:r>
      <w:r w:rsidR="00834E98">
        <w:rPr>
          <w:rFonts w:ascii="仿宋" w:eastAsia="仿宋" w:hAnsi="仿宋"/>
          <w:sz w:val="30"/>
          <w:szCs w:val="30"/>
        </w:rPr>
        <w:t>总营收增速</w:t>
      </w:r>
      <w:r w:rsidR="000A5F30">
        <w:rPr>
          <w:rFonts w:ascii="仿宋" w:eastAsia="仿宋" w:hAnsi="仿宋" w:hint="eastAsia"/>
          <w:sz w:val="30"/>
          <w:szCs w:val="30"/>
        </w:rPr>
        <w:t>较去年同期下降2.1个百分点，低于四季度1.9</w:t>
      </w:r>
      <w:r w:rsidR="00834E98">
        <w:rPr>
          <w:rFonts w:ascii="仿宋" w:eastAsia="仿宋" w:hAnsi="仿宋" w:hint="eastAsia"/>
          <w:sz w:val="30"/>
          <w:szCs w:val="30"/>
        </w:rPr>
        <w:t>个百分点</w:t>
      </w:r>
      <w:r w:rsidR="00834E98" w:rsidRPr="009972AD">
        <w:rPr>
          <w:rFonts w:ascii="仿宋" w:eastAsia="仿宋" w:hAnsi="仿宋" w:hint="eastAsia"/>
          <w:sz w:val="30"/>
          <w:szCs w:val="30"/>
        </w:rPr>
        <w:t>（见图</w:t>
      </w:r>
      <w:r w:rsidR="00834E98">
        <w:rPr>
          <w:rFonts w:ascii="仿宋" w:eastAsia="仿宋" w:hAnsi="仿宋" w:hint="eastAsia"/>
          <w:sz w:val="30"/>
          <w:szCs w:val="30"/>
        </w:rPr>
        <w:t>4</w:t>
      </w:r>
      <w:r w:rsidR="00834E98" w:rsidRPr="009972AD">
        <w:rPr>
          <w:rFonts w:ascii="仿宋" w:eastAsia="仿宋" w:hAnsi="仿宋"/>
          <w:sz w:val="30"/>
          <w:szCs w:val="30"/>
        </w:rPr>
        <w:t>）</w:t>
      </w:r>
      <w:r w:rsidR="0074503D">
        <w:rPr>
          <w:rFonts w:ascii="仿宋" w:eastAsia="仿宋" w:hAnsi="仿宋" w:hint="eastAsia"/>
          <w:sz w:val="30"/>
          <w:szCs w:val="30"/>
        </w:rPr>
        <w:t>。</w:t>
      </w:r>
      <w:r w:rsidR="00606F26">
        <w:rPr>
          <w:rFonts w:ascii="仿宋" w:eastAsia="仿宋" w:hAnsi="仿宋" w:hint="eastAsia"/>
          <w:b/>
          <w:sz w:val="30"/>
          <w:szCs w:val="30"/>
        </w:rPr>
        <w:t>三</w:t>
      </w:r>
      <w:r w:rsidR="00606F26" w:rsidRPr="00183709">
        <w:rPr>
          <w:rFonts w:ascii="仿宋" w:eastAsia="仿宋" w:hAnsi="仿宋" w:hint="eastAsia"/>
          <w:b/>
          <w:sz w:val="30"/>
          <w:szCs w:val="30"/>
        </w:rPr>
        <w:t>是</w:t>
      </w:r>
      <w:r w:rsidR="0009167F" w:rsidRPr="009972AD">
        <w:rPr>
          <w:rFonts w:ascii="仿宋" w:eastAsia="仿宋" w:hAnsi="仿宋" w:hint="eastAsia"/>
          <w:sz w:val="30"/>
          <w:szCs w:val="30"/>
        </w:rPr>
        <w:t>新材料</w:t>
      </w:r>
      <w:r w:rsidR="00FF0203">
        <w:rPr>
          <w:rFonts w:ascii="仿宋" w:eastAsia="仿宋" w:hAnsi="仿宋" w:hint="eastAsia"/>
          <w:sz w:val="30"/>
          <w:szCs w:val="30"/>
        </w:rPr>
        <w:lastRenderedPageBreak/>
        <w:t>产业</w:t>
      </w:r>
      <w:r w:rsidR="00FF0203">
        <w:rPr>
          <w:rFonts w:ascii="仿宋" w:eastAsia="仿宋" w:hAnsi="仿宋"/>
          <w:sz w:val="30"/>
          <w:szCs w:val="30"/>
        </w:rPr>
        <w:t>业绩</w:t>
      </w:r>
      <w:r w:rsidR="00FF0203">
        <w:rPr>
          <w:rFonts w:ascii="仿宋" w:eastAsia="仿宋" w:hAnsi="仿宋" w:hint="eastAsia"/>
          <w:sz w:val="30"/>
          <w:szCs w:val="30"/>
        </w:rPr>
        <w:t>低位</w:t>
      </w:r>
      <w:r w:rsidR="00FF0203">
        <w:rPr>
          <w:rFonts w:ascii="仿宋" w:eastAsia="仿宋" w:hAnsi="仿宋"/>
          <w:sz w:val="30"/>
          <w:szCs w:val="30"/>
        </w:rPr>
        <w:t>小幅反弹。</w:t>
      </w:r>
      <w:r w:rsidR="00FF0203">
        <w:rPr>
          <w:rFonts w:ascii="仿宋" w:eastAsia="仿宋" w:hAnsi="仿宋" w:hint="eastAsia"/>
          <w:sz w:val="30"/>
          <w:szCs w:val="30"/>
        </w:rPr>
        <w:t>一</w:t>
      </w:r>
      <w:r w:rsidR="00FF0203" w:rsidRPr="009972AD">
        <w:rPr>
          <w:rFonts w:ascii="仿宋" w:eastAsia="仿宋" w:hAnsi="仿宋" w:hint="eastAsia"/>
          <w:sz w:val="30"/>
          <w:szCs w:val="30"/>
        </w:rPr>
        <w:t>季度，新材料上市公司营收同比增长3.</w:t>
      </w:r>
      <w:r w:rsidR="00FF0203">
        <w:rPr>
          <w:rFonts w:ascii="仿宋" w:eastAsia="仿宋" w:hAnsi="仿宋" w:hint="eastAsia"/>
          <w:sz w:val="30"/>
          <w:szCs w:val="30"/>
        </w:rPr>
        <w:t>1</w:t>
      </w:r>
      <w:r w:rsidR="00FF0203" w:rsidRPr="009972AD">
        <w:rPr>
          <w:rFonts w:ascii="仿宋" w:eastAsia="仿宋" w:hAnsi="仿宋" w:hint="eastAsia"/>
          <w:sz w:val="30"/>
          <w:szCs w:val="30"/>
        </w:rPr>
        <w:t>%，</w:t>
      </w:r>
      <w:r w:rsidR="00FF0203">
        <w:rPr>
          <w:rFonts w:ascii="仿宋" w:eastAsia="仿宋" w:hAnsi="仿宋" w:hint="eastAsia"/>
          <w:sz w:val="30"/>
          <w:szCs w:val="30"/>
        </w:rPr>
        <w:t>新型功能材料业绩</w:t>
      </w:r>
      <w:r w:rsidR="00240C81">
        <w:rPr>
          <w:rFonts w:ascii="仿宋" w:eastAsia="仿宋" w:hAnsi="仿宋" w:hint="eastAsia"/>
          <w:sz w:val="30"/>
          <w:szCs w:val="30"/>
        </w:rPr>
        <w:t>反弹促</w:t>
      </w:r>
      <w:r w:rsidR="00FF0203">
        <w:rPr>
          <w:rFonts w:ascii="仿宋" w:eastAsia="仿宋" w:hAnsi="仿宋" w:hint="eastAsia"/>
          <w:sz w:val="30"/>
          <w:szCs w:val="30"/>
        </w:rPr>
        <w:t>使产业整体</w:t>
      </w:r>
      <w:r w:rsidR="00FF0203" w:rsidRPr="009972AD">
        <w:rPr>
          <w:rFonts w:ascii="仿宋" w:eastAsia="仿宋" w:hAnsi="仿宋" w:hint="eastAsia"/>
          <w:sz w:val="30"/>
          <w:szCs w:val="30"/>
        </w:rPr>
        <w:t>增速较</w:t>
      </w:r>
      <w:r w:rsidR="00FF0203">
        <w:rPr>
          <w:rFonts w:ascii="仿宋" w:eastAsia="仿宋" w:hAnsi="仿宋" w:hint="eastAsia"/>
          <w:sz w:val="30"/>
          <w:szCs w:val="30"/>
        </w:rPr>
        <w:t>四季度末回升2.7</w:t>
      </w:r>
      <w:r w:rsidR="00FF0203" w:rsidRPr="009972AD">
        <w:rPr>
          <w:rFonts w:ascii="仿宋" w:eastAsia="仿宋" w:hAnsi="仿宋" w:hint="eastAsia"/>
          <w:sz w:val="30"/>
          <w:szCs w:val="30"/>
        </w:rPr>
        <w:t>个百分点</w:t>
      </w:r>
      <w:r w:rsidR="00FF0203">
        <w:rPr>
          <w:rFonts w:ascii="仿宋" w:eastAsia="仿宋" w:hAnsi="仿宋" w:hint="eastAsia"/>
          <w:sz w:val="30"/>
          <w:szCs w:val="30"/>
        </w:rPr>
        <w:t>。</w:t>
      </w:r>
      <w:r w:rsidR="00240C81" w:rsidRPr="00240C81">
        <w:rPr>
          <w:rFonts w:ascii="仿宋" w:eastAsia="仿宋" w:hAnsi="仿宋" w:hint="eastAsia"/>
          <w:b/>
          <w:sz w:val="30"/>
          <w:szCs w:val="30"/>
        </w:rPr>
        <w:t>四</w:t>
      </w:r>
      <w:r w:rsidR="00240C81" w:rsidRPr="00240C81">
        <w:rPr>
          <w:rFonts w:ascii="仿宋" w:eastAsia="仿宋" w:hAnsi="仿宋"/>
          <w:b/>
          <w:sz w:val="30"/>
          <w:szCs w:val="30"/>
        </w:rPr>
        <w:t>是</w:t>
      </w:r>
      <w:r w:rsidR="00606F26" w:rsidRPr="00240C81">
        <w:rPr>
          <w:rFonts w:ascii="仿宋" w:eastAsia="仿宋" w:hAnsi="仿宋" w:hint="eastAsia"/>
          <w:sz w:val="30"/>
          <w:szCs w:val="30"/>
        </w:rPr>
        <w:t>高端装备业绩</w:t>
      </w:r>
      <w:r w:rsidR="00CF325A">
        <w:rPr>
          <w:rFonts w:ascii="仿宋" w:eastAsia="仿宋" w:hAnsi="仿宋" w:hint="eastAsia"/>
          <w:sz w:val="30"/>
          <w:szCs w:val="30"/>
        </w:rPr>
        <w:t>再次</w:t>
      </w:r>
      <w:r w:rsidR="00606F26" w:rsidRPr="00240C81">
        <w:rPr>
          <w:rFonts w:ascii="仿宋" w:eastAsia="仿宋" w:hAnsi="仿宋" w:hint="eastAsia"/>
          <w:sz w:val="30"/>
          <w:szCs w:val="30"/>
        </w:rPr>
        <w:t>回落</w:t>
      </w:r>
      <w:r w:rsidR="00606F26" w:rsidRPr="009972AD">
        <w:rPr>
          <w:rFonts w:ascii="仿宋" w:eastAsia="仿宋" w:hAnsi="仿宋" w:hint="eastAsia"/>
          <w:sz w:val="30"/>
          <w:szCs w:val="30"/>
        </w:rPr>
        <w:t>。</w:t>
      </w:r>
      <w:r w:rsidR="00CF325A">
        <w:rPr>
          <w:rFonts w:ascii="仿宋" w:eastAsia="仿宋" w:hAnsi="仿宋" w:hint="eastAsia"/>
          <w:sz w:val="30"/>
          <w:szCs w:val="30"/>
        </w:rPr>
        <w:t>一季度</w:t>
      </w:r>
      <w:r w:rsidR="00CF325A">
        <w:rPr>
          <w:rFonts w:ascii="仿宋" w:eastAsia="仿宋" w:hAnsi="仿宋"/>
          <w:sz w:val="30"/>
          <w:szCs w:val="30"/>
        </w:rPr>
        <w:t>，</w:t>
      </w:r>
      <w:r w:rsidR="00606F26" w:rsidRPr="009972AD">
        <w:rPr>
          <w:rFonts w:ascii="仿宋" w:eastAsia="仿宋" w:hAnsi="仿宋" w:hint="eastAsia"/>
          <w:sz w:val="30"/>
          <w:szCs w:val="30"/>
        </w:rPr>
        <w:t>高端装备上市公司业绩依然处于重点领域末位</w:t>
      </w:r>
      <w:r w:rsidR="005F4372" w:rsidRPr="009972AD">
        <w:rPr>
          <w:rFonts w:ascii="仿宋" w:eastAsia="仿宋" w:hAnsi="仿宋" w:hint="eastAsia"/>
          <w:sz w:val="30"/>
          <w:szCs w:val="30"/>
        </w:rPr>
        <w:t>，</w:t>
      </w:r>
      <w:r w:rsidR="00CF325A">
        <w:rPr>
          <w:rFonts w:ascii="仿宋" w:eastAsia="仿宋" w:hAnsi="仿宋" w:hint="eastAsia"/>
          <w:sz w:val="30"/>
          <w:szCs w:val="30"/>
        </w:rPr>
        <w:t>同比</w:t>
      </w:r>
      <w:r w:rsidR="00CF325A">
        <w:rPr>
          <w:rFonts w:ascii="仿宋" w:eastAsia="仿宋" w:hAnsi="仿宋"/>
          <w:sz w:val="30"/>
          <w:szCs w:val="30"/>
        </w:rPr>
        <w:t>增长</w:t>
      </w:r>
      <w:r w:rsidR="00CF325A">
        <w:rPr>
          <w:rFonts w:ascii="仿宋" w:eastAsia="仿宋" w:hAnsi="仿宋" w:hint="eastAsia"/>
          <w:sz w:val="30"/>
          <w:szCs w:val="30"/>
        </w:rPr>
        <w:t>1.0</w:t>
      </w:r>
      <w:r w:rsidR="00CF325A">
        <w:rPr>
          <w:rFonts w:ascii="仿宋" w:eastAsia="仿宋" w:hAnsi="仿宋"/>
          <w:sz w:val="30"/>
          <w:szCs w:val="30"/>
        </w:rPr>
        <w:t>%</w:t>
      </w:r>
      <w:r w:rsidR="00CF325A">
        <w:rPr>
          <w:rFonts w:ascii="仿宋" w:eastAsia="仿宋" w:hAnsi="仿宋" w:hint="eastAsia"/>
          <w:sz w:val="30"/>
          <w:szCs w:val="30"/>
        </w:rPr>
        <w:t>。</w:t>
      </w:r>
      <w:r w:rsidR="00CF325A">
        <w:rPr>
          <w:rFonts w:ascii="仿宋" w:eastAsia="仿宋" w:hAnsi="仿宋"/>
          <w:sz w:val="30"/>
          <w:szCs w:val="30"/>
        </w:rPr>
        <w:t>其中</w:t>
      </w:r>
      <w:r w:rsidR="00CF325A">
        <w:rPr>
          <w:rFonts w:ascii="仿宋" w:eastAsia="仿宋" w:hAnsi="仿宋" w:hint="eastAsia"/>
          <w:sz w:val="30"/>
          <w:szCs w:val="30"/>
        </w:rPr>
        <w:t>，</w:t>
      </w:r>
      <w:r w:rsidR="009972AD">
        <w:rPr>
          <w:rFonts w:ascii="仿宋" w:eastAsia="仿宋" w:hAnsi="仿宋" w:hint="eastAsia"/>
          <w:sz w:val="30"/>
          <w:szCs w:val="30"/>
        </w:rPr>
        <w:t>轨道交通装备业绩</w:t>
      </w:r>
      <w:r w:rsidR="0031443B">
        <w:rPr>
          <w:rFonts w:ascii="仿宋" w:eastAsia="仿宋" w:hAnsi="仿宋" w:hint="eastAsia"/>
          <w:sz w:val="30"/>
          <w:szCs w:val="30"/>
        </w:rPr>
        <w:t>的</w:t>
      </w:r>
      <w:r w:rsidR="00CF325A">
        <w:rPr>
          <w:rFonts w:ascii="仿宋" w:eastAsia="仿宋" w:hAnsi="仿宋" w:hint="eastAsia"/>
          <w:sz w:val="30"/>
          <w:szCs w:val="30"/>
        </w:rPr>
        <w:t>大幅回落是</w:t>
      </w:r>
      <w:r w:rsidR="00BA56CD">
        <w:rPr>
          <w:rFonts w:ascii="仿宋" w:eastAsia="仿宋" w:hAnsi="仿宋" w:hint="eastAsia"/>
          <w:sz w:val="30"/>
          <w:szCs w:val="30"/>
        </w:rPr>
        <w:t>拖累</w:t>
      </w:r>
      <w:r w:rsidR="005E3068" w:rsidRPr="009972AD">
        <w:rPr>
          <w:rFonts w:ascii="仿宋" w:eastAsia="仿宋" w:hAnsi="仿宋" w:hint="eastAsia"/>
          <w:sz w:val="30"/>
          <w:szCs w:val="30"/>
        </w:rPr>
        <w:t>高端装备整体业绩</w:t>
      </w:r>
      <w:r w:rsidR="00CF325A">
        <w:rPr>
          <w:rFonts w:ascii="仿宋" w:eastAsia="仿宋" w:hAnsi="仿宋" w:hint="eastAsia"/>
          <w:sz w:val="30"/>
          <w:szCs w:val="30"/>
        </w:rPr>
        <w:t>下滑</w:t>
      </w:r>
      <w:r w:rsidR="00CF325A">
        <w:rPr>
          <w:rFonts w:ascii="仿宋" w:eastAsia="仿宋" w:hAnsi="仿宋"/>
          <w:sz w:val="30"/>
          <w:szCs w:val="30"/>
        </w:rPr>
        <w:t>的重要原因</w:t>
      </w:r>
      <w:r w:rsidR="009972AD">
        <w:rPr>
          <w:rFonts w:ascii="仿宋" w:eastAsia="仿宋" w:hAnsi="仿宋" w:hint="eastAsia"/>
          <w:sz w:val="30"/>
          <w:szCs w:val="30"/>
        </w:rPr>
        <w:t>，</w:t>
      </w:r>
      <w:r w:rsidR="00CF325A">
        <w:rPr>
          <w:rFonts w:ascii="仿宋" w:eastAsia="仿宋" w:hAnsi="仿宋" w:hint="eastAsia"/>
          <w:sz w:val="30"/>
          <w:szCs w:val="30"/>
        </w:rPr>
        <w:t>当季</w:t>
      </w:r>
      <w:r w:rsidR="009972AD">
        <w:rPr>
          <w:rFonts w:ascii="仿宋" w:eastAsia="仿宋" w:hAnsi="仿宋" w:hint="eastAsia"/>
          <w:sz w:val="30"/>
          <w:szCs w:val="30"/>
        </w:rPr>
        <w:t>轨道交通装备</w:t>
      </w:r>
      <w:r w:rsidR="001C153F">
        <w:rPr>
          <w:rFonts w:ascii="仿宋" w:eastAsia="仿宋" w:hAnsi="仿宋" w:hint="eastAsia"/>
          <w:sz w:val="30"/>
          <w:szCs w:val="30"/>
        </w:rPr>
        <w:t>营收</w:t>
      </w:r>
      <w:r w:rsidR="0047590E">
        <w:rPr>
          <w:rFonts w:ascii="仿宋" w:eastAsia="仿宋" w:hAnsi="仿宋" w:hint="eastAsia"/>
          <w:sz w:val="30"/>
          <w:szCs w:val="30"/>
        </w:rPr>
        <w:t>增速</w:t>
      </w:r>
      <w:r w:rsidR="004E1EEB">
        <w:rPr>
          <w:rFonts w:ascii="仿宋" w:eastAsia="仿宋" w:hAnsi="仿宋" w:hint="eastAsia"/>
          <w:sz w:val="30"/>
          <w:szCs w:val="30"/>
        </w:rPr>
        <w:t>为-1.0</w:t>
      </w:r>
      <w:r w:rsidR="009972AD">
        <w:rPr>
          <w:rFonts w:ascii="仿宋" w:eastAsia="仿宋" w:hAnsi="仿宋" w:hint="eastAsia"/>
          <w:sz w:val="30"/>
          <w:szCs w:val="30"/>
        </w:rPr>
        <w:t>%</w:t>
      </w:r>
      <w:r w:rsidR="00381754">
        <w:rPr>
          <w:rFonts w:ascii="仿宋" w:eastAsia="仿宋" w:hAnsi="仿宋" w:hint="eastAsia"/>
          <w:sz w:val="30"/>
          <w:szCs w:val="30"/>
        </w:rPr>
        <w:t>，较四季度</w:t>
      </w:r>
      <w:r w:rsidR="00CF325A">
        <w:rPr>
          <w:rFonts w:ascii="仿宋" w:eastAsia="仿宋" w:hAnsi="仿宋" w:hint="eastAsia"/>
          <w:sz w:val="30"/>
          <w:szCs w:val="30"/>
        </w:rPr>
        <w:t>末</w:t>
      </w:r>
      <w:r w:rsidR="00381754">
        <w:rPr>
          <w:rFonts w:ascii="仿宋" w:eastAsia="仿宋" w:hAnsi="仿宋" w:hint="eastAsia"/>
          <w:sz w:val="30"/>
          <w:szCs w:val="30"/>
        </w:rPr>
        <w:t>回落8.8个百分点，低于去年同期24.2个百分点</w:t>
      </w:r>
      <w:r w:rsidR="00C300FA">
        <w:rPr>
          <w:rFonts w:ascii="仿宋" w:eastAsia="仿宋" w:hAnsi="仿宋" w:hint="eastAsia"/>
          <w:sz w:val="30"/>
          <w:szCs w:val="30"/>
        </w:rPr>
        <w:t>（见图</w:t>
      </w:r>
      <w:r w:rsidR="00211C7E">
        <w:rPr>
          <w:rFonts w:ascii="仿宋" w:eastAsia="仿宋" w:hAnsi="仿宋" w:hint="eastAsia"/>
          <w:sz w:val="30"/>
          <w:szCs w:val="30"/>
        </w:rPr>
        <w:t>5</w:t>
      </w:r>
      <w:r w:rsidR="00C300FA">
        <w:rPr>
          <w:rFonts w:ascii="仿宋" w:eastAsia="仿宋" w:hAnsi="仿宋" w:hint="eastAsia"/>
          <w:sz w:val="30"/>
          <w:szCs w:val="30"/>
        </w:rPr>
        <w:t>）。</w:t>
      </w:r>
    </w:p>
    <w:p w:rsidR="00C2122B" w:rsidRDefault="00F406E3" w:rsidP="001D6D3A">
      <w:pPr>
        <w:spacing w:line="360" w:lineRule="auto"/>
        <w:rPr>
          <w:rFonts w:ascii="仿宋" w:eastAsia="仿宋" w:hAnsi="仿宋"/>
          <w:b/>
          <w:sz w:val="30"/>
          <w:szCs w:val="30"/>
        </w:rPr>
      </w:pPr>
      <w:r w:rsidRPr="00FA70DE">
        <w:rPr>
          <w:rFonts w:ascii="黑体" w:eastAsia="黑体" w:hAnsi="黑体"/>
          <w:b/>
          <w:noProof/>
          <w:sz w:val="28"/>
          <w:szCs w:val="28"/>
        </w:rPr>
        <w:drawing>
          <wp:anchor distT="0" distB="0" distL="114300" distR="114300" simplePos="0" relativeHeight="251617280" behindDoc="0" locked="0" layoutInCell="1" allowOverlap="1" wp14:anchorId="203FB366" wp14:editId="46D207A7">
            <wp:simplePos x="0" y="0"/>
            <wp:positionH relativeFrom="margin">
              <wp:align>left</wp:align>
            </wp:positionH>
            <wp:positionV relativeFrom="paragraph">
              <wp:posOffset>12700</wp:posOffset>
            </wp:positionV>
            <wp:extent cx="5869305" cy="249936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007C1F9D" w:rsidRDefault="007C1F9D" w:rsidP="001D6D3A">
      <w:pPr>
        <w:spacing w:line="360" w:lineRule="auto"/>
        <w:rPr>
          <w:rFonts w:ascii="仿宋" w:eastAsia="仿宋" w:hAnsi="仿宋"/>
          <w:b/>
          <w:sz w:val="30"/>
          <w:szCs w:val="30"/>
        </w:rPr>
      </w:pPr>
    </w:p>
    <w:p w:rsidR="00861B14" w:rsidRDefault="00861B14" w:rsidP="00AF3852">
      <w:pPr>
        <w:spacing w:beforeLines="100" w:before="312" w:line="360" w:lineRule="auto"/>
        <w:rPr>
          <w:rFonts w:ascii="仿宋" w:eastAsia="仿宋" w:hAnsi="仿宋"/>
          <w:b/>
          <w:sz w:val="30"/>
          <w:szCs w:val="30"/>
        </w:rPr>
      </w:pPr>
    </w:p>
    <w:p w:rsidR="00861B14" w:rsidRDefault="00861B14" w:rsidP="00AF3852">
      <w:pPr>
        <w:spacing w:beforeLines="100" w:before="312" w:line="360" w:lineRule="auto"/>
        <w:rPr>
          <w:rFonts w:ascii="仿宋" w:eastAsia="仿宋" w:hAnsi="仿宋"/>
          <w:b/>
          <w:sz w:val="30"/>
          <w:szCs w:val="30"/>
        </w:rPr>
      </w:pPr>
    </w:p>
    <w:p w:rsidR="00861B14" w:rsidRDefault="00F406E3" w:rsidP="00AF3852">
      <w:pPr>
        <w:spacing w:beforeLines="100" w:before="312" w:line="360" w:lineRule="auto"/>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660288" behindDoc="0" locked="0" layoutInCell="1" allowOverlap="1" wp14:anchorId="027C62F8" wp14:editId="78ED7AA3">
                <wp:simplePos x="0" y="0"/>
                <wp:positionH relativeFrom="column">
                  <wp:posOffset>466725</wp:posOffset>
                </wp:positionH>
                <wp:positionV relativeFrom="paragraph">
                  <wp:posOffset>207645</wp:posOffset>
                </wp:positionV>
                <wp:extent cx="5247640" cy="35877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22B" w:rsidRPr="00F11A1B" w:rsidRDefault="00C2122B" w:rsidP="00C2122B">
                            <w:pPr>
                              <w:jc w:val="center"/>
                              <w:rPr>
                                <w:b/>
                              </w:rPr>
                            </w:pPr>
                            <w:r w:rsidRPr="00F11A1B">
                              <w:rPr>
                                <w:rFonts w:hint="eastAsia"/>
                                <w:b/>
                              </w:rPr>
                              <w:t>图</w:t>
                            </w:r>
                            <w:r w:rsidR="00211C7E">
                              <w:rPr>
                                <w:b/>
                              </w:rPr>
                              <w:t>4</w:t>
                            </w:r>
                            <w:r w:rsidR="00185E2F">
                              <w:rPr>
                                <w:rFonts w:hint="eastAsia"/>
                                <w:b/>
                              </w:rPr>
                              <w:t xml:space="preserve"> </w:t>
                            </w:r>
                            <w:r w:rsidR="00F406E3">
                              <w:rPr>
                                <w:b/>
                              </w:rPr>
                              <w:t xml:space="preserve"> </w:t>
                            </w:r>
                            <w:r w:rsidRPr="00AF5D38">
                              <w:rPr>
                                <w:rFonts w:hint="eastAsia"/>
                                <w:b/>
                              </w:rPr>
                              <w:t>战略性新兴产业上市公司</w:t>
                            </w:r>
                            <w:r>
                              <w:rPr>
                                <w:rFonts w:hint="eastAsia"/>
                                <w:b/>
                              </w:rPr>
                              <w:t>主要产业营收增速对比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C074D1" id="Text Box 6" o:spid="_x0000_s1029" type="#_x0000_t202" style="position:absolute;left:0;text-align:left;margin-left:36.75pt;margin-top:16.35pt;width:413.2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" stroked="f">
                <v:textbox>
                  <w:txbxContent>
                    <w:p w:rsidR="00C2122B" w:rsidRPr="00F11A1B" w:rsidRDefault="00C2122B" w:rsidP="00C2122B">
                      <w:pPr>
                        <w:jc w:val="center"/>
                        <w:rPr>
                          <w:b/>
                        </w:rPr>
                      </w:pPr>
                      <w:r w:rsidRPr="00F11A1B">
                        <w:rPr>
                          <w:rFonts w:hint="eastAsia"/>
                          <w:b/>
                        </w:rPr>
                        <w:t>图</w:t>
                      </w:r>
                      <w:r w:rsidR="00211C7E">
                        <w:rPr>
                          <w:b/>
                        </w:rPr>
                        <w:t>4</w:t>
                      </w:r>
                      <w:r w:rsidR="00185E2F">
                        <w:rPr>
                          <w:rFonts w:hint="eastAsia"/>
                          <w:b/>
                        </w:rPr>
                        <w:t xml:space="preserve"> </w:t>
                      </w:r>
                      <w:r w:rsidR="00F406E3">
                        <w:rPr>
                          <w:b/>
                        </w:rPr>
                        <w:t xml:space="preserve"> </w:t>
                      </w:r>
                      <w:r w:rsidRPr="00AF5D38">
                        <w:rPr>
                          <w:rFonts w:hint="eastAsia"/>
                          <w:b/>
                        </w:rPr>
                        <w:t>战略性新兴产业上市公司</w:t>
                      </w:r>
                      <w:r>
                        <w:rPr>
                          <w:rFonts w:hint="eastAsia"/>
                          <w:b/>
                        </w:rPr>
                        <w:t>主要产业营收增速对比</w:t>
                      </w:r>
                    </w:p>
                  </w:txbxContent>
                </v:textbox>
              </v:shape>
            </w:pict>
          </mc:Fallback>
        </mc:AlternateContent>
      </w:r>
      <w:r w:rsidR="00211C7E" w:rsidRPr="00FA70DE">
        <w:rPr>
          <w:rFonts w:ascii="黑体" w:eastAsia="黑体" w:hAnsi="黑体"/>
          <w:b/>
          <w:noProof/>
          <w:sz w:val="28"/>
          <w:szCs w:val="28"/>
        </w:rPr>
        <w:drawing>
          <wp:anchor distT="0" distB="0" distL="114300" distR="114300" simplePos="0" relativeHeight="251718656" behindDoc="0" locked="0" layoutInCell="1" allowOverlap="1" wp14:anchorId="4986C869" wp14:editId="52C34507">
            <wp:simplePos x="0" y="0"/>
            <wp:positionH relativeFrom="column">
              <wp:posOffset>-119380</wp:posOffset>
            </wp:positionH>
            <wp:positionV relativeFrom="paragraph">
              <wp:posOffset>356235</wp:posOffset>
            </wp:positionV>
            <wp:extent cx="6097905" cy="2228850"/>
            <wp:effectExtent l="0" t="0" r="0"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C1F9D" w:rsidRDefault="007C1F9D" w:rsidP="00AF3852">
      <w:pPr>
        <w:spacing w:beforeLines="100" w:before="312" w:line="360" w:lineRule="auto"/>
        <w:rPr>
          <w:rFonts w:ascii="仿宋" w:eastAsia="仿宋" w:hAnsi="仿宋"/>
          <w:b/>
          <w:sz w:val="30"/>
          <w:szCs w:val="30"/>
        </w:rPr>
      </w:pPr>
    </w:p>
    <w:p w:rsidR="001D6D3A" w:rsidRDefault="001D6D3A" w:rsidP="00AF3852">
      <w:pPr>
        <w:spacing w:beforeLines="100" w:before="312" w:line="360" w:lineRule="auto"/>
        <w:rPr>
          <w:rFonts w:ascii="仿宋" w:eastAsia="仿宋" w:hAnsi="仿宋"/>
          <w:b/>
          <w:sz w:val="30"/>
          <w:szCs w:val="30"/>
        </w:rPr>
      </w:pPr>
    </w:p>
    <w:p w:rsidR="001D6D3A" w:rsidRDefault="001D6D3A" w:rsidP="00AF3852">
      <w:pPr>
        <w:spacing w:beforeLines="100" w:before="312" w:line="360" w:lineRule="auto"/>
        <w:rPr>
          <w:rFonts w:ascii="仿宋" w:eastAsia="仿宋" w:hAnsi="仿宋"/>
          <w:b/>
          <w:sz w:val="30"/>
          <w:szCs w:val="30"/>
        </w:rPr>
      </w:pPr>
    </w:p>
    <w:p w:rsidR="002806F1" w:rsidRDefault="00EC78E7" w:rsidP="00AF3852">
      <w:pPr>
        <w:spacing w:beforeLines="100" w:before="312" w:line="360" w:lineRule="auto"/>
        <w:rPr>
          <w:rFonts w:ascii="仿宋" w:eastAsia="仿宋" w:hAnsi="仿宋"/>
          <w:b/>
          <w:sz w:val="30"/>
          <w:szCs w:val="30"/>
        </w:rPr>
      </w:pPr>
      <w:r>
        <w:rPr>
          <w:rFonts w:ascii="仿宋" w:eastAsia="仿宋" w:hAnsi="仿宋"/>
          <w:b/>
          <w:noProof/>
          <w:sz w:val="30"/>
          <w:szCs w:val="30"/>
        </w:rPr>
        <mc:AlternateContent>
          <mc:Choice Requires="wps">
            <w:drawing>
              <wp:anchor distT="0" distB="0" distL="114300" distR="114300" simplePos="0" relativeHeight="251664384" behindDoc="0" locked="0" layoutInCell="1" allowOverlap="1" wp14:anchorId="283BF210" wp14:editId="1EC22575">
                <wp:simplePos x="0" y="0"/>
                <wp:positionH relativeFrom="column">
                  <wp:posOffset>345440</wp:posOffset>
                </wp:positionH>
                <wp:positionV relativeFrom="paragraph">
                  <wp:posOffset>198755</wp:posOffset>
                </wp:positionV>
                <wp:extent cx="5247640" cy="35877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7B2" w:rsidRPr="009972AD" w:rsidRDefault="003B37B2" w:rsidP="003B37B2">
                            <w:pPr>
                              <w:jc w:val="center"/>
                              <w:rPr>
                                <w:b/>
                              </w:rPr>
                            </w:pPr>
                            <w:r w:rsidRPr="009972AD">
                              <w:rPr>
                                <w:rFonts w:hint="eastAsia"/>
                                <w:b/>
                              </w:rPr>
                              <w:t>图</w:t>
                            </w:r>
                            <w:r w:rsidR="00211C7E">
                              <w:rPr>
                                <w:b/>
                              </w:rPr>
                              <w:t>5</w:t>
                            </w:r>
                            <w:r w:rsidRPr="009972AD">
                              <w:rPr>
                                <w:rFonts w:hint="eastAsia"/>
                                <w:b/>
                              </w:rPr>
                              <w:t xml:space="preserve"> </w:t>
                            </w:r>
                            <w:r w:rsidR="00F406E3">
                              <w:rPr>
                                <w:b/>
                              </w:rPr>
                              <w:t xml:space="preserve"> </w:t>
                            </w:r>
                            <w:r w:rsidR="009972AD" w:rsidRPr="009972AD">
                              <w:rPr>
                                <w:rFonts w:hint="eastAsia"/>
                                <w:b/>
                              </w:rPr>
                              <w:t>高端装备制造</w:t>
                            </w:r>
                            <w:r w:rsidRPr="009972AD">
                              <w:rPr>
                                <w:rFonts w:hint="eastAsia"/>
                                <w:b/>
                              </w:rPr>
                              <w:t>上市公司主要产业营收增速对比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FA3876" id="_x0000_s1030" type="#_x0000_t202" style="position:absolute;left:0;text-align:left;margin-left:27.2pt;margin-top:15.65pt;width:413.2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hVhQIAABY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" stroked="f">
                <v:textbox>
                  <w:txbxContent>
                    <w:p w:rsidR="003B37B2" w:rsidRPr="009972AD" w:rsidRDefault="003B37B2" w:rsidP="003B37B2">
                      <w:pPr>
                        <w:jc w:val="center"/>
                        <w:rPr>
                          <w:b/>
                        </w:rPr>
                      </w:pPr>
                      <w:r w:rsidRPr="009972AD">
                        <w:rPr>
                          <w:rFonts w:hint="eastAsia"/>
                          <w:b/>
                        </w:rPr>
                        <w:t>图</w:t>
                      </w:r>
                      <w:r w:rsidR="00211C7E">
                        <w:rPr>
                          <w:b/>
                        </w:rPr>
                        <w:t>5</w:t>
                      </w:r>
                      <w:r w:rsidRPr="009972AD">
                        <w:rPr>
                          <w:rFonts w:hint="eastAsia"/>
                          <w:b/>
                        </w:rPr>
                        <w:t xml:space="preserve"> </w:t>
                      </w:r>
                      <w:r w:rsidR="00F406E3">
                        <w:rPr>
                          <w:b/>
                        </w:rPr>
                        <w:t xml:space="preserve"> </w:t>
                      </w:r>
                      <w:r w:rsidR="009972AD" w:rsidRPr="009972AD">
                        <w:rPr>
                          <w:rFonts w:hint="eastAsia"/>
                          <w:b/>
                        </w:rPr>
                        <w:t>高端装备制造</w:t>
                      </w:r>
                      <w:r w:rsidRPr="009972AD">
                        <w:rPr>
                          <w:rFonts w:hint="eastAsia"/>
                          <w:b/>
                        </w:rPr>
                        <w:t>上市公司主要产业营收增速对比</w:t>
                      </w:r>
                    </w:p>
                  </w:txbxContent>
                </v:textbox>
              </v:shape>
            </w:pict>
          </mc:Fallback>
        </mc:AlternateContent>
      </w:r>
    </w:p>
    <w:p w:rsidR="00491E5B" w:rsidRDefault="00491E5B" w:rsidP="00AF3852">
      <w:pPr>
        <w:spacing w:beforeLines="100" w:before="312" w:line="360" w:lineRule="auto"/>
        <w:rPr>
          <w:rFonts w:ascii="仿宋" w:eastAsia="仿宋" w:hAnsi="仿宋"/>
          <w:b/>
          <w:sz w:val="30"/>
          <w:szCs w:val="30"/>
        </w:rPr>
      </w:pPr>
      <w:r>
        <w:rPr>
          <w:rFonts w:ascii="仿宋" w:eastAsia="仿宋" w:hAnsi="仿宋" w:hint="eastAsia"/>
          <w:b/>
          <w:sz w:val="30"/>
          <w:szCs w:val="30"/>
        </w:rPr>
        <w:t>（三）</w:t>
      </w:r>
      <w:r w:rsidR="004D149C">
        <w:rPr>
          <w:rFonts w:ascii="仿宋" w:eastAsia="仿宋" w:hAnsi="仿宋" w:hint="eastAsia"/>
          <w:b/>
          <w:sz w:val="30"/>
          <w:szCs w:val="30"/>
        </w:rPr>
        <w:t>中部</w:t>
      </w:r>
      <w:r w:rsidR="009A0F19">
        <w:rPr>
          <w:rFonts w:ascii="仿宋" w:eastAsia="仿宋" w:hAnsi="仿宋" w:hint="eastAsia"/>
          <w:b/>
          <w:sz w:val="30"/>
          <w:szCs w:val="30"/>
        </w:rPr>
        <w:t>和</w:t>
      </w:r>
      <w:r w:rsidR="007935E6">
        <w:rPr>
          <w:rFonts w:ascii="仿宋" w:eastAsia="仿宋" w:hAnsi="仿宋" w:hint="eastAsia"/>
          <w:b/>
          <w:sz w:val="30"/>
          <w:szCs w:val="30"/>
        </w:rPr>
        <w:t>东部</w:t>
      </w:r>
      <w:r>
        <w:rPr>
          <w:rFonts w:ascii="仿宋" w:eastAsia="仿宋" w:hAnsi="仿宋" w:hint="eastAsia"/>
          <w:b/>
          <w:sz w:val="30"/>
          <w:szCs w:val="30"/>
        </w:rPr>
        <w:t>地区</w:t>
      </w:r>
      <w:r w:rsidR="00945977">
        <w:rPr>
          <w:rFonts w:ascii="仿宋" w:eastAsia="仿宋" w:hAnsi="仿宋" w:hint="eastAsia"/>
          <w:b/>
          <w:sz w:val="30"/>
          <w:szCs w:val="30"/>
        </w:rPr>
        <w:t>战略性新兴产业</w:t>
      </w:r>
      <w:r w:rsidR="006663E2">
        <w:rPr>
          <w:rFonts w:ascii="仿宋" w:eastAsia="仿宋" w:hAnsi="仿宋" w:hint="eastAsia"/>
          <w:b/>
          <w:sz w:val="30"/>
          <w:szCs w:val="30"/>
        </w:rPr>
        <w:t>表现</w:t>
      </w:r>
      <w:r w:rsidR="006663E2">
        <w:rPr>
          <w:rFonts w:ascii="仿宋" w:eastAsia="仿宋" w:hAnsi="仿宋"/>
          <w:b/>
          <w:sz w:val="30"/>
          <w:szCs w:val="30"/>
        </w:rPr>
        <w:t>抢眼</w:t>
      </w:r>
    </w:p>
    <w:p w:rsidR="00861B14" w:rsidRDefault="007935E6" w:rsidP="000E728A">
      <w:pPr>
        <w:spacing w:beforeLines="100" w:before="312" w:line="360" w:lineRule="auto"/>
        <w:ind w:firstLineChars="200" w:firstLine="600"/>
        <w:rPr>
          <w:rFonts w:ascii="仿宋" w:eastAsia="仿宋" w:hAnsi="仿宋"/>
          <w:sz w:val="30"/>
          <w:szCs w:val="30"/>
        </w:rPr>
      </w:pPr>
      <w:r>
        <w:rPr>
          <w:rFonts w:ascii="仿宋" w:eastAsia="仿宋" w:hAnsi="仿宋" w:hint="eastAsia"/>
          <w:sz w:val="30"/>
          <w:szCs w:val="30"/>
        </w:rPr>
        <w:lastRenderedPageBreak/>
        <w:t>2016</w:t>
      </w:r>
      <w:r w:rsidR="0028356F" w:rsidRPr="00F35E6A">
        <w:rPr>
          <w:rFonts w:ascii="仿宋" w:eastAsia="仿宋" w:hAnsi="仿宋" w:hint="eastAsia"/>
          <w:sz w:val="30"/>
          <w:szCs w:val="30"/>
        </w:rPr>
        <w:t>年</w:t>
      </w:r>
      <w:r>
        <w:rPr>
          <w:rFonts w:ascii="仿宋" w:eastAsia="仿宋" w:hAnsi="仿宋" w:hint="eastAsia"/>
          <w:sz w:val="30"/>
          <w:szCs w:val="30"/>
        </w:rPr>
        <w:t>一</w:t>
      </w:r>
      <w:r w:rsidR="002E57E4">
        <w:rPr>
          <w:rFonts w:ascii="仿宋" w:eastAsia="仿宋" w:hAnsi="仿宋" w:hint="eastAsia"/>
          <w:sz w:val="30"/>
          <w:szCs w:val="30"/>
        </w:rPr>
        <w:t>季度</w:t>
      </w:r>
      <w:r w:rsidR="0028356F" w:rsidRPr="00F35E6A">
        <w:rPr>
          <w:rFonts w:ascii="仿宋" w:eastAsia="仿宋" w:hAnsi="仿宋" w:hint="eastAsia"/>
          <w:sz w:val="30"/>
          <w:szCs w:val="30"/>
        </w:rPr>
        <w:t>，</w:t>
      </w:r>
      <w:r w:rsidR="00756C94">
        <w:rPr>
          <w:rFonts w:ascii="仿宋" w:eastAsia="仿宋" w:hAnsi="仿宋" w:hint="eastAsia"/>
          <w:sz w:val="30"/>
          <w:szCs w:val="30"/>
        </w:rPr>
        <w:t>中部与东部地区</w:t>
      </w:r>
      <w:r w:rsidR="0028356F" w:rsidRPr="00F35E6A">
        <w:rPr>
          <w:rFonts w:ascii="仿宋" w:eastAsia="仿宋" w:hAnsi="仿宋" w:hint="eastAsia"/>
          <w:sz w:val="30"/>
          <w:szCs w:val="30"/>
        </w:rPr>
        <w:t>战略性新兴产业</w:t>
      </w:r>
      <w:r w:rsidR="0028356F" w:rsidRPr="00457E36">
        <w:rPr>
          <w:rFonts w:ascii="仿宋" w:eastAsia="仿宋" w:hAnsi="仿宋" w:hint="eastAsia"/>
          <w:sz w:val="30"/>
          <w:szCs w:val="30"/>
        </w:rPr>
        <w:t>上市公司</w:t>
      </w:r>
      <w:r w:rsidR="00106D81">
        <w:rPr>
          <w:rFonts w:ascii="仿宋" w:eastAsia="仿宋" w:hAnsi="仿宋" w:hint="eastAsia"/>
          <w:sz w:val="30"/>
          <w:szCs w:val="30"/>
        </w:rPr>
        <w:t>业绩均较2015年</w:t>
      </w:r>
      <w:r w:rsidR="00106D81">
        <w:rPr>
          <w:rFonts w:ascii="仿宋" w:eastAsia="仿宋" w:hAnsi="仿宋"/>
          <w:sz w:val="30"/>
          <w:szCs w:val="30"/>
        </w:rPr>
        <w:t>四季度末出现</w:t>
      </w:r>
      <w:r w:rsidR="00106D81">
        <w:rPr>
          <w:rFonts w:ascii="仿宋" w:eastAsia="仿宋" w:hAnsi="仿宋" w:hint="eastAsia"/>
          <w:sz w:val="30"/>
          <w:szCs w:val="30"/>
        </w:rPr>
        <w:t>提升</w:t>
      </w:r>
      <w:r w:rsidR="00BB7C3F">
        <w:rPr>
          <w:rFonts w:ascii="仿宋" w:eastAsia="仿宋" w:hAnsi="仿宋" w:hint="eastAsia"/>
          <w:sz w:val="30"/>
          <w:szCs w:val="30"/>
        </w:rPr>
        <w:t>，</w:t>
      </w:r>
      <w:r w:rsidR="00106D81">
        <w:rPr>
          <w:rFonts w:ascii="仿宋" w:eastAsia="仿宋" w:hAnsi="仿宋" w:hint="eastAsia"/>
          <w:sz w:val="30"/>
          <w:szCs w:val="30"/>
        </w:rPr>
        <w:t>表现</w:t>
      </w:r>
      <w:r w:rsidR="00106D81">
        <w:rPr>
          <w:rFonts w:ascii="仿宋" w:eastAsia="仿宋" w:hAnsi="仿宋"/>
          <w:sz w:val="30"/>
          <w:szCs w:val="30"/>
        </w:rPr>
        <w:t>优于</w:t>
      </w:r>
      <w:r w:rsidR="00106D81">
        <w:rPr>
          <w:rFonts w:ascii="仿宋" w:eastAsia="仿宋" w:hAnsi="仿宋" w:hint="eastAsia"/>
          <w:sz w:val="30"/>
          <w:szCs w:val="30"/>
        </w:rPr>
        <w:t>全国</w:t>
      </w:r>
      <w:r w:rsidR="00106D81">
        <w:rPr>
          <w:rFonts w:ascii="仿宋" w:eastAsia="仿宋" w:hAnsi="仿宋"/>
          <w:sz w:val="30"/>
          <w:szCs w:val="30"/>
        </w:rPr>
        <w:t>其他地区。</w:t>
      </w:r>
      <w:r w:rsidR="00106D81">
        <w:rPr>
          <w:rFonts w:ascii="仿宋" w:eastAsia="仿宋" w:hAnsi="仿宋" w:hint="eastAsia"/>
          <w:sz w:val="30"/>
          <w:szCs w:val="30"/>
        </w:rPr>
        <w:t>其中</w:t>
      </w:r>
      <w:r w:rsidR="00106D81">
        <w:rPr>
          <w:rFonts w:ascii="仿宋" w:eastAsia="仿宋" w:hAnsi="仿宋"/>
          <w:sz w:val="30"/>
          <w:szCs w:val="30"/>
        </w:rPr>
        <w:t>，</w:t>
      </w:r>
      <w:r w:rsidR="00BB7C3F" w:rsidRPr="006D1EF1">
        <w:rPr>
          <w:rFonts w:ascii="仿宋" w:eastAsia="仿宋" w:hAnsi="仿宋" w:hint="eastAsia"/>
          <w:b/>
          <w:sz w:val="30"/>
          <w:szCs w:val="30"/>
        </w:rPr>
        <w:t>中部地区</w:t>
      </w:r>
      <w:r w:rsidR="008A1608" w:rsidRPr="008A1608">
        <w:rPr>
          <w:rFonts w:ascii="仿宋" w:eastAsia="仿宋" w:hAnsi="仿宋" w:hint="eastAsia"/>
          <w:sz w:val="30"/>
          <w:szCs w:val="30"/>
        </w:rPr>
        <w:t>战略性新兴产业</w:t>
      </w:r>
      <w:r w:rsidR="00756C94">
        <w:rPr>
          <w:rFonts w:ascii="仿宋" w:eastAsia="仿宋" w:hAnsi="仿宋" w:hint="eastAsia"/>
          <w:sz w:val="30"/>
          <w:szCs w:val="30"/>
        </w:rPr>
        <w:t>营收增速位居第一</w:t>
      </w:r>
      <w:r w:rsidR="008A1608">
        <w:rPr>
          <w:rFonts w:ascii="仿宋" w:eastAsia="仿宋" w:hAnsi="仿宋" w:hint="eastAsia"/>
          <w:sz w:val="30"/>
          <w:szCs w:val="30"/>
        </w:rPr>
        <w:t>，</w:t>
      </w:r>
      <w:r w:rsidR="00756C94">
        <w:rPr>
          <w:rFonts w:ascii="仿宋" w:eastAsia="仿宋" w:hAnsi="仿宋" w:hint="eastAsia"/>
          <w:sz w:val="30"/>
          <w:szCs w:val="30"/>
        </w:rPr>
        <w:t>一</w:t>
      </w:r>
      <w:r w:rsidR="008A1608">
        <w:rPr>
          <w:rFonts w:ascii="仿宋" w:eastAsia="仿宋" w:hAnsi="仿宋" w:hint="eastAsia"/>
          <w:sz w:val="30"/>
          <w:szCs w:val="30"/>
        </w:rPr>
        <w:t>季度营收增速</w:t>
      </w:r>
      <w:r w:rsidR="00756C94">
        <w:rPr>
          <w:rFonts w:ascii="仿宋" w:eastAsia="仿宋" w:hAnsi="仿宋" w:hint="eastAsia"/>
          <w:sz w:val="30"/>
          <w:szCs w:val="30"/>
        </w:rPr>
        <w:t>为18.5</w:t>
      </w:r>
      <w:r w:rsidR="008A1608">
        <w:rPr>
          <w:rFonts w:ascii="仿宋" w:eastAsia="仿宋" w:hAnsi="仿宋" w:hint="eastAsia"/>
          <w:sz w:val="30"/>
          <w:szCs w:val="30"/>
        </w:rPr>
        <w:t>%，较</w:t>
      </w:r>
      <w:r w:rsidR="00E94D1C">
        <w:rPr>
          <w:rFonts w:ascii="仿宋" w:eastAsia="仿宋" w:hAnsi="仿宋" w:hint="eastAsia"/>
          <w:sz w:val="30"/>
          <w:szCs w:val="30"/>
        </w:rPr>
        <w:t>2015年</w:t>
      </w:r>
      <w:r w:rsidR="00756C94">
        <w:rPr>
          <w:rFonts w:ascii="仿宋" w:eastAsia="仿宋" w:hAnsi="仿宋" w:hint="eastAsia"/>
          <w:sz w:val="30"/>
          <w:szCs w:val="30"/>
        </w:rPr>
        <w:t>四季度</w:t>
      </w:r>
      <w:r w:rsidR="00E94D1C">
        <w:rPr>
          <w:rFonts w:ascii="仿宋" w:eastAsia="仿宋" w:hAnsi="仿宋" w:hint="eastAsia"/>
          <w:sz w:val="30"/>
          <w:szCs w:val="30"/>
        </w:rPr>
        <w:t>末</w:t>
      </w:r>
      <w:r w:rsidR="008A1608">
        <w:rPr>
          <w:rFonts w:ascii="仿宋" w:eastAsia="仿宋" w:hAnsi="仿宋" w:hint="eastAsia"/>
          <w:sz w:val="30"/>
          <w:szCs w:val="30"/>
        </w:rPr>
        <w:t>提升</w:t>
      </w:r>
      <w:r w:rsidR="00756C94">
        <w:rPr>
          <w:rFonts w:ascii="仿宋" w:eastAsia="仿宋" w:hAnsi="仿宋" w:hint="eastAsia"/>
          <w:sz w:val="30"/>
          <w:szCs w:val="30"/>
        </w:rPr>
        <w:t>3</w:t>
      </w:r>
      <w:r w:rsidR="008A1608">
        <w:rPr>
          <w:rFonts w:ascii="仿宋" w:eastAsia="仿宋" w:hAnsi="仿宋" w:hint="eastAsia"/>
          <w:sz w:val="30"/>
          <w:szCs w:val="30"/>
        </w:rPr>
        <w:t>个百分点</w:t>
      </w:r>
      <w:r w:rsidR="00010430" w:rsidRPr="002055E5">
        <w:rPr>
          <w:rFonts w:ascii="仿宋" w:eastAsia="仿宋" w:hAnsi="仿宋" w:hint="eastAsia"/>
          <w:sz w:val="30"/>
          <w:szCs w:val="30"/>
        </w:rPr>
        <w:t>（见图</w:t>
      </w:r>
      <w:r w:rsidR="00010430">
        <w:rPr>
          <w:rFonts w:ascii="仿宋" w:eastAsia="仿宋" w:hAnsi="仿宋" w:hint="eastAsia"/>
          <w:sz w:val="30"/>
          <w:szCs w:val="30"/>
        </w:rPr>
        <w:t>6</w:t>
      </w:r>
      <w:r w:rsidR="00010430" w:rsidRPr="002055E5">
        <w:rPr>
          <w:rFonts w:ascii="仿宋" w:eastAsia="仿宋" w:hAnsi="仿宋" w:hint="eastAsia"/>
          <w:sz w:val="30"/>
          <w:szCs w:val="30"/>
        </w:rPr>
        <w:t>）</w:t>
      </w:r>
      <w:r w:rsidR="0028356F" w:rsidRPr="00F35E6A">
        <w:rPr>
          <w:rFonts w:ascii="仿宋" w:eastAsia="仿宋" w:hAnsi="仿宋" w:hint="eastAsia"/>
          <w:sz w:val="30"/>
          <w:szCs w:val="30"/>
        </w:rPr>
        <w:t>。</w:t>
      </w:r>
      <w:r w:rsidR="00E94D1C">
        <w:rPr>
          <w:rFonts w:ascii="仿宋" w:eastAsia="仿宋" w:hAnsi="仿宋" w:hint="eastAsia"/>
          <w:sz w:val="30"/>
          <w:szCs w:val="30"/>
        </w:rPr>
        <w:t>中部地区内部</w:t>
      </w:r>
      <w:r w:rsidR="008A1608" w:rsidRPr="00D21AC2">
        <w:rPr>
          <w:rFonts w:ascii="仿宋" w:eastAsia="仿宋" w:hAnsi="仿宋" w:hint="eastAsia"/>
          <w:sz w:val="30"/>
          <w:szCs w:val="30"/>
        </w:rPr>
        <w:t>来看</w:t>
      </w:r>
      <w:r w:rsidR="00473513" w:rsidRPr="00D21AC2">
        <w:rPr>
          <w:rFonts w:ascii="仿宋" w:eastAsia="仿宋" w:hAnsi="仿宋" w:hint="eastAsia"/>
          <w:sz w:val="30"/>
          <w:szCs w:val="30"/>
        </w:rPr>
        <w:t>，</w:t>
      </w:r>
      <w:r w:rsidR="007B54C4" w:rsidRPr="00D21AC2">
        <w:rPr>
          <w:rFonts w:ascii="仿宋" w:eastAsia="仿宋" w:hAnsi="仿宋" w:hint="eastAsia"/>
          <w:sz w:val="30"/>
          <w:szCs w:val="30"/>
        </w:rPr>
        <w:t>新能源和生物</w:t>
      </w:r>
      <w:r w:rsidR="00473513" w:rsidRPr="00D21AC2">
        <w:rPr>
          <w:rFonts w:ascii="仿宋" w:eastAsia="仿宋" w:hAnsi="仿宋" w:hint="eastAsia"/>
          <w:sz w:val="30"/>
          <w:szCs w:val="30"/>
        </w:rPr>
        <w:t>产业</w:t>
      </w:r>
      <w:r w:rsidR="00112732" w:rsidRPr="00D21AC2">
        <w:rPr>
          <w:rFonts w:ascii="仿宋" w:eastAsia="仿宋" w:hAnsi="仿宋" w:hint="eastAsia"/>
          <w:sz w:val="30"/>
          <w:szCs w:val="30"/>
        </w:rPr>
        <w:t>两大产业营收分别增长</w:t>
      </w:r>
      <w:r w:rsidR="007B54C4" w:rsidRPr="00D21AC2">
        <w:rPr>
          <w:rFonts w:ascii="仿宋" w:eastAsia="仿宋" w:hAnsi="仿宋" w:hint="eastAsia"/>
          <w:sz w:val="30"/>
          <w:szCs w:val="30"/>
        </w:rPr>
        <w:t>52.4</w:t>
      </w:r>
      <w:r w:rsidR="00112732" w:rsidRPr="00D21AC2">
        <w:rPr>
          <w:rFonts w:ascii="仿宋" w:eastAsia="仿宋" w:hAnsi="仿宋" w:hint="eastAsia"/>
          <w:sz w:val="30"/>
          <w:szCs w:val="30"/>
        </w:rPr>
        <w:t>%和</w:t>
      </w:r>
      <w:r w:rsidR="007B54C4" w:rsidRPr="00D21AC2">
        <w:rPr>
          <w:rFonts w:ascii="仿宋" w:eastAsia="仿宋" w:hAnsi="仿宋" w:hint="eastAsia"/>
          <w:sz w:val="30"/>
          <w:szCs w:val="30"/>
        </w:rPr>
        <w:t>29.4</w:t>
      </w:r>
      <w:r w:rsidR="00112732" w:rsidRPr="00D21AC2">
        <w:rPr>
          <w:rFonts w:ascii="仿宋" w:eastAsia="仿宋" w:hAnsi="仿宋" w:hint="eastAsia"/>
          <w:sz w:val="30"/>
          <w:szCs w:val="30"/>
        </w:rPr>
        <w:t>%</w:t>
      </w:r>
      <w:r w:rsidR="00E94D1C">
        <w:rPr>
          <w:rFonts w:ascii="仿宋" w:eastAsia="仿宋" w:hAnsi="仿宋" w:hint="eastAsia"/>
          <w:sz w:val="30"/>
          <w:szCs w:val="30"/>
        </w:rPr>
        <w:t>，</w:t>
      </w:r>
      <w:r w:rsidR="00E94D1C">
        <w:rPr>
          <w:rFonts w:ascii="仿宋" w:eastAsia="仿宋" w:hAnsi="仿宋"/>
          <w:sz w:val="30"/>
          <w:szCs w:val="30"/>
        </w:rPr>
        <w:t>成为主要增长动力</w:t>
      </w:r>
      <w:r w:rsidR="007B54C4" w:rsidRPr="00D21AC2">
        <w:rPr>
          <w:rFonts w:ascii="仿宋" w:eastAsia="仿宋" w:hAnsi="仿宋" w:hint="eastAsia"/>
          <w:sz w:val="30"/>
          <w:szCs w:val="30"/>
        </w:rPr>
        <w:t>；</w:t>
      </w:r>
      <w:r w:rsidR="00E94D1C">
        <w:rPr>
          <w:rFonts w:ascii="仿宋" w:eastAsia="仿宋" w:hAnsi="仿宋" w:hint="eastAsia"/>
          <w:sz w:val="30"/>
          <w:szCs w:val="30"/>
        </w:rPr>
        <w:t>同时，</w:t>
      </w:r>
      <w:r w:rsidR="002055E5" w:rsidRPr="00D21AC2">
        <w:rPr>
          <w:rFonts w:ascii="仿宋" w:eastAsia="仿宋" w:hAnsi="仿宋" w:hint="eastAsia"/>
          <w:sz w:val="30"/>
          <w:szCs w:val="30"/>
        </w:rPr>
        <w:t>中部地区中安徽省</w:t>
      </w:r>
      <w:r w:rsidR="006D7DBA">
        <w:rPr>
          <w:rFonts w:ascii="仿宋" w:eastAsia="仿宋" w:hAnsi="仿宋" w:hint="eastAsia"/>
          <w:sz w:val="30"/>
          <w:szCs w:val="30"/>
        </w:rPr>
        <w:t>和</w:t>
      </w:r>
      <w:r w:rsidR="00D21AC2" w:rsidRPr="00D21AC2">
        <w:rPr>
          <w:rFonts w:ascii="仿宋" w:eastAsia="仿宋" w:hAnsi="仿宋" w:hint="eastAsia"/>
          <w:sz w:val="30"/>
          <w:szCs w:val="30"/>
        </w:rPr>
        <w:t>湖北</w:t>
      </w:r>
      <w:r w:rsidR="002055E5" w:rsidRPr="00D21AC2">
        <w:rPr>
          <w:rFonts w:ascii="仿宋" w:eastAsia="仿宋" w:hAnsi="仿宋" w:hint="eastAsia"/>
          <w:sz w:val="30"/>
          <w:szCs w:val="30"/>
        </w:rPr>
        <w:t>省增长最快。</w:t>
      </w:r>
      <w:r w:rsidR="00392DC7" w:rsidRPr="006D1EF1">
        <w:rPr>
          <w:rFonts w:ascii="仿宋" w:eastAsia="仿宋" w:hAnsi="仿宋" w:hint="eastAsia"/>
          <w:b/>
          <w:sz w:val="30"/>
          <w:szCs w:val="30"/>
        </w:rPr>
        <w:t>东部地区</w:t>
      </w:r>
      <w:r w:rsidR="00392DC7">
        <w:rPr>
          <w:rFonts w:ascii="仿宋" w:eastAsia="仿宋" w:hAnsi="仿宋" w:hint="eastAsia"/>
          <w:sz w:val="30"/>
          <w:szCs w:val="30"/>
        </w:rPr>
        <w:t>战略性新兴产业营收增速延续前三个季度的增长态势，实现连续四个季度提升，以17.6%的营收增速位列第二。</w:t>
      </w:r>
      <w:r w:rsidR="006D1EF1">
        <w:rPr>
          <w:rFonts w:ascii="仿宋" w:eastAsia="仿宋" w:hAnsi="仿宋" w:hint="eastAsia"/>
          <w:sz w:val="30"/>
          <w:szCs w:val="30"/>
        </w:rPr>
        <w:t>东部地区内部</w:t>
      </w:r>
      <w:r w:rsidR="006D1EF1" w:rsidRPr="00D21AC2">
        <w:rPr>
          <w:rFonts w:ascii="仿宋" w:eastAsia="仿宋" w:hAnsi="仿宋" w:hint="eastAsia"/>
          <w:sz w:val="30"/>
          <w:szCs w:val="30"/>
        </w:rPr>
        <w:t>来看，</w:t>
      </w:r>
      <w:r w:rsidR="00281088" w:rsidRPr="007A3BA7">
        <w:rPr>
          <w:rFonts w:ascii="仿宋" w:eastAsia="仿宋" w:hAnsi="仿宋" w:hint="eastAsia"/>
          <w:sz w:val="30"/>
          <w:szCs w:val="30"/>
        </w:rPr>
        <w:t>一季度</w:t>
      </w:r>
      <w:r w:rsidR="00D21AC2" w:rsidRPr="007A3BA7">
        <w:rPr>
          <w:rFonts w:ascii="仿宋" w:eastAsia="仿宋" w:hAnsi="仿宋" w:hint="eastAsia"/>
          <w:sz w:val="30"/>
          <w:szCs w:val="30"/>
        </w:rPr>
        <w:t>除高端装备制造业增速下滑</w:t>
      </w:r>
      <w:r w:rsidR="009F3E5D">
        <w:rPr>
          <w:rFonts w:ascii="仿宋" w:eastAsia="仿宋" w:hAnsi="仿宋" w:hint="eastAsia"/>
          <w:sz w:val="30"/>
          <w:szCs w:val="30"/>
        </w:rPr>
        <w:t>外</w:t>
      </w:r>
      <w:r w:rsidR="00D21AC2" w:rsidRPr="007A3BA7">
        <w:rPr>
          <w:rFonts w:ascii="仿宋" w:eastAsia="仿宋" w:hAnsi="仿宋" w:hint="eastAsia"/>
          <w:sz w:val="30"/>
          <w:szCs w:val="30"/>
        </w:rPr>
        <w:t>，其余产业均稳步增长，其中新能源、节能环保与新一代信息技术实现快速发展</w:t>
      </w:r>
      <w:r w:rsidR="00E64C5E" w:rsidRPr="007A3BA7">
        <w:rPr>
          <w:rFonts w:ascii="仿宋" w:eastAsia="仿宋" w:hAnsi="仿宋" w:hint="eastAsia"/>
          <w:sz w:val="30"/>
          <w:szCs w:val="30"/>
        </w:rPr>
        <w:t>，一季度营收分别增长26.6%、24.5%和23.3%</w:t>
      </w:r>
      <w:r w:rsidR="00281088" w:rsidRPr="007A3BA7">
        <w:rPr>
          <w:rFonts w:ascii="仿宋" w:eastAsia="仿宋" w:hAnsi="仿宋" w:hint="eastAsia"/>
          <w:sz w:val="30"/>
          <w:szCs w:val="30"/>
        </w:rPr>
        <w:t>；省份来看，</w:t>
      </w:r>
      <w:r w:rsidR="007A3BA7" w:rsidRPr="007A3BA7">
        <w:rPr>
          <w:rFonts w:ascii="仿宋" w:eastAsia="仿宋" w:hAnsi="仿宋" w:hint="eastAsia"/>
          <w:sz w:val="30"/>
          <w:szCs w:val="30"/>
        </w:rPr>
        <w:t>东部地区中上海、北京</w:t>
      </w:r>
      <w:r w:rsidR="00A855E0">
        <w:rPr>
          <w:rFonts w:ascii="仿宋" w:eastAsia="仿宋" w:hAnsi="仿宋" w:hint="eastAsia"/>
          <w:sz w:val="30"/>
          <w:szCs w:val="30"/>
        </w:rPr>
        <w:t>以及江苏</w:t>
      </w:r>
      <w:r w:rsidR="007A3BA7" w:rsidRPr="007A3BA7">
        <w:rPr>
          <w:rFonts w:ascii="仿宋" w:eastAsia="仿宋" w:hAnsi="仿宋" w:hint="eastAsia"/>
          <w:sz w:val="30"/>
          <w:szCs w:val="30"/>
        </w:rPr>
        <w:t>增长最快。</w:t>
      </w:r>
      <w:r w:rsidR="00A855E0" w:rsidRPr="00A855E0">
        <w:rPr>
          <w:rFonts w:ascii="仿宋" w:eastAsia="仿宋" w:hAnsi="仿宋" w:hint="eastAsia"/>
          <w:b/>
          <w:sz w:val="30"/>
          <w:szCs w:val="30"/>
        </w:rPr>
        <w:t>西部地区</w:t>
      </w:r>
      <w:r w:rsidR="00DF6622">
        <w:rPr>
          <w:rFonts w:ascii="仿宋" w:eastAsia="仿宋" w:hAnsi="仿宋" w:hint="eastAsia"/>
          <w:sz w:val="30"/>
          <w:szCs w:val="30"/>
        </w:rPr>
        <w:t>受生物</w:t>
      </w:r>
      <w:r w:rsidR="009F2FE4">
        <w:rPr>
          <w:rFonts w:ascii="仿宋" w:eastAsia="仿宋" w:hAnsi="仿宋" w:hint="eastAsia"/>
          <w:sz w:val="30"/>
          <w:szCs w:val="30"/>
        </w:rPr>
        <w:t>和</w:t>
      </w:r>
      <w:r w:rsidR="00DF6622">
        <w:rPr>
          <w:rFonts w:ascii="仿宋" w:eastAsia="仿宋" w:hAnsi="仿宋" w:hint="eastAsia"/>
          <w:sz w:val="30"/>
          <w:szCs w:val="30"/>
        </w:rPr>
        <w:t>节能环保</w:t>
      </w:r>
      <w:r w:rsidR="006D7DBA">
        <w:rPr>
          <w:rFonts w:ascii="仿宋" w:eastAsia="仿宋" w:hAnsi="仿宋" w:hint="eastAsia"/>
          <w:sz w:val="30"/>
          <w:szCs w:val="30"/>
        </w:rPr>
        <w:t>产业</w:t>
      </w:r>
      <w:r w:rsidR="00DF6622">
        <w:rPr>
          <w:rFonts w:ascii="仿宋" w:eastAsia="仿宋" w:hAnsi="仿宋" w:hint="eastAsia"/>
          <w:sz w:val="30"/>
          <w:szCs w:val="30"/>
        </w:rPr>
        <w:t>增速大幅下滑的影响，一季度战略性新兴产业营收增速回落至14.7%，低于</w:t>
      </w:r>
      <w:r w:rsidR="00A855E0">
        <w:rPr>
          <w:rFonts w:ascii="仿宋" w:eastAsia="仿宋" w:hAnsi="仿宋" w:hint="eastAsia"/>
          <w:sz w:val="30"/>
          <w:szCs w:val="30"/>
        </w:rPr>
        <w:t>2015年</w:t>
      </w:r>
      <w:r w:rsidR="00DF6622">
        <w:rPr>
          <w:rFonts w:ascii="仿宋" w:eastAsia="仿宋" w:hAnsi="仿宋" w:hint="eastAsia"/>
          <w:sz w:val="30"/>
          <w:szCs w:val="30"/>
        </w:rPr>
        <w:t>四季度</w:t>
      </w:r>
      <w:r w:rsidR="00A855E0">
        <w:rPr>
          <w:rFonts w:ascii="仿宋" w:eastAsia="仿宋" w:hAnsi="仿宋" w:hint="eastAsia"/>
          <w:sz w:val="30"/>
          <w:szCs w:val="30"/>
        </w:rPr>
        <w:t>末</w:t>
      </w:r>
      <w:r w:rsidR="00DF6622">
        <w:rPr>
          <w:rFonts w:ascii="仿宋" w:eastAsia="仿宋" w:hAnsi="仿宋" w:hint="eastAsia"/>
          <w:sz w:val="30"/>
          <w:szCs w:val="30"/>
        </w:rPr>
        <w:t>3个百分点，较去年同期下降7.4个百分点。</w:t>
      </w:r>
      <w:r w:rsidR="00ED28C7" w:rsidRPr="00A855E0">
        <w:rPr>
          <w:rFonts w:ascii="仿宋" w:eastAsia="仿宋" w:hAnsi="仿宋" w:hint="eastAsia"/>
          <w:b/>
          <w:sz w:val="30"/>
          <w:szCs w:val="30"/>
        </w:rPr>
        <w:t>东北地区</w:t>
      </w:r>
      <w:r w:rsidR="00ED28C7">
        <w:rPr>
          <w:rFonts w:ascii="仿宋" w:eastAsia="仿宋" w:hAnsi="仿宋" w:hint="eastAsia"/>
          <w:sz w:val="30"/>
          <w:szCs w:val="30"/>
        </w:rPr>
        <w:t>战略性新兴产业营收增速依然处于全国末位，</w:t>
      </w:r>
      <w:r w:rsidR="002055E5" w:rsidRPr="008A64A1">
        <w:rPr>
          <w:rFonts w:ascii="仿宋" w:eastAsia="仿宋" w:hAnsi="仿宋" w:hint="eastAsia"/>
          <w:sz w:val="30"/>
          <w:szCs w:val="30"/>
        </w:rPr>
        <w:t>上市公司</w:t>
      </w:r>
      <w:r w:rsidR="002055E5" w:rsidRPr="002055E5">
        <w:rPr>
          <w:rFonts w:ascii="仿宋" w:eastAsia="仿宋" w:hAnsi="仿宋" w:hint="eastAsia"/>
          <w:sz w:val="30"/>
          <w:szCs w:val="30"/>
        </w:rPr>
        <w:t>营收</w:t>
      </w:r>
      <w:r w:rsidR="00A855E0">
        <w:rPr>
          <w:rFonts w:ascii="仿宋" w:eastAsia="仿宋" w:hAnsi="仿宋" w:hint="eastAsia"/>
          <w:sz w:val="30"/>
          <w:szCs w:val="30"/>
        </w:rPr>
        <w:t>增速</w:t>
      </w:r>
      <w:r w:rsidR="00ED28C7">
        <w:rPr>
          <w:rFonts w:ascii="仿宋" w:eastAsia="仿宋" w:hAnsi="仿宋" w:hint="eastAsia"/>
          <w:sz w:val="30"/>
          <w:szCs w:val="30"/>
        </w:rPr>
        <w:t>进一步滑落</w:t>
      </w:r>
      <w:r w:rsidR="00D00337">
        <w:rPr>
          <w:rFonts w:ascii="仿宋" w:eastAsia="仿宋" w:hAnsi="仿宋" w:hint="eastAsia"/>
          <w:sz w:val="30"/>
          <w:szCs w:val="30"/>
        </w:rPr>
        <w:t>至</w:t>
      </w:r>
      <w:r w:rsidR="00ED28C7">
        <w:rPr>
          <w:rFonts w:ascii="仿宋" w:eastAsia="仿宋" w:hAnsi="仿宋" w:hint="eastAsia"/>
          <w:sz w:val="30"/>
          <w:szCs w:val="30"/>
        </w:rPr>
        <w:t>-2.8</w:t>
      </w:r>
      <w:r w:rsidR="002055E5" w:rsidRPr="002055E5">
        <w:rPr>
          <w:rFonts w:ascii="仿宋" w:eastAsia="仿宋" w:hAnsi="仿宋" w:hint="eastAsia"/>
          <w:sz w:val="30"/>
          <w:szCs w:val="30"/>
        </w:rPr>
        <w:t>%</w:t>
      </w:r>
      <w:r w:rsidR="00A04D33">
        <w:rPr>
          <w:rFonts w:ascii="仿宋" w:eastAsia="仿宋" w:hAnsi="仿宋" w:hint="eastAsia"/>
          <w:sz w:val="30"/>
          <w:szCs w:val="30"/>
        </w:rPr>
        <w:t>，</w:t>
      </w:r>
      <w:r w:rsidR="006A6F16">
        <w:rPr>
          <w:rFonts w:ascii="仿宋" w:eastAsia="仿宋" w:hAnsi="仿宋" w:hint="eastAsia"/>
          <w:sz w:val="30"/>
          <w:szCs w:val="30"/>
        </w:rPr>
        <w:t>其中</w:t>
      </w:r>
      <w:r w:rsidR="00A04D33">
        <w:rPr>
          <w:rFonts w:ascii="仿宋" w:eastAsia="仿宋" w:hAnsi="仿宋" w:hint="eastAsia"/>
          <w:sz w:val="30"/>
          <w:szCs w:val="30"/>
        </w:rPr>
        <w:t>黑龙江省和吉林省</w:t>
      </w:r>
      <w:r w:rsidR="00A855E0">
        <w:rPr>
          <w:rFonts w:ascii="仿宋" w:eastAsia="仿宋" w:hAnsi="仿宋" w:hint="eastAsia"/>
          <w:sz w:val="30"/>
          <w:szCs w:val="30"/>
        </w:rPr>
        <w:t>战略性新兴产业</w:t>
      </w:r>
      <w:r w:rsidR="006A6F16">
        <w:rPr>
          <w:rFonts w:ascii="仿宋" w:eastAsia="仿宋" w:hAnsi="仿宋" w:hint="eastAsia"/>
          <w:sz w:val="30"/>
          <w:szCs w:val="30"/>
        </w:rPr>
        <w:t>上市公司</w:t>
      </w:r>
      <w:r w:rsidR="00D7391F">
        <w:rPr>
          <w:rFonts w:ascii="仿宋" w:eastAsia="仿宋" w:hAnsi="仿宋" w:hint="eastAsia"/>
          <w:sz w:val="30"/>
          <w:szCs w:val="30"/>
        </w:rPr>
        <w:t>营收</w:t>
      </w:r>
      <w:r w:rsidR="006A6F16">
        <w:rPr>
          <w:rFonts w:ascii="仿宋" w:eastAsia="仿宋" w:hAnsi="仿宋" w:hint="eastAsia"/>
          <w:sz w:val="30"/>
          <w:szCs w:val="30"/>
        </w:rPr>
        <w:t>均</w:t>
      </w:r>
      <w:r w:rsidR="006A6F16">
        <w:rPr>
          <w:rFonts w:ascii="仿宋" w:eastAsia="仿宋" w:hAnsi="仿宋"/>
          <w:sz w:val="30"/>
          <w:szCs w:val="30"/>
        </w:rPr>
        <w:t>出现</w:t>
      </w:r>
      <w:r w:rsidR="00A855E0">
        <w:rPr>
          <w:rFonts w:ascii="仿宋" w:eastAsia="仿宋" w:hAnsi="仿宋" w:hint="eastAsia"/>
          <w:sz w:val="30"/>
          <w:szCs w:val="30"/>
        </w:rPr>
        <w:t>负增长</w:t>
      </w:r>
      <w:r w:rsidR="002055E5" w:rsidRPr="002055E5">
        <w:rPr>
          <w:rFonts w:ascii="仿宋" w:eastAsia="仿宋" w:hAnsi="仿宋" w:hint="eastAsia"/>
          <w:sz w:val="30"/>
          <w:szCs w:val="30"/>
        </w:rPr>
        <w:t>。</w:t>
      </w:r>
    </w:p>
    <w:p w:rsidR="00CD6273" w:rsidRDefault="008164BD" w:rsidP="000E728A">
      <w:pPr>
        <w:spacing w:beforeLines="100" w:before="312" w:line="360" w:lineRule="auto"/>
        <w:rPr>
          <w:rFonts w:ascii="仿宋" w:eastAsia="仿宋" w:hAnsi="仿宋"/>
          <w:b/>
          <w:sz w:val="30"/>
          <w:szCs w:val="30"/>
        </w:rPr>
      </w:pPr>
      <w:r w:rsidRPr="00FA70DE">
        <w:rPr>
          <w:rFonts w:ascii="黑体" w:eastAsia="黑体" w:hAnsi="黑体"/>
          <w:b/>
          <w:noProof/>
          <w:sz w:val="28"/>
          <w:szCs w:val="28"/>
        </w:rPr>
        <w:drawing>
          <wp:anchor distT="0" distB="0" distL="114300" distR="114300" simplePos="0" relativeHeight="251628544" behindDoc="0" locked="0" layoutInCell="1" allowOverlap="1" wp14:anchorId="6648FD92" wp14:editId="1934AE72">
            <wp:simplePos x="0" y="0"/>
            <wp:positionH relativeFrom="column">
              <wp:posOffset>309245</wp:posOffset>
            </wp:positionH>
            <wp:positionV relativeFrom="paragraph">
              <wp:posOffset>15875</wp:posOffset>
            </wp:positionV>
            <wp:extent cx="5114925" cy="1813560"/>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D6273" w:rsidRDefault="00CD6273" w:rsidP="00AF3852">
      <w:pPr>
        <w:spacing w:beforeLines="100" w:before="312" w:line="360" w:lineRule="auto"/>
        <w:rPr>
          <w:rFonts w:ascii="仿宋" w:eastAsia="仿宋" w:hAnsi="仿宋"/>
          <w:b/>
          <w:sz w:val="30"/>
          <w:szCs w:val="30"/>
        </w:rPr>
      </w:pPr>
    </w:p>
    <w:p w:rsidR="00473513" w:rsidRDefault="00EC78E7" w:rsidP="00AF3852">
      <w:pPr>
        <w:spacing w:beforeLines="100" w:before="312" w:line="360" w:lineRule="auto"/>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503555</wp:posOffset>
                </wp:positionV>
                <wp:extent cx="5247640" cy="2819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9D5" w:rsidRPr="00F11A1B" w:rsidRDefault="005269D5" w:rsidP="00C2122B">
                            <w:pPr>
                              <w:jc w:val="center"/>
                              <w:rPr>
                                <w:b/>
                              </w:rPr>
                            </w:pPr>
                            <w:r w:rsidRPr="00F11A1B">
                              <w:rPr>
                                <w:rFonts w:hint="eastAsia"/>
                                <w:b/>
                              </w:rPr>
                              <w:t>图</w:t>
                            </w:r>
                            <w:r w:rsidR="00211C7E">
                              <w:rPr>
                                <w:b/>
                              </w:rPr>
                              <w:t>6</w:t>
                            </w:r>
                            <w:r w:rsidR="00993838">
                              <w:rPr>
                                <w:rFonts w:hint="eastAsia"/>
                                <w:b/>
                              </w:rPr>
                              <w:t xml:space="preserve"> </w:t>
                            </w:r>
                            <w:r w:rsidR="00781008">
                              <w:rPr>
                                <w:b/>
                              </w:rPr>
                              <w:t xml:space="preserve"> </w:t>
                            </w:r>
                            <w:r w:rsidR="0028356F">
                              <w:rPr>
                                <w:rFonts w:hint="eastAsia"/>
                                <w:b/>
                              </w:rPr>
                              <w:t>各地区</w:t>
                            </w:r>
                            <w:r w:rsidRPr="00AF5D38">
                              <w:rPr>
                                <w:rFonts w:hint="eastAsia"/>
                                <w:b/>
                              </w:rPr>
                              <w:t>战略性新兴产业上市公司</w:t>
                            </w:r>
                            <w:r>
                              <w:rPr>
                                <w:rFonts w:hint="eastAsia"/>
                                <w:b/>
                              </w:rPr>
                              <w:t>营收增速对比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left:0;text-align:left;margin-left:25.15pt;margin-top:39.65pt;width:413.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cA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" stroked="f">
                <v:textbox>
                  <w:txbxContent>
                    <w:p w:rsidR="005269D5" w:rsidRPr="00F11A1B" w:rsidRDefault="005269D5" w:rsidP="00C2122B">
                      <w:pPr>
                        <w:jc w:val="center"/>
                        <w:rPr>
                          <w:b/>
                        </w:rPr>
                      </w:pPr>
                      <w:r w:rsidRPr="00F11A1B">
                        <w:rPr>
                          <w:rFonts w:hint="eastAsia"/>
                          <w:b/>
                        </w:rPr>
                        <w:t>图</w:t>
                      </w:r>
                      <w:r w:rsidR="00211C7E">
                        <w:rPr>
                          <w:b/>
                        </w:rPr>
                        <w:t>6</w:t>
                      </w:r>
                      <w:r w:rsidR="00993838">
                        <w:rPr>
                          <w:rFonts w:hint="eastAsia"/>
                          <w:b/>
                        </w:rPr>
                        <w:t xml:space="preserve"> </w:t>
                      </w:r>
                      <w:r w:rsidR="00781008">
                        <w:rPr>
                          <w:b/>
                        </w:rPr>
                        <w:t xml:space="preserve"> </w:t>
                      </w:r>
                      <w:r w:rsidR="0028356F">
                        <w:rPr>
                          <w:rFonts w:hint="eastAsia"/>
                          <w:b/>
                        </w:rPr>
                        <w:t>各地区</w:t>
                      </w:r>
                      <w:r w:rsidRPr="00AF5D38">
                        <w:rPr>
                          <w:rFonts w:hint="eastAsia"/>
                          <w:b/>
                        </w:rPr>
                        <w:t>战略性新兴产业上市公司</w:t>
                      </w:r>
                      <w:r>
                        <w:rPr>
                          <w:rFonts w:hint="eastAsia"/>
                          <w:b/>
                        </w:rPr>
                        <w:t>营收增速对比</w:t>
                      </w:r>
                    </w:p>
                  </w:txbxContent>
                </v:textbox>
              </v:shape>
            </w:pict>
          </mc:Fallback>
        </mc:AlternateContent>
      </w:r>
    </w:p>
    <w:p w:rsidR="00A8643B" w:rsidRDefault="00A8643B" w:rsidP="00A8643B">
      <w:pPr>
        <w:rPr>
          <w:rFonts w:ascii="仿宋" w:eastAsia="仿宋" w:hAnsi="仿宋"/>
          <w:sz w:val="30"/>
          <w:szCs w:val="30"/>
        </w:rPr>
      </w:pPr>
    </w:p>
    <w:p w:rsidR="00A8643B" w:rsidRDefault="00A8643B" w:rsidP="00A8643B">
      <w:pPr>
        <w:spacing w:beforeLines="100" w:before="312" w:line="360" w:lineRule="auto"/>
        <w:rPr>
          <w:rFonts w:ascii="仿宋" w:eastAsia="仿宋" w:hAnsi="仿宋"/>
          <w:b/>
          <w:sz w:val="30"/>
          <w:szCs w:val="30"/>
        </w:rPr>
      </w:pPr>
      <w:r>
        <w:rPr>
          <w:rFonts w:ascii="仿宋" w:eastAsia="仿宋" w:hAnsi="仿宋" w:hint="eastAsia"/>
          <w:b/>
          <w:sz w:val="30"/>
          <w:szCs w:val="30"/>
        </w:rPr>
        <w:lastRenderedPageBreak/>
        <w:t>二</w:t>
      </w:r>
      <w:r w:rsidRPr="0020765F">
        <w:rPr>
          <w:rFonts w:ascii="仿宋" w:eastAsia="仿宋" w:hAnsi="仿宋" w:hint="eastAsia"/>
          <w:b/>
          <w:sz w:val="30"/>
          <w:szCs w:val="30"/>
        </w:rPr>
        <w:t>、战略性新兴产业上市公司</w:t>
      </w:r>
      <w:r>
        <w:rPr>
          <w:rFonts w:ascii="仿宋" w:eastAsia="仿宋" w:hAnsi="仿宋" w:hint="eastAsia"/>
          <w:b/>
          <w:sz w:val="30"/>
          <w:szCs w:val="30"/>
        </w:rPr>
        <w:t>发展特征</w:t>
      </w:r>
    </w:p>
    <w:p w:rsidR="00A8643B" w:rsidRDefault="00A8643B" w:rsidP="00A8643B">
      <w:pPr>
        <w:spacing w:beforeLines="100" w:before="312" w:line="360" w:lineRule="auto"/>
        <w:rPr>
          <w:rFonts w:ascii="仿宋" w:eastAsia="仿宋" w:hAnsi="仿宋"/>
          <w:b/>
          <w:sz w:val="30"/>
          <w:szCs w:val="30"/>
        </w:rPr>
      </w:pPr>
      <w:r>
        <w:rPr>
          <w:rFonts w:ascii="仿宋" w:eastAsia="仿宋" w:hAnsi="仿宋" w:hint="eastAsia"/>
          <w:b/>
          <w:sz w:val="30"/>
          <w:szCs w:val="30"/>
        </w:rPr>
        <w:t>（一）风险</w:t>
      </w:r>
      <w:r>
        <w:rPr>
          <w:rFonts w:ascii="仿宋" w:eastAsia="仿宋" w:hAnsi="仿宋"/>
          <w:b/>
          <w:sz w:val="30"/>
          <w:szCs w:val="30"/>
        </w:rPr>
        <w:t>释放尚未到位，</w:t>
      </w:r>
      <w:r>
        <w:rPr>
          <w:rFonts w:ascii="仿宋" w:eastAsia="仿宋" w:hAnsi="仿宋" w:hint="eastAsia"/>
          <w:b/>
          <w:sz w:val="30"/>
          <w:szCs w:val="30"/>
        </w:rPr>
        <w:t>股价出现大幅回调</w:t>
      </w:r>
    </w:p>
    <w:p w:rsidR="00A8643B" w:rsidRDefault="003A3075" w:rsidP="00A8643B">
      <w:pPr>
        <w:spacing w:beforeLines="100" w:before="312" w:line="360" w:lineRule="auto"/>
        <w:ind w:firstLineChars="200" w:firstLine="600"/>
        <w:rPr>
          <w:rFonts w:ascii="仿宋" w:eastAsia="仿宋" w:hAnsi="仿宋"/>
          <w:sz w:val="30"/>
          <w:szCs w:val="30"/>
        </w:rPr>
      </w:pPr>
      <w:r>
        <w:rPr>
          <w:rFonts w:ascii="仿宋" w:eastAsia="仿宋" w:hAnsi="仿宋" w:hint="eastAsia"/>
          <w:sz w:val="30"/>
          <w:szCs w:val="30"/>
        </w:rPr>
        <w:t>2016年</w:t>
      </w:r>
      <w:r w:rsidR="00A8643B">
        <w:rPr>
          <w:rFonts w:ascii="仿宋" w:eastAsia="仿宋" w:hAnsi="仿宋" w:hint="eastAsia"/>
          <w:sz w:val="30"/>
          <w:szCs w:val="30"/>
        </w:rPr>
        <w:t>一</w:t>
      </w:r>
      <w:r w:rsidR="00A8643B" w:rsidRPr="008C0052">
        <w:rPr>
          <w:rFonts w:ascii="仿宋" w:eastAsia="仿宋" w:hAnsi="仿宋" w:hint="eastAsia"/>
          <w:sz w:val="30"/>
          <w:szCs w:val="30"/>
        </w:rPr>
        <w:t>季度</w:t>
      </w:r>
      <w:r w:rsidR="00A8643B" w:rsidRPr="00D44558">
        <w:rPr>
          <w:rFonts w:ascii="仿宋" w:eastAsia="仿宋" w:hAnsi="仿宋" w:hint="eastAsia"/>
          <w:sz w:val="30"/>
          <w:szCs w:val="30"/>
        </w:rPr>
        <w:t>，</w:t>
      </w:r>
      <w:r w:rsidR="00A8643B" w:rsidRPr="008C0052">
        <w:rPr>
          <w:rFonts w:ascii="仿宋" w:eastAsia="仿宋" w:hAnsi="仿宋" w:hint="eastAsia"/>
          <w:sz w:val="30"/>
          <w:szCs w:val="30"/>
        </w:rPr>
        <w:t>在</w:t>
      </w:r>
      <w:r w:rsidR="00A8643B">
        <w:rPr>
          <w:rFonts w:ascii="仿宋" w:eastAsia="仿宋" w:hAnsi="仿宋" w:hint="eastAsia"/>
          <w:sz w:val="30"/>
          <w:szCs w:val="30"/>
        </w:rPr>
        <w:t>总体</w:t>
      </w:r>
      <w:r w:rsidR="00A8643B">
        <w:rPr>
          <w:rFonts w:ascii="仿宋" w:eastAsia="仿宋" w:hAnsi="仿宋"/>
          <w:sz w:val="30"/>
          <w:szCs w:val="30"/>
        </w:rPr>
        <w:t>市场处于</w:t>
      </w:r>
      <w:r w:rsidR="00A8643B">
        <w:rPr>
          <w:rFonts w:ascii="仿宋" w:eastAsia="仿宋" w:hAnsi="仿宋" w:hint="eastAsia"/>
          <w:sz w:val="30"/>
          <w:szCs w:val="30"/>
        </w:rPr>
        <w:t>弱市环境</w:t>
      </w:r>
      <w:r w:rsidR="00A8643B">
        <w:rPr>
          <w:rFonts w:ascii="仿宋" w:eastAsia="仿宋" w:hAnsi="仿宋"/>
          <w:sz w:val="30"/>
          <w:szCs w:val="30"/>
        </w:rPr>
        <w:t>下，</w:t>
      </w:r>
      <w:r w:rsidR="00A8643B">
        <w:rPr>
          <w:rFonts w:ascii="仿宋" w:eastAsia="仿宋" w:hAnsi="仿宋" w:hint="eastAsia"/>
          <w:sz w:val="30"/>
          <w:szCs w:val="30"/>
        </w:rPr>
        <w:t>股价</w:t>
      </w:r>
      <w:r w:rsidR="00A8643B">
        <w:rPr>
          <w:rFonts w:ascii="仿宋" w:eastAsia="仿宋" w:hAnsi="仿宋"/>
          <w:sz w:val="30"/>
          <w:szCs w:val="30"/>
        </w:rPr>
        <w:t>下跌风险再次</w:t>
      </w:r>
      <w:r w:rsidR="00A8643B">
        <w:rPr>
          <w:rFonts w:ascii="仿宋" w:eastAsia="仿宋" w:hAnsi="仿宋" w:hint="eastAsia"/>
          <w:sz w:val="30"/>
          <w:szCs w:val="30"/>
        </w:rPr>
        <w:t>集中</w:t>
      </w:r>
      <w:r w:rsidR="00A8643B">
        <w:rPr>
          <w:rFonts w:ascii="仿宋" w:eastAsia="仿宋" w:hAnsi="仿宋"/>
          <w:sz w:val="30"/>
          <w:szCs w:val="30"/>
        </w:rPr>
        <w:t>释放</w:t>
      </w:r>
      <w:r w:rsidR="00A8643B" w:rsidRPr="00D44558">
        <w:rPr>
          <w:rFonts w:ascii="仿宋" w:eastAsia="仿宋" w:hAnsi="仿宋" w:hint="eastAsia"/>
          <w:sz w:val="30"/>
          <w:szCs w:val="30"/>
        </w:rPr>
        <w:t>，</w:t>
      </w:r>
      <w:r w:rsidR="00A8643B">
        <w:rPr>
          <w:rFonts w:ascii="仿宋" w:eastAsia="仿宋" w:hAnsi="仿宋" w:hint="eastAsia"/>
          <w:sz w:val="30"/>
          <w:szCs w:val="30"/>
        </w:rPr>
        <w:t>当季度上市公司</w:t>
      </w:r>
      <w:r w:rsidR="00A8643B">
        <w:rPr>
          <w:rFonts w:ascii="仿宋" w:eastAsia="仿宋" w:hAnsi="仿宋"/>
          <w:sz w:val="30"/>
          <w:szCs w:val="30"/>
        </w:rPr>
        <w:t>总体</w:t>
      </w:r>
      <w:r w:rsidR="00A8643B" w:rsidRPr="008C0052">
        <w:rPr>
          <w:rFonts w:ascii="仿宋" w:eastAsia="仿宋" w:hAnsi="仿宋" w:hint="eastAsia"/>
          <w:sz w:val="30"/>
          <w:szCs w:val="30"/>
        </w:rPr>
        <w:t>股价</w:t>
      </w:r>
      <w:r w:rsidR="00A8643B">
        <w:rPr>
          <w:rFonts w:ascii="仿宋" w:eastAsia="仿宋" w:hAnsi="仿宋" w:hint="eastAsia"/>
          <w:sz w:val="30"/>
          <w:szCs w:val="30"/>
        </w:rPr>
        <w:t>下滑15.7</w:t>
      </w:r>
      <w:r w:rsidR="00A8643B">
        <w:rPr>
          <w:rFonts w:ascii="仿宋" w:eastAsia="仿宋" w:hAnsi="仿宋"/>
          <w:sz w:val="30"/>
          <w:szCs w:val="30"/>
        </w:rPr>
        <w:t>%</w:t>
      </w:r>
      <w:r>
        <w:rPr>
          <w:rFonts w:ascii="仿宋" w:eastAsia="仿宋" w:hAnsi="仿宋" w:hint="eastAsia"/>
          <w:sz w:val="30"/>
          <w:szCs w:val="30"/>
        </w:rPr>
        <w:t>。</w:t>
      </w:r>
      <w:r w:rsidR="00A8643B">
        <w:rPr>
          <w:rFonts w:ascii="仿宋" w:eastAsia="仿宋" w:hAnsi="仿宋" w:hint="eastAsia"/>
          <w:sz w:val="30"/>
          <w:szCs w:val="30"/>
        </w:rPr>
        <w:t>同期，由于战略性新兴产业上市公司的高溢价导致股价</w:t>
      </w:r>
      <w:r w:rsidR="00A8643B" w:rsidRPr="008C0052">
        <w:rPr>
          <w:rFonts w:ascii="仿宋" w:eastAsia="仿宋" w:hAnsi="仿宋" w:hint="eastAsia"/>
          <w:sz w:val="30"/>
          <w:szCs w:val="30"/>
        </w:rPr>
        <w:t>出现</w:t>
      </w:r>
      <w:r w:rsidR="00A8643B">
        <w:rPr>
          <w:rFonts w:ascii="仿宋" w:eastAsia="仿宋" w:hAnsi="仿宋" w:hint="eastAsia"/>
          <w:sz w:val="30"/>
          <w:szCs w:val="30"/>
        </w:rPr>
        <w:t>更大幅度</w:t>
      </w:r>
      <w:r w:rsidR="00A8643B" w:rsidRPr="008C0052">
        <w:rPr>
          <w:rFonts w:ascii="仿宋" w:eastAsia="仿宋" w:hAnsi="仿宋" w:hint="eastAsia"/>
          <w:sz w:val="30"/>
          <w:szCs w:val="30"/>
        </w:rPr>
        <w:t>回撤</w:t>
      </w:r>
      <w:r w:rsidR="00A8643B" w:rsidRPr="00D44558">
        <w:rPr>
          <w:rFonts w:ascii="仿宋" w:eastAsia="仿宋" w:hAnsi="仿宋" w:hint="eastAsia"/>
          <w:sz w:val="30"/>
          <w:szCs w:val="30"/>
        </w:rPr>
        <w:t>，</w:t>
      </w:r>
      <w:r w:rsidR="00A8643B">
        <w:rPr>
          <w:rFonts w:ascii="仿宋" w:eastAsia="仿宋" w:hAnsi="仿宋" w:hint="eastAsia"/>
          <w:sz w:val="30"/>
          <w:szCs w:val="30"/>
        </w:rPr>
        <w:t>一</w:t>
      </w:r>
      <w:r w:rsidR="00A8643B" w:rsidRPr="008C0052">
        <w:rPr>
          <w:rFonts w:ascii="仿宋" w:eastAsia="仿宋" w:hAnsi="仿宋" w:hint="eastAsia"/>
          <w:sz w:val="30"/>
          <w:szCs w:val="30"/>
        </w:rPr>
        <w:t>季度</w:t>
      </w:r>
      <w:r w:rsidR="00A8643B" w:rsidRPr="00D44558">
        <w:rPr>
          <w:rFonts w:ascii="仿宋" w:eastAsia="仿宋" w:hAnsi="仿宋" w:hint="eastAsia"/>
          <w:sz w:val="30"/>
          <w:szCs w:val="30"/>
        </w:rPr>
        <w:t>股价</w:t>
      </w:r>
      <w:r w:rsidR="00A8643B">
        <w:rPr>
          <w:rFonts w:ascii="仿宋" w:eastAsia="仿宋" w:hAnsi="仿宋" w:hint="eastAsia"/>
          <w:sz w:val="30"/>
          <w:szCs w:val="30"/>
        </w:rPr>
        <w:t>下滑</w:t>
      </w:r>
      <w:r w:rsidR="00A8643B">
        <w:rPr>
          <w:rFonts w:ascii="仿宋" w:eastAsia="仿宋" w:hAnsi="仿宋"/>
          <w:sz w:val="30"/>
          <w:szCs w:val="30"/>
        </w:rPr>
        <w:t>18.7</w:t>
      </w:r>
      <w:r w:rsidR="00A8643B" w:rsidRPr="008C0052">
        <w:rPr>
          <w:rFonts w:ascii="仿宋" w:eastAsia="仿宋" w:hAnsi="仿宋"/>
          <w:sz w:val="30"/>
          <w:szCs w:val="30"/>
        </w:rPr>
        <w:t>%</w:t>
      </w:r>
      <w:r w:rsidR="00A8643B" w:rsidRPr="0000142B">
        <w:rPr>
          <w:rFonts w:ascii="仿宋" w:eastAsia="仿宋" w:hAnsi="仿宋" w:hint="eastAsia"/>
          <w:sz w:val="30"/>
          <w:szCs w:val="30"/>
        </w:rPr>
        <w:t>（见图</w:t>
      </w:r>
      <w:r w:rsidR="00046C54">
        <w:rPr>
          <w:rFonts w:ascii="仿宋" w:eastAsia="仿宋" w:hAnsi="仿宋"/>
          <w:sz w:val="30"/>
          <w:szCs w:val="30"/>
        </w:rPr>
        <w:t>7</w:t>
      </w:r>
      <w:r w:rsidR="00A8643B" w:rsidRPr="0000142B">
        <w:rPr>
          <w:rFonts w:ascii="仿宋" w:eastAsia="仿宋" w:hAnsi="仿宋" w:hint="eastAsia"/>
          <w:sz w:val="30"/>
          <w:szCs w:val="30"/>
        </w:rPr>
        <w:t>）</w:t>
      </w:r>
      <w:r w:rsidR="00A8643B" w:rsidRPr="008C0052">
        <w:rPr>
          <w:rFonts w:ascii="仿宋" w:eastAsia="仿宋" w:hAnsi="仿宋" w:hint="eastAsia"/>
          <w:sz w:val="30"/>
          <w:szCs w:val="30"/>
        </w:rPr>
        <w:t>。</w:t>
      </w:r>
      <w:r w:rsidR="00A8643B" w:rsidRPr="00465D24">
        <w:rPr>
          <w:rFonts w:ascii="仿宋" w:eastAsia="仿宋" w:hAnsi="仿宋" w:hint="eastAsia"/>
          <w:sz w:val="30"/>
          <w:szCs w:val="30"/>
        </w:rPr>
        <w:t>截止</w:t>
      </w:r>
      <w:r w:rsidR="00A8643B" w:rsidRPr="00465D24">
        <w:rPr>
          <w:rFonts w:ascii="仿宋" w:eastAsia="仿宋" w:hAnsi="仿宋"/>
          <w:sz w:val="30"/>
          <w:szCs w:val="30"/>
        </w:rPr>
        <w:t>201</w:t>
      </w:r>
      <w:r w:rsidR="00A8643B" w:rsidRPr="00465D24">
        <w:rPr>
          <w:rFonts w:ascii="仿宋" w:eastAsia="仿宋" w:hAnsi="仿宋" w:hint="eastAsia"/>
          <w:sz w:val="30"/>
          <w:szCs w:val="30"/>
        </w:rPr>
        <w:t>6</w:t>
      </w:r>
      <w:r w:rsidR="00A8643B" w:rsidRPr="00465D24">
        <w:rPr>
          <w:rFonts w:ascii="仿宋" w:eastAsia="仿宋" w:hAnsi="仿宋"/>
          <w:sz w:val="30"/>
          <w:szCs w:val="30"/>
        </w:rPr>
        <w:t>年</w:t>
      </w:r>
      <w:r w:rsidR="00A8643B" w:rsidRPr="00465D24">
        <w:rPr>
          <w:rFonts w:ascii="仿宋" w:eastAsia="仿宋" w:hAnsi="仿宋" w:hint="eastAsia"/>
          <w:sz w:val="30"/>
          <w:szCs w:val="30"/>
        </w:rPr>
        <w:t>3月底，战略性新兴产业上市公司市值达13.97万亿，占上市公司总市值的28.0</w:t>
      </w:r>
      <w:r w:rsidR="00A8643B" w:rsidRPr="00465D24">
        <w:rPr>
          <w:rFonts w:ascii="仿宋" w:eastAsia="仿宋" w:hAnsi="仿宋"/>
          <w:sz w:val="30"/>
          <w:szCs w:val="30"/>
        </w:rPr>
        <w:t>%,</w:t>
      </w:r>
      <w:r w:rsidR="00A8643B">
        <w:rPr>
          <w:rFonts w:ascii="仿宋" w:eastAsia="仿宋" w:hAnsi="仿宋" w:hint="eastAsia"/>
          <w:sz w:val="30"/>
          <w:szCs w:val="30"/>
        </w:rPr>
        <w:t>较2015年</w:t>
      </w:r>
      <w:r w:rsidR="00A8643B">
        <w:rPr>
          <w:rFonts w:ascii="仿宋" w:eastAsia="仿宋" w:hAnsi="仿宋"/>
          <w:sz w:val="30"/>
          <w:szCs w:val="30"/>
        </w:rPr>
        <w:t>年末下滑</w:t>
      </w:r>
      <w:r w:rsidR="00A8643B">
        <w:rPr>
          <w:rFonts w:ascii="仿宋" w:eastAsia="仿宋" w:hAnsi="仿宋" w:hint="eastAsia"/>
          <w:sz w:val="30"/>
          <w:szCs w:val="30"/>
        </w:rPr>
        <w:t>1</w:t>
      </w:r>
      <w:r w:rsidR="00A8643B">
        <w:rPr>
          <w:rFonts w:ascii="仿宋" w:eastAsia="仿宋" w:hAnsi="仿宋"/>
          <w:sz w:val="30"/>
          <w:szCs w:val="30"/>
        </w:rPr>
        <w:t>.0</w:t>
      </w:r>
      <w:r w:rsidR="00A8643B">
        <w:rPr>
          <w:rFonts w:ascii="仿宋" w:eastAsia="仿宋" w:hAnsi="仿宋" w:hint="eastAsia"/>
          <w:sz w:val="30"/>
          <w:szCs w:val="30"/>
        </w:rPr>
        <w:t>个</w:t>
      </w:r>
      <w:r w:rsidR="00A8643B">
        <w:rPr>
          <w:rFonts w:ascii="仿宋" w:eastAsia="仿宋" w:hAnsi="仿宋"/>
          <w:sz w:val="30"/>
          <w:szCs w:val="30"/>
        </w:rPr>
        <w:t>百分点，但</w:t>
      </w:r>
      <w:r w:rsidR="00A8643B" w:rsidRPr="00465D24">
        <w:rPr>
          <w:rFonts w:ascii="仿宋" w:eastAsia="仿宋" w:hAnsi="仿宋"/>
          <w:sz w:val="30"/>
          <w:szCs w:val="30"/>
        </w:rPr>
        <w:t>较</w:t>
      </w:r>
      <w:r w:rsidR="00A8643B" w:rsidRPr="00465D24">
        <w:rPr>
          <w:rFonts w:ascii="仿宋" w:eastAsia="仿宋" w:hAnsi="仿宋" w:hint="eastAsia"/>
          <w:sz w:val="30"/>
          <w:szCs w:val="30"/>
        </w:rPr>
        <w:t>2015年同期提升2.4</w:t>
      </w:r>
      <w:r w:rsidR="00A8643B" w:rsidRPr="00465D24">
        <w:rPr>
          <w:rFonts w:ascii="仿宋" w:eastAsia="仿宋" w:hAnsi="仿宋"/>
          <w:sz w:val="30"/>
          <w:szCs w:val="30"/>
        </w:rPr>
        <w:t>个百分点</w:t>
      </w:r>
      <w:r w:rsidR="00A8643B" w:rsidRPr="00465D24">
        <w:rPr>
          <w:rFonts w:ascii="仿宋" w:eastAsia="仿宋" w:hAnsi="仿宋" w:hint="eastAsia"/>
          <w:sz w:val="30"/>
          <w:szCs w:val="30"/>
        </w:rPr>
        <w:t>。</w:t>
      </w:r>
    </w:p>
    <w:p w:rsidR="00A8643B" w:rsidRDefault="00A8643B" w:rsidP="00A8643B">
      <w:pPr>
        <w:spacing w:beforeLines="100" w:before="312" w:line="360" w:lineRule="auto"/>
        <w:ind w:firstLineChars="200" w:firstLine="600"/>
        <w:rPr>
          <w:rFonts w:ascii="仿宋" w:eastAsia="仿宋" w:hAnsi="仿宋"/>
          <w:sz w:val="30"/>
          <w:szCs w:val="30"/>
        </w:rPr>
      </w:pPr>
      <w:r>
        <w:rPr>
          <w:rFonts w:ascii="仿宋" w:eastAsia="仿宋" w:hAnsi="仿宋"/>
          <w:noProof/>
          <w:color w:val="FF0000"/>
          <w:sz w:val="30"/>
          <w:szCs w:val="30"/>
        </w:rPr>
        <w:drawing>
          <wp:anchor distT="0" distB="0" distL="114300" distR="114300" simplePos="0" relativeHeight="251729920" behindDoc="0" locked="0" layoutInCell="1" allowOverlap="1" wp14:anchorId="0D090955" wp14:editId="2EB7AC84">
            <wp:simplePos x="0" y="0"/>
            <wp:positionH relativeFrom="column">
              <wp:posOffset>63500</wp:posOffset>
            </wp:positionH>
            <wp:positionV relativeFrom="paragraph">
              <wp:posOffset>24765</wp:posOffset>
            </wp:positionV>
            <wp:extent cx="5888990" cy="2870835"/>
            <wp:effectExtent l="0" t="0" r="0" b="0"/>
            <wp:wrapNone/>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8643B" w:rsidRDefault="00A8643B" w:rsidP="00A8643B">
      <w:pPr>
        <w:spacing w:beforeLines="100" w:before="312" w:line="360" w:lineRule="auto"/>
        <w:rPr>
          <w:rFonts w:ascii="仿宋" w:eastAsia="仿宋" w:hAnsi="仿宋"/>
          <w:b/>
          <w:sz w:val="30"/>
          <w:szCs w:val="30"/>
        </w:rPr>
      </w:pPr>
    </w:p>
    <w:p w:rsidR="00A8643B" w:rsidRDefault="00A8643B" w:rsidP="00A8643B">
      <w:pPr>
        <w:spacing w:beforeLines="100" w:before="312" w:line="360" w:lineRule="auto"/>
        <w:rPr>
          <w:rFonts w:ascii="仿宋" w:eastAsia="仿宋" w:hAnsi="仿宋"/>
          <w:b/>
          <w:sz w:val="30"/>
          <w:szCs w:val="30"/>
        </w:rPr>
      </w:pPr>
    </w:p>
    <w:p w:rsidR="00A8643B" w:rsidRDefault="00A8643B" w:rsidP="00A8643B">
      <w:pPr>
        <w:spacing w:beforeLines="100" w:before="312" w:line="360" w:lineRule="auto"/>
        <w:rPr>
          <w:rFonts w:ascii="仿宋" w:eastAsia="仿宋" w:hAnsi="仿宋"/>
          <w:b/>
          <w:sz w:val="30"/>
          <w:szCs w:val="30"/>
        </w:rPr>
      </w:pPr>
    </w:p>
    <w:p w:rsidR="00A8643B" w:rsidRDefault="00A8643B" w:rsidP="00A8643B">
      <w:pPr>
        <w:spacing w:beforeLines="100" w:before="312" w:line="360" w:lineRule="auto"/>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222250</wp:posOffset>
                </wp:positionV>
                <wp:extent cx="5247640" cy="358775"/>
                <wp:effectExtent l="0" t="0" r="0" b="317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290CC5" w:rsidRDefault="00A8643B" w:rsidP="00A8643B">
                            <w:pPr>
                              <w:jc w:val="center"/>
                            </w:pPr>
                            <w:r w:rsidRPr="00290CC5">
                              <w:rPr>
                                <w:rFonts w:hint="eastAsia"/>
                                <w:b/>
                              </w:rPr>
                              <w:t>图</w:t>
                            </w:r>
                            <w:r w:rsidR="00046C54">
                              <w:rPr>
                                <w:b/>
                              </w:rPr>
                              <w:t>7</w:t>
                            </w:r>
                            <w:r>
                              <w:rPr>
                                <w:rFonts w:hint="eastAsia"/>
                                <w:b/>
                              </w:rPr>
                              <w:t xml:space="preserve"> </w:t>
                            </w:r>
                            <w:r>
                              <w:rPr>
                                <w:b/>
                              </w:rPr>
                              <w:t xml:space="preserve"> </w:t>
                            </w:r>
                            <w:r>
                              <w:rPr>
                                <w:rFonts w:hint="eastAsia"/>
                                <w:b/>
                              </w:rPr>
                              <w:t>2013</w:t>
                            </w:r>
                            <w:r>
                              <w:rPr>
                                <w:rFonts w:hint="eastAsia"/>
                                <w:b/>
                              </w:rPr>
                              <w:t>年以来各季度</w:t>
                            </w:r>
                            <w:r w:rsidRPr="00290CC5">
                              <w:rPr>
                                <w:rFonts w:hint="eastAsia"/>
                                <w:b/>
                              </w:rPr>
                              <w:t>战略性新兴产业上市公司股价</w:t>
                            </w:r>
                            <w:r>
                              <w:rPr>
                                <w:rFonts w:hint="eastAsia"/>
                                <w:b/>
                              </w:rPr>
                              <w:t>较年初</w:t>
                            </w:r>
                            <w:r w:rsidRPr="00290CC5">
                              <w:rPr>
                                <w:rFonts w:hint="eastAsia"/>
                                <w:b/>
                              </w:rPr>
                              <w:t>涨幅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本框 28" o:spid="_x0000_s1032" type="#_x0000_t202" style="position:absolute;left:0;text-align:left;margin-left:362pt;margin-top:17.5pt;width:413.2pt;height:28.2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" stroked="f">
                <v:textbox>
                  <w:txbxContent>
                    <w:p w:rsidR="00A8643B" w:rsidRPr="00290CC5" w:rsidRDefault="00A8643B" w:rsidP="00A8643B">
                      <w:pPr>
                        <w:jc w:val="center"/>
                      </w:pPr>
                      <w:r w:rsidRPr="00290CC5">
                        <w:rPr>
                          <w:rFonts w:hint="eastAsia"/>
                          <w:b/>
                        </w:rPr>
                        <w:t>图</w:t>
                      </w:r>
                      <w:r w:rsidR="00046C54">
                        <w:rPr>
                          <w:b/>
                        </w:rPr>
                        <w:t>7</w:t>
                      </w:r>
                      <w:r>
                        <w:rPr>
                          <w:rFonts w:hint="eastAsia"/>
                          <w:b/>
                        </w:rPr>
                        <w:t xml:space="preserve"> </w:t>
                      </w:r>
                      <w:r>
                        <w:rPr>
                          <w:b/>
                        </w:rPr>
                        <w:t xml:space="preserve"> </w:t>
                      </w:r>
                      <w:r>
                        <w:rPr>
                          <w:rFonts w:hint="eastAsia"/>
                          <w:b/>
                        </w:rPr>
                        <w:t>2013</w:t>
                      </w:r>
                      <w:r>
                        <w:rPr>
                          <w:rFonts w:hint="eastAsia"/>
                          <w:b/>
                        </w:rPr>
                        <w:t>年以来各季度</w:t>
                      </w:r>
                      <w:r w:rsidRPr="00290CC5">
                        <w:rPr>
                          <w:rFonts w:hint="eastAsia"/>
                          <w:b/>
                        </w:rPr>
                        <w:t>战略性新兴产业上市公司股价</w:t>
                      </w:r>
                      <w:r>
                        <w:rPr>
                          <w:rFonts w:hint="eastAsia"/>
                          <w:b/>
                        </w:rPr>
                        <w:t>较年初</w:t>
                      </w:r>
                      <w:r w:rsidRPr="00290CC5">
                        <w:rPr>
                          <w:rFonts w:hint="eastAsia"/>
                          <w:b/>
                        </w:rPr>
                        <w:t>涨幅</w:t>
                      </w:r>
                    </w:p>
                  </w:txbxContent>
                </v:textbox>
                <w10:wrap anchorx="margin"/>
              </v:shape>
            </w:pict>
          </mc:Fallback>
        </mc:AlternateContent>
      </w:r>
    </w:p>
    <w:p w:rsidR="008A36E0" w:rsidRDefault="00DE09AD" w:rsidP="008A36E0">
      <w:pPr>
        <w:spacing w:beforeLines="100" w:before="312" w:line="360" w:lineRule="auto"/>
        <w:ind w:firstLineChars="200" w:firstLine="600"/>
        <w:rPr>
          <w:rFonts w:ascii="仿宋" w:eastAsia="仿宋" w:hAnsi="仿宋"/>
          <w:sz w:val="30"/>
          <w:szCs w:val="30"/>
        </w:rPr>
      </w:pPr>
      <w:r>
        <w:rPr>
          <w:rFonts w:ascii="仿宋" w:eastAsia="仿宋" w:hAnsi="仿宋" w:hint="eastAsia"/>
          <w:sz w:val="30"/>
          <w:szCs w:val="30"/>
        </w:rPr>
        <w:t>一</w:t>
      </w:r>
      <w:r w:rsidR="008A36E0">
        <w:rPr>
          <w:rFonts w:ascii="仿宋" w:eastAsia="仿宋" w:hAnsi="仿宋" w:hint="eastAsia"/>
          <w:sz w:val="30"/>
          <w:szCs w:val="30"/>
        </w:rPr>
        <w:t>季度</w:t>
      </w:r>
      <w:r w:rsidR="008A36E0" w:rsidRPr="00183709">
        <w:rPr>
          <w:rFonts w:ascii="仿宋" w:eastAsia="仿宋" w:hAnsi="仿宋" w:hint="eastAsia"/>
          <w:sz w:val="30"/>
          <w:szCs w:val="30"/>
        </w:rPr>
        <w:t>，</w:t>
      </w:r>
      <w:r w:rsidR="008A36E0">
        <w:rPr>
          <w:rFonts w:ascii="仿宋" w:eastAsia="仿宋" w:hAnsi="仿宋" w:hint="eastAsia"/>
          <w:sz w:val="30"/>
          <w:szCs w:val="30"/>
        </w:rPr>
        <w:t>战略性</w:t>
      </w:r>
      <w:r w:rsidR="008A36E0">
        <w:rPr>
          <w:rFonts w:ascii="仿宋" w:eastAsia="仿宋" w:hAnsi="仿宋"/>
          <w:sz w:val="30"/>
          <w:szCs w:val="30"/>
        </w:rPr>
        <w:t>新兴产业上市公司重点领域股价均出现较大幅度</w:t>
      </w:r>
      <w:r w:rsidR="008A36E0">
        <w:rPr>
          <w:rFonts w:ascii="仿宋" w:eastAsia="仿宋" w:hAnsi="仿宋" w:hint="eastAsia"/>
          <w:sz w:val="30"/>
          <w:szCs w:val="30"/>
        </w:rPr>
        <w:t>回落</w:t>
      </w:r>
      <w:r w:rsidR="008A36E0">
        <w:rPr>
          <w:rFonts w:ascii="仿宋" w:eastAsia="仿宋" w:hAnsi="仿宋"/>
          <w:sz w:val="30"/>
          <w:szCs w:val="30"/>
        </w:rPr>
        <w:t>。其中，</w:t>
      </w:r>
      <w:r w:rsidR="008A36E0">
        <w:rPr>
          <w:rFonts w:ascii="仿宋" w:eastAsia="仿宋" w:hAnsi="仿宋" w:hint="eastAsia"/>
          <w:sz w:val="30"/>
          <w:szCs w:val="30"/>
        </w:rPr>
        <w:t>新材料</w:t>
      </w:r>
      <w:r w:rsidR="008A36E0">
        <w:rPr>
          <w:rFonts w:ascii="仿宋" w:eastAsia="仿宋" w:hAnsi="仿宋"/>
          <w:sz w:val="30"/>
          <w:szCs w:val="30"/>
        </w:rPr>
        <w:t>、新一代信息技术上市公司股价表现</w:t>
      </w:r>
      <w:r w:rsidR="003C2F15">
        <w:rPr>
          <w:rFonts w:ascii="仿宋" w:eastAsia="仿宋" w:hAnsi="仿宋" w:hint="eastAsia"/>
          <w:sz w:val="30"/>
          <w:szCs w:val="30"/>
        </w:rPr>
        <w:t>略好</w:t>
      </w:r>
      <w:r w:rsidR="008A36E0">
        <w:rPr>
          <w:rFonts w:ascii="仿宋" w:eastAsia="仿宋" w:hAnsi="仿宋"/>
          <w:sz w:val="30"/>
          <w:szCs w:val="30"/>
        </w:rPr>
        <w:t>，当季股价下滑</w:t>
      </w:r>
      <w:r w:rsidR="008A36E0">
        <w:rPr>
          <w:rFonts w:ascii="仿宋" w:eastAsia="仿宋" w:hAnsi="仿宋" w:hint="eastAsia"/>
          <w:sz w:val="30"/>
          <w:szCs w:val="30"/>
        </w:rPr>
        <w:t>15.5</w:t>
      </w:r>
      <w:r w:rsidR="008A36E0">
        <w:rPr>
          <w:rFonts w:ascii="仿宋" w:eastAsia="仿宋" w:hAnsi="仿宋"/>
          <w:sz w:val="30"/>
          <w:szCs w:val="30"/>
        </w:rPr>
        <w:t>%和</w:t>
      </w:r>
      <w:r w:rsidR="008A36E0">
        <w:rPr>
          <w:rFonts w:ascii="仿宋" w:eastAsia="仿宋" w:hAnsi="仿宋" w:hint="eastAsia"/>
          <w:sz w:val="30"/>
          <w:szCs w:val="30"/>
        </w:rPr>
        <w:t>16.5</w:t>
      </w:r>
      <w:r w:rsidR="008A36E0">
        <w:rPr>
          <w:rFonts w:ascii="仿宋" w:eastAsia="仿宋" w:hAnsi="仿宋"/>
          <w:sz w:val="30"/>
          <w:szCs w:val="30"/>
        </w:rPr>
        <w:t>%，</w:t>
      </w:r>
      <w:r w:rsidR="008A36E0">
        <w:rPr>
          <w:rFonts w:ascii="仿宋" w:eastAsia="仿宋" w:hAnsi="仿宋" w:hint="eastAsia"/>
          <w:sz w:val="30"/>
          <w:szCs w:val="30"/>
        </w:rPr>
        <w:t>节能</w:t>
      </w:r>
      <w:r w:rsidR="008A36E0">
        <w:rPr>
          <w:rFonts w:ascii="仿宋" w:eastAsia="仿宋" w:hAnsi="仿宋"/>
          <w:sz w:val="30"/>
          <w:szCs w:val="30"/>
        </w:rPr>
        <w:t>环保以及生物上市公司股价下滑幅度较大，</w:t>
      </w:r>
      <w:r w:rsidR="008A36E0">
        <w:rPr>
          <w:rFonts w:ascii="仿宋" w:eastAsia="仿宋" w:hAnsi="仿宋" w:hint="eastAsia"/>
          <w:sz w:val="30"/>
          <w:szCs w:val="30"/>
        </w:rPr>
        <w:t>当季</w:t>
      </w:r>
      <w:r w:rsidR="008A36E0">
        <w:rPr>
          <w:rFonts w:ascii="仿宋" w:eastAsia="仿宋" w:hAnsi="仿宋"/>
          <w:sz w:val="30"/>
          <w:szCs w:val="30"/>
        </w:rPr>
        <w:t>股价</w:t>
      </w:r>
      <w:r w:rsidR="008A36E0">
        <w:rPr>
          <w:rFonts w:ascii="仿宋" w:eastAsia="仿宋" w:hAnsi="仿宋" w:hint="eastAsia"/>
          <w:sz w:val="30"/>
          <w:szCs w:val="30"/>
        </w:rPr>
        <w:t>分别</w:t>
      </w:r>
      <w:r w:rsidR="008A36E0">
        <w:rPr>
          <w:rFonts w:ascii="仿宋" w:eastAsia="仿宋" w:hAnsi="仿宋"/>
          <w:sz w:val="30"/>
          <w:szCs w:val="30"/>
        </w:rPr>
        <w:t>下滑</w:t>
      </w:r>
      <w:r w:rsidR="008A36E0">
        <w:rPr>
          <w:rFonts w:ascii="仿宋" w:eastAsia="仿宋" w:hAnsi="仿宋" w:hint="eastAsia"/>
          <w:sz w:val="30"/>
          <w:szCs w:val="30"/>
        </w:rPr>
        <w:t>18.7</w:t>
      </w:r>
      <w:r w:rsidR="008A36E0">
        <w:rPr>
          <w:rFonts w:ascii="仿宋" w:eastAsia="仿宋" w:hAnsi="仿宋"/>
          <w:sz w:val="30"/>
          <w:szCs w:val="30"/>
        </w:rPr>
        <w:t>%和</w:t>
      </w:r>
      <w:r w:rsidR="008A36E0">
        <w:rPr>
          <w:rFonts w:ascii="仿宋" w:eastAsia="仿宋" w:hAnsi="仿宋" w:hint="eastAsia"/>
          <w:sz w:val="30"/>
          <w:szCs w:val="30"/>
        </w:rPr>
        <w:t>18.4</w:t>
      </w:r>
      <w:r w:rsidR="008A36E0">
        <w:rPr>
          <w:rFonts w:ascii="仿宋" w:eastAsia="仿宋" w:hAnsi="仿宋"/>
          <w:sz w:val="30"/>
          <w:szCs w:val="30"/>
        </w:rPr>
        <w:t>%。</w:t>
      </w:r>
      <w:r w:rsidR="008A36E0">
        <w:rPr>
          <w:rFonts w:ascii="仿宋" w:eastAsia="仿宋" w:hAnsi="仿宋" w:hint="eastAsia"/>
          <w:sz w:val="30"/>
          <w:szCs w:val="30"/>
        </w:rPr>
        <w:t>从</w:t>
      </w:r>
      <w:r w:rsidR="008A36E0">
        <w:rPr>
          <w:rFonts w:ascii="仿宋" w:eastAsia="仿宋" w:hAnsi="仿宋"/>
          <w:sz w:val="30"/>
          <w:szCs w:val="30"/>
        </w:rPr>
        <w:t>细分领域来看，</w:t>
      </w:r>
      <w:r w:rsidR="008A36E0">
        <w:rPr>
          <w:rFonts w:ascii="仿宋" w:eastAsia="仿宋" w:hAnsi="仿宋" w:hint="eastAsia"/>
          <w:sz w:val="30"/>
          <w:szCs w:val="30"/>
        </w:rPr>
        <w:t>高性能复合</w:t>
      </w:r>
      <w:r w:rsidR="008A36E0">
        <w:rPr>
          <w:rFonts w:ascii="仿宋" w:eastAsia="仿宋" w:hAnsi="仿宋"/>
          <w:sz w:val="30"/>
          <w:szCs w:val="30"/>
        </w:rPr>
        <w:t>材料、生物</w:t>
      </w:r>
      <w:r w:rsidR="008A36E0">
        <w:rPr>
          <w:rFonts w:ascii="仿宋" w:eastAsia="仿宋" w:hAnsi="仿宋" w:hint="eastAsia"/>
          <w:sz w:val="30"/>
          <w:szCs w:val="30"/>
        </w:rPr>
        <w:t>质能</w:t>
      </w:r>
      <w:r w:rsidR="008A36E0">
        <w:rPr>
          <w:rFonts w:ascii="仿宋" w:eastAsia="仿宋" w:hAnsi="仿宋"/>
          <w:sz w:val="30"/>
          <w:szCs w:val="30"/>
        </w:rPr>
        <w:t>以及下一代信息</w:t>
      </w:r>
      <w:r w:rsidR="008A36E0">
        <w:rPr>
          <w:rFonts w:ascii="仿宋" w:eastAsia="仿宋" w:hAnsi="仿宋" w:hint="eastAsia"/>
          <w:sz w:val="30"/>
          <w:szCs w:val="30"/>
        </w:rPr>
        <w:t>网络等产业</w:t>
      </w:r>
      <w:r w:rsidR="008A36E0">
        <w:rPr>
          <w:rFonts w:ascii="仿宋" w:eastAsia="仿宋" w:hAnsi="仿宋"/>
          <w:sz w:val="30"/>
          <w:szCs w:val="30"/>
        </w:rPr>
        <w:t>股价下滑幅度相对较小，</w:t>
      </w:r>
      <w:r w:rsidR="008A36E0">
        <w:rPr>
          <w:rFonts w:ascii="仿宋" w:eastAsia="仿宋" w:hAnsi="仿宋" w:hint="eastAsia"/>
          <w:sz w:val="30"/>
          <w:szCs w:val="30"/>
        </w:rPr>
        <w:lastRenderedPageBreak/>
        <w:t>而</w:t>
      </w:r>
      <w:r w:rsidR="008A36E0">
        <w:rPr>
          <w:rFonts w:ascii="仿宋" w:eastAsia="仿宋" w:hAnsi="仿宋"/>
          <w:sz w:val="30"/>
          <w:szCs w:val="30"/>
        </w:rPr>
        <w:t>资源循环利用、生物医学工程以及</w:t>
      </w:r>
      <w:r w:rsidR="008A36E0">
        <w:rPr>
          <w:rFonts w:ascii="仿宋" w:eastAsia="仿宋" w:hAnsi="仿宋" w:hint="eastAsia"/>
          <w:sz w:val="30"/>
          <w:szCs w:val="30"/>
        </w:rPr>
        <w:t>核电</w:t>
      </w:r>
      <w:r w:rsidR="008A36E0">
        <w:rPr>
          <w:rFonts w:ascii="仿宋" w:eastAsia="仿宋" w:hAnsi="仿宋"/>
          <w:sz w:val="30"/>
          <w:szCs w:val="30"/>
        </w:rPr>
        <w:t>技术等产业股价下</w:t>
      </w:r>
      <w:r w:rsidR="009732B6">
        <w:rPr>
          <w:rFonts w:ascii="Arial" w:eastAsia="黑体" w:hAnsi="Arial" w:cs="Arial"/>
          <w:b/>
          <w:noProof/>
          <w:color w:val="BFBFBF" w:themeColor="background1" w:themeShade="BF"/>
          <w:sz w:val="28"/>
          <w:szCs w:val="28"/>
        </w:rPr>
        <w:drawing>
          <wp:anchor distT="0" distB="0" distL="114300" distR="114300" simplePos="0" relativeHeight="251728896" behindDoc="0" locked="0" layoutInCell="1" allowOverlap="1" wp14:anchorId="1E9D584B" wp14:editId="1550EF52">
            <wp:simplePos x="0" y="0"/>
            <wp:positionH relativeFrom="column">
              <wp:posOffset>-80010</wp:posOffset>
            </wp:positionH>
            <wp:positionV relativeFrom="paragraph">
              <wp:posOffset>555625</wp:posOffset>
            </wp:positionV>
            <wp:extent cx="2831465" cy="2792095"/>
            <wp:effectExtent l="0" t="0" r="0" b="0"/>
            <wp:wrapNone/>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A36E0">
        <w:rPr>
          <w:rFonts w:ascii="仿宋" w:eastAsia="仿宋" w:hAnsi="仿宋"/>
          <w:sz w:val="30"/>
          <w:szCs w:val="30"/>
        </w:rPr>
        <w:t>滑幅度较大。</w:t>
      </w:r>
      <w:r w:rsidR="008A36E0" w:rsidRPr="00183709">
        <w:rPr>
          <w:rFonts w:ascii="仿宋" w:eastAsia="仿宋" w:hAnsi="仿宋" w:hint="eastAsia"/>
          <w:sz w:val="30"/>
          <w:szCs w:val="30"/>
        </w:rPr>
        <w:t>（见图</w:t>
      </w:r>
      <w:r w:rsidR="00192399">
        <w:rPr>
          <w:rFonts w:ascii="仿宋" w:eastAsia="仿宋" w:hAnsi="仿宋"/>
          <w:sz w:val="30"/>
          <w:szCs w:val="30"/>
        </w:rPr>
        <w:t>8</w:t>
      </w:r>
      <w:r w:rsidR="008A36E0" w:rsidRPr="00183709">
        <w:rPr>
          <w:rFonts w:ascii="仿宋" w:eastAsia="仿宋" w:hAnsi="仿宋" w:hint="eastAsia"/>
          <w:sz w:val="30"/>
          <w:szCs w:val="30"/>
        </w:rPr>
        <w:t>、图</w:t>
      </w:r>
      <w:r w:rsidR="00192399">
        <w:rPr>
          <w:rFonts w:ascii="仿宋" w:eastAsia="仿宋" w:hAnsi="仿宋"/>
          <w:sz w:val="30"/>
          <w:szCs w:val="30"/>
        </w:rPr>
        <w:t>9</w:t>
      </w:r>
      <w:r w:rsidR="008A36E0" w:rsidRPr="00183709">
        <w:rPr>
          <w:rFonts w:ascii="仿宋" w:eastAsia="仿宋" w:hAnsi="仿宋" w:hint="eastAsia"/>
          <w:sz w:val="30"/>
          <w:szCs w:val="30"/>
        </w:rPr>
        <w:t>）</w:t>
      </w:r>
    </w:p>
    <w:p w:rsidR="008A36E0" w:rsidRDefault="009B7A8F" w:rsidP="009B7A8F">
      <w:pPr>
        <w:spacing w:beforeLines="100" w:before="312" w:line="360" w:lineRule="auto"/>
        <w:ind w:firstLineChars="200" w:firstLine="562"/>
        <w:rPr>
          <w:rFonts w:ascii="仿宋" w:eastAsia="仿宋" w:hAnsi="仿宋"/>
          <w:sz w:val="30"/>
          <w:szCs w:val="30"/>
        </w:rPr>
      </w:pPr>
      <w:r>
        <w:rPr>
          <w:rFonts w:ascii="Arial" w:eastAsia="黑体" w:hAnsi="Arial" w:cs="Arial"/>
          <w:b/>
          <w:noProof/>
          <w:color w:val="BFBFBF" w:themeColor="background1" w:themeShade="BF"/>
          <w:sz w:val="28"/>
          <w:szCs w:val="28"/>
        </w:rPr>
        <w:drawing>
          <wp:anchor distT="0" distB="0" distL="114300" distR="114300" simplePos="0" relativeHeight="251730944" behindDoc="0" locked="0" layoutInCell="1" allowOverlap="1" wp14:anchorId="25292D07" wp14:editId="37B12455">
            <wp:simplePos x="0" y="0"/>
            <wp:positionH relativeFrom="column">
              <wp:posOffset>2815590</wp:posOffset>
            </wp:positionH>
            <wp:positionV relativeFrom="paragraph">
              <wp:posOffset>-236855</wp:posOffset>
            </wp:positionV>
            <wp:extent cx="3096895" cy="2792095"/>
            <wp:effectExtent l="0" t="0" r="0" b="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8A36E0" w:rsidRDefault="008A36E0" w:rsidP="00A8643B">
      <w:pPr>
        <w:spacing w:beforeLines="100" w:before="312" w:line="360" w:lineRule="auto"/>
        <w:ind w:firstLineChars="200" w:firstLine="600"/>
        <w:rPr>
          <w:rFonts w:ascii="仿宋" w:eastAsia="仿宋" w:hAnsi="仿宋"/>
          <w:sz w:val="30"/>
          <w:szCs w:val="30"/>
        </w:rPr>
      </w:pPr>
    </w:p>
    <w:p w:rsidR="008A36E0" w:rsidRDefault="008A36E0" w:rsidP="00A8643B">
      <w:pPr>
        <w:spacing w:beforeLines="100" w:before="312" w:line="360" w:lineRule="auto"/>
        <w:ind w:firstLineChars="200" w:firstLine="600"/>
        <w:rPr>
          <w:rFonts w:ascii="仿宋" w:eastAsia="仿宋" w:hAnsi="仿宋"/>
          <w:sz w:val="30"/>
          <w:szCs w:val="30"/>
        </w:rPr>
      </w:pPr>
    </w:p>
    <w:p w:rsidR="00A8643B" w:rsidRDefault="00A8643B" w:rsidP="00A8643B">
      <w:pPr>
        <w:spacing w:beforeLines="100" w:before="312" w:line="360" w:lineRule="auto"/>
        <w:ind w:firstLineChars="200" w:firstLine="600"/>
        <w:rPr>
          <w:rFonts w:ascii="仿宋" w:eastAsia="仿宋" w:hAnsi="仿宋"/>
          <w:sz w:val="30"/>
          <w:szCs w:val="30"/>
        </w:rPr>
      </w:pPr>
      <w:r>
        <w:rPr>
          <w:rFonts w:ascii="仿宋" w:eastAsia="仿宋" w:hAnsi="仿宋" w:hint="eastAsia"/>
          <w:sz w:val="30"/>
          <w:szCs w:val="30"/>
        </w:rPr>
        <w:t>一</w:t>
      </w:r>
    </w:p>
    <w:p w:rsidR="00A8643B" w:rsidRDefault="009732B6" w:rsidP="00A8643B">
      <w:pPr>
        <w:spacing w:beforeLines="100" w:before="312" w:line="360" w:lineRule="auto"/>
        <w:ind w:firstLineChars="200" w:firstLine="600"/>
        <w:rPr>
          <w:rFonts w:ascii="仿宋" w:eastAsia="仿宋" w:hAnsi="仿宋"/>
          <w:sz w:val="30"/>
          <w:szCs w:val="30"/>
        </w:rPr>
      </w:pPr>
      <w:r>
        <w:rPr>
          <w:rFonts w:ascii="仿宋" w:eastAsia="仿宋" w:hAnsi="仿宋"/>
          <w:noProof/>
          <w:color w:val="FF0000"/>
          <w:sz w:val="30"/>
          <w:szCs w:val="30"/>
        </w:rPr>
        <mc:AlternateContent>
          <mc:Choice Requires="wps">
            <w:drawing>
              <wp:anchor distT="0" distB="0" distL="114300" distR="114300" simplePos="0" relativeHeight="251732992" behindDoc="0" locked="0" layoutInCell="1" allowOverlap="1" wp14:anchorId="110D8F92" wp14:editId="50497CE0">
                <wp:simplePos x="0" y="0"/>
                <wp:positionH relativeFrom="column">
                  <wp:posOffset>5715</wp:posOffset>
                </wp:positionH>
                <wp:positionV relativeFrom="paragraph">
                  <wp:posOffset>217170</wp:posOffset>
                </wp:positionV>
                <wp:extent cx="2990215" cy="509905"/>
                <wp:effectExtent l="0" t="0" r="635" b="444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Default="00A8643B" w:rsidP="00A8643B">
                            <w:pPr>
                              <w:jc w:val="center"/>
                              <w:rPr>
                                <w:b/>
                              </w:rPr>
                            </w:pPr>
                            <w:r w:rsidRPr="00290CC5">
                              <w:rPr>
                                <w:rFonts w:hint="eastAsia"/>
                                <w:b/>
                              </w:rPr>
                              <w:t>图</w:t>
                            </w:r>
                            <w:r w:rsidR="008A36E0">
                              <w:rPr>
                                <w:b/>
                              </w:rPr>
                              <w:t>8</w:t>
                            </w:r>
                            <w:r>
                              <w:rPr>
                                <w:rFonts w:hint="eastAsia"/>
                                <w:b/>
                              </w:rPr>
                              <w:t xml:space="preserve">  </w:t>
                            </w:r>
                            <w:r w:rsidRPr="00290CC5">
                              <w:rPr>
                                <w:rFonts w:hint="eastAsia"/>
                                <w:b/>
                              </w:rPr>
                              <w:t>2</w:t>
                            </w:r>
                            <w:r>
                              <w:rPr>
                                <w:rFonts w:hint="eastAsia"/>
                                <w:b/>
                              </w:rPr>
                              <w:t>016</w:t>
                            </w:r>
                            <w:r>
                              <w:rPr>
                                <w:rFonts w:hint="eastAsia"/>
                                <w:b/>
                              </w:rPr>
                              <w:t>年一季度</w:t>
                            </w:r>
                            <w:r w:rsidRPr="00290CC5">
                              <w:rPr>
                                <w:rFonts w:hint="eastAsia"/>
                                <w:b/>
                              </w:rPr>
                              <w:t>战略性新兴产业</w:t>
                            </w:r>
                          </w:p>
                          <w:p w:rsidR="00A8643B" w:rsidRPr="00290CC5" w:rsidRDefault="00A8643B" w:rsidP="00A8643B">
                            <w:pPr>
                              <w:jc w:val="center"/>
                            </w:pPr>
                            <w:r>
                              <w:rPr>
                                <w:rFonts w:hint="eastAsia"/>
                                <w:b/>
                              </w:rPr>
                              <w:t>重点领域</w:t>
                            </w:r>
                            <w:r w:rsidRPr="00290CC5">
                              <w:rPr>
                                <w:rFonts w:hint="eastAsia"/>
                                <w:b/>
                              </w:rPr>
                              <w:t>上市公司股价</w:t>
                            </w:r>
                            <w:r>
                              <w:rPr>
                                <w:rFonts w:hint="eastAsia"/>
                                <w:b/>
                              </w:rPr>
                              <w:t>平均涨幅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0D8F92" id="文本框 27" o:spid="_x0000_s1033" type="#_x0000_t202" style="position:absolute;left:0;text-align:left;margin-left:.45pt;margin-top:17.1pt;width:235.45pt;height:40.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" stroked="f">
                <v:textbox>
                  <w:txbxContent>
                    <w:p w:rsidR="00A8643B" w:rsidRDefault="00A8643B" w:rsidP="00A8643B">
                      <w:pPr>
                        <w:jc w:val="center"/>
                        <w:rPr>
                          <w:b/>
                        </w:rPr>
                      </w:pPr>
                      <w:r w:rsidRPr="00290CC5">
                        <w:rPr>
                          <w:rFonts w:hint="eastAsia"/>
                          <w:b/>
                        </w:rPr>
                        <w:t>图</w:t>
                      </w:r>
                      <w:r w:rsidR="008A36E0">
                        <w:rPr>
                          <w:b/>
                        </w:rPr>
                        <w:t>8</w:t>
                      </w:r>
                      <w:r>
                        <w:rPr>
                          <w:rFonts w:hint="eastAsia"/>
                          <w:b/>
                        </w:rPr>
                        <w:t xml:space="preserve">  </w:t>
                      </w:r>
                      <w:r w:rsidRPr="00290CC5">
                        <w:rPr>
                          <w:rFonts w:hint="eastAsia"/>
                          <w:b/>
                        </w:rPr>
                        <w:t>2</w:t>
                      </w:r>
                      <w:r>
                        <w:rPr>
                          <w:rFonts w:hint="eastAsia"/>
                          <w:b/>
                        </w:rPr>
                        <w:t>016</w:t>
                      </w:r>
                      <w:r>
                        <w:rPr>
                          <w:rFonts w:hint="eastAsia"/>
                          <w:b/>
                        </w:rPr>
                        <w:t>年一季度</w:t>
                      </w:r>
                      <w:r w:rsidRPr="00290CC5">
                        <w:rPr>
                          <w:rFonts w:hint="eastAsia"/>
                          <w:b/>
                        </w:rPr>
                        <w:t>战略性新兴产业</w:t>
                      </w:r>
                    </w:p>
                    <w:p w:rsidR="00A8643B" w:rsidRPr="00290CC5" w:rsidRDefault="00A8643B" w:rsidP="00A8643B">
                      <w:pPr>
                        <w:jc w:val="center"/>
                      </w:pPr>
                      <w:r>
                        <w:rPr>
                          <w:rFonts w:hint="eastAsia"/>
                          <w:b/>
                        </w:rPr>
                        <w:t>重点领域</w:t>
                      </w:r>
                      <w:r w:rsidRPr="00290CC5">
                        <w:rPr>
                          <w:rFonts w:hint="eastAsia"/>
                          <w:b/>
                        </w:rPr>
                        <w:t>上市公司股价</w:t>
                      </w:r>
                      <w:r>
                        <w:rPr>
                          <w:rFonts w:hint="eastAsia"/>
                          <w:b/>
                        </w:rPr>
                        <w:t>平均涨幅</w:t>
                      </w:r>
                    </w:p>
                  </w:txbxContent>
                </v:textbox>
              </v:shape>
            </w:pict>
          </mc:Fallback>
        </mc:AlternateContent>
      </w:r>
      <w:r>
        <w:rPr>
          <w:rFonts w:ascii="仿宋" w:eastAsia="仿宋" w:hAnsi="仿宋"/>
          <w:noProof/>
          <w:color w:val="FF0000"/>
          <w:sz w:val="30"/>
          <w:szCs w:val="30"/>
        </w:rPr>
        <mc:AlternateContent>
          <mc:Choice Requires="wps">
            <w:drawing>
              <wp:anchor distT="0" distB="0" distL="114300" distR="114300" simplePos="0" relativeHeight="251734016" behindDoc="0" locked="0" layoutInCell="1" allowOverlap="1" wp14:anchorId="15717279" wp14:editId="3C413ADD">
                <wp:simplePos x="0" y="0"/>
                <wp:positionH relativeFrom="column">
                  <wp:posOffset>3308985</wp:posOffset>
                </wp:positionH>
                <wp:positionV relativeFrom="paragraph">
                  <wp:posOffset>217170</wp:posOffset>
                </wp:positionV>
                <wp:extent cx="2990215" cy="509905"/>
                <wp:effectExtent l="0" t="0" r="635" b="444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290CC5" w:rsidRDefault="00A8643B" w:rsidP="00A8643B">
                            <w:pPr>
                              <w:jc w:val="center"/>
                            </w:pPr>
                            <w:r w:rsidRPr="00290CC5">
                              <w:rPr>
                                <w:rFonts w:hint="eastAsia"/>
                                <w:b/>
                              </w:rPr>
                              <w:t>图</w:t>
                            </w:r>
                            <w:r w:rsidR="008A36E0">
                              <w:rPr>
                                <w:b/>
                              </w:rPr>
                              <w:t>9</w:t>
                            </w:r>
                            <w:r>
                              <w:rPr>
                                <w:rFonts w:hint="eastAsia"/>
                                <w:b/>
                              </w:rPr>
                              <w:t xml:space="preserve">  </w:t>
                            </w:r>
                            <w:r w:rsidRPr="00290CC5">
                              <w:rPr>
                                <w:rFonts w:hint="eastAsia"/>
                                <w:b/>
                              </w:rPr>
                              <w:t>201</w:t>
                            </w:r>
                            <w:r>
                              <w:rPr>
                                <w:rFonts w:hint="eastAsia"/>
                                <w:b/>
                              </w:rPr>
                              <w:t>6</w:t>
                            </w:r>
                            <w:r w:rsidRPr="00290CC5">
                              <w:rPr>
                                <w:rFonts w:hint="eastAsia"/>
                                <w:b/>
                              </w:rPr>
                              <w:t>年</w:t>
                            </w:r>
                            <w:r>
                              <w:rPr>
                                <w:rFonts w:hint="eastAsia"/>
                                <w:b/>
                              </w:rPr>
                              <w:t>一季度</w:t>
                            </w:r>
                            <w:r w:rsidRPr="00290CC5">
                              <w:rPr>
                                <w:rFonts w:hint="eastAsia"/>
                                <w:b/>
                              </w:rPr>
                              <w:t>战略性新兴产业</w:t>
                            </w:r>
                            <w:r>
                              <w:rPr>
                                <w:rFonts w:hint="eastAsia"/>
                                <w:b/>
                              </w:rPr>
                              <w:t>主要细分领域股价涨幅前后</w:t>
                            </w:r>
                            <w:r>
                              <w:rPr>
                                <w:rFonts w:hint="eastAsia"/>
                                <w:b/>
                              </w:rPr>
                              <w:t>5</w:t>
                            </w:r>
                            <w:r>
                              <w:rPr>
                                <w:rFonts w:hint="eastAsia"/>
                                <w:b/>
                              </w:rPr>
                              <w:t>位排名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717279" id="文本框 26" o:spid="_x0000_s1034" type="#_x0000_t202" style="position:absolute;left:0;text-align:left;margin-left:260.55pt;margin-top:17.1pt;width:235.45pt;height:4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" stroked="f">
                <v:textbox>
                  <w:txbxContent>
                    <w:p w:rsidR="00A8643B" w:rsidRPr="00290CC5" w:rsidRDefault="00A8643B" w:rsidP="00A8643B">
                      <w:pPr>
                        <w:jc w:val="center"/>
                      </w:pPr>
                      <w:r w:rsidRPr="00290CC5">
                        <w:rPr>
                          <w:rFonts w:hint="eastAsia"/>
                          <w:b/>
                        </w:rPr>
                        <w:t>图</w:t>
                      </w:r>
                      <w:r w:rsidR="008A36E0">
                        <w:rPr>
                          <w:b/>
                        </w:rPr>
                        <w:t>9</w:t>
                      </w:r>
                      <w:r>
                        <w:rPr>
                          <w:rFonts w:hint="eastAsia"/>
                          <w:b/>
                        </w:rPr>
                        <w:t xml:space="preserve">  </w:t>
                      </w:r>
                      <w:r w:rsidRPr="00290CC5">
                        <w:rPr>
                          <w:rFonts w:hint="eastAsia"/>
                          <w:b/>
                        </w:rPr>
                        <w:t>201</w:t>
                      </w:r>
                      <w:r>
                        <w:rPr>
                          <w:rFonts w:hint="eastAsia"/>
                          <w:b/>
                        </w:rPr>
                        <w:t>6</w:t>
                      </w:r>
                      <w:r w:rsidRPr="00290CC5">
                        <w:rPr>
                          <w:rFonts w:hint="eastAsia"/>
                          <w:b/>
                        </w:rPr>
                        <w:t>年</w:t>
                      </w:r>
                      <w:r>
                        <w:rPr>
                          <w:rFonts w:hint="eastAsia"/>
                          <w:b/>
                        </w:rPr>
                        <w:t>一季度</w:t>
                      </w:r>
                      <w:r w:rsidRPr="00290CC5">
                        <w:rPr>
                          <w:rFonts w:hint="eastAsia"/>
                          <w:b/>
                        </w:rPr>
                        <w:t>战略性新兴产业</w:t>
                      </w:r>
                      <w:r>
                        <w:rPr>
                          <w:rFonts w:hint="eastAsia"/>
                          <w:b/>
                        </w:rPr>
                        <w:t>主要细分领域股价涨幅前后</w:t>
                      </w:r>
                      <w:r>
                        <w:rPr>
                          <w:rFonts w:hint="eastAsia"/>
                          <w:b/>
                        </w:rPr>
                        <w:t>5</w:t>
                      </w:r>
                      <w:r>
                        <w:rPr>
                          <w:rFonts w:hint="eastAsia"/>
                          <w:b/>
                        </w:rPr>
                        <w:t>位排名</w:t>
                      </w:r>
                    </w:p>
                  </w:txbxContent>
                </v:textbox>
              </v:shape>
            </w:pict>
          </mc:Fallback>
        </mc:AlternateContent>
      </w:r>
    </w:p>
    <w:p w:rsidR="00A8643B" w:rsidRDefault="00A8643B" w:rsidP="00A8643B">
      <w:pPr>
        <w:spacing w:beforeLines="100" w:before="312" w:line="360" w:lineRule="auto"/>
        <w:rPr>
          <w:rFonts w:ascii="仿宋" w:eastAsia="仿宋" w:hAnsi="仿宋"/>
          <w:b/>
          <w:sz w:val="30"/>
          <w:szCs w:val="30"/>
        </w:rPr>
      </w:pPr>
      <w:r>
        <w:rPr>
          <w:rFonts w:ascii="仿宋" w:eastAsia="仿宋" w:hAnsi="仿宋" w:hint="eastAsia"/>
          <w:b/>
          <w:sz w:val="30"/>
          <w:szCs w:val="30"/>
        </w:rPr>
        <w:t>（二）战略性新兴产业企业股市直接融资高位</w:t>
      </w:r>
      <w:r>
        <w:rPr>
          <w:rFonts w:ascii="仿宋" w:eastAsia="仿宋" w:hAnsi="仿宋"/>
          <w:b/>
          <w:sz w:val="30"/>
          <w:szCs w:val="30"/>
        </w:rPr>
        <w:t>运行</w:t>
      </w:r>
    </w:p>
    <w:p w:rsidR="00A8643B" w:rsidRPr="008C0052" w:rsidRDefault="00A8643B" w:rsidP="00A8643B">
      <w:pPr>
        <w:spacing w:beforeLines="100" w:before="312" w:line="360" w:lineRule="auto"/>
        <w:ind w:firstLineChars="200" w:firstLine="600"/>
        <w:rPr>
          <w:rFonts w:ascii="仿宋" w:eastAsia="仿宋" w:hAnsi="仿宋"/>
          <w:sz w:val="30"/>
          <w:szCs w:val="30"/>
        </w:rPr>
      </w:pPr>
      <w:r w:rsidRPr="00445319">
        <w:rPr>
          <w:rFonts w:ascii="仿宋" w:eastAsia="仿宋" w:hAnsi="仿宋" w:hint="eastAsia"/>
          <w:sz w:val="30"/>
          <w:szCs w:val="30"/>
        </w:rPr>
        <w:t>201</w:t>
      </w:r>
      <w:r>
        <w:rPr>
          <w:rFonts w:ascii="仿宋" w:eastAsia="仿宋" w:hAnsi="仿宋"/>
          <w:sz w:val="30"/>
          <w:szCs w:val="30"/>
        </w:rPr>
        <w:t>6</w:t>
      </w:r>
      <w:r>
        <w:rPr>
          <w:rFonts w:ascii="仿宋" w:eastAsia="仿宋" w:hAnsi="仿宋" w:hint="eastAsia"/>
          <w:sz w:val="30"/>
          <w:szCs w:val="30"/>
        </w:rPr>
        <w:t>年一</w:t>
      </w:r>
      <w:r w:rsidRPr="00445319">
        <w:rPr>
          <w:rFonts w:ascii="仿宋" w:eastAsia="仿宋" w:hAnsi="仿宋" w:hint="eastAsia"/>
          <w:sz w:val="30"/>
          <w:szCs w:val="30"/>
        </w:rPr>
        <w:t>季度，共有</w:t>
      </w:r>
      <w:r>
        <w:rPr>
          <w:rFonts w:ascii="仿宋" w:eastAsia="仿宋" w:hAnsi="仿宋" w:hint="eastAsia"/>
          <w:sz w:val="30"/>
          <w:szCs w:val="30"/>
        </w:rPr>
        <w:t>5</w:t>
      </w:r>
      <w:r w:rsidRPr="00445319">
        <w:rPr>
          <w:rFonts w:ascii="仿宋" w:eastAsia="仿宋" w:hAnsi="仿宋" w:hint="eastAsia"/>
          <w:sz w:val="30"/>
          <w:szCs w:val="30"/>
        </w:rPr>
        <w:t>家战略性新兴产业企业在A股</w:t>
      </w:r>
      <w:r w:rsidRPr="008C0052">
        <w:rPr>
          <w:rFonts w:ascii="仿宋" w:eastAsia="仿宋" w:hAnsi="仿宋"/>
          <w:sz w:val="30"/>
          <w:szCs w:val="30"/>
        </w:rPr>
        <w:t>IPO</w:t>
      </w:r>
      <w:r w:rsidRPr="00445319">
        <w:rPr>
          <w:rFonts w:ascii="仿宋" w:eastAsia="仿宋" w:hAnsi="仿宋" w:hint="eastAsia"/>
          <w:sz w:val="30"/>
          <w:szCs w:val="30"/>
        </w:rPr>
        <w:t>上市，首发募资总额达到了</w:t>
      </w:r>
      <w:r>
        <w:rPr>
          <w:rFonts w:ascii="仿宋" w:eastAsia="仿宋" w:hAnsi="仿宋"/>
          <w:sz w:val="30"/>
          <w:szCs w:val="30"/>
        </w:rPr>
        <w:t>21.7</w:t>
      </w:r>
      <w:r w:rsidRPr="00445319">
        <w:rPr>
          <w:rFonts w:ascii="仿宋" w:eastAsia="仿宋" w:hAnsi="仿宋" w:hint="eastAsia"/>
          <w:sz w:val="30"/>
          <w:szCs w:val="30"/>
        </w:rPr>
        <w:t>亿元，</w:t>
      </w:r>
      <w:r w:rsidRPr="00276FA0">
        <w:rPr>
          <w:rFonts w:ascii="仿宋" w:eastAsia="仿宋" w:hAnsi="仿宋" w:hint="eastAsia"/>
          <w:sz w:val="30"/>
          <w:szCs w:val="30"/>
        </w:rPr>
        <w:t>占同期A股首发募资总额的</w:t>
      </w:r>
      <w:r w:rsidRPr="00276FA0">
        <w:rPr>
          <w:rFonts w:ascii="仿宋" w:eastAsia="仿宋" w:hAnsi="仿宋"/>
          <w:sz w:val="30"/>
          <w:szCs w:val="30"/>
        </w:rPr>
        <w:t>19.2%</w:t>
      </w:r>
      <w:r w:rsidRPr="00276FA0">
        <w:rPr>
          <w:rFonts w:ascii="仿宋" w:eastAsia="仿宋" w:hAnsi="仿宋" w:hint="eastAsia"/>
          <w:sz w:val="30"/>
          <w:szCs w:val="30"/>
        </w:rPr>
        <w:t>，募资额明显低于</w:t>
      </w:r>
      <w:r w:rsidRPr="00276FA0">
        <w:rPr>
          <w:rFonts w:ascii="仿宋" w:eastAsia="仿宋" w:hAnsi="仿宋"/>
          <w:sz w:val="30"/>
          <w:szCs w:val="30"/>
        </w:rPr>
        <w:t>去年同期</w:t>
      </w:r>
      <w:r w:rsidRPr="00276FA0">
        <w:rPr>
          <w:rFonts w:ascii="仿宋" w:eastAsia="仿宋" w:hAnsi="仿宋" w:hint="eastAsia"/>
          <w:sz w:val="30"/>
          <w:szCs w:val="30"/>
        </w:rPr>
        <w:t>。</w:t>
      </w:r>
      <w:r w:rsidRPr="00EF2298">
        <w:rPr>
          <w:rFonts w:ascii="仿宋" w:eastAsia="仿宋" w:hAnsi="仿宋" w:hint="eastAsia"/>
          <w:sz w:val="30"/>
          <w:szCs w:val="30"/>
        </w:rPr>
        <w:t>不过，一季度共有100</w:t>
      </w:r>
      <w:r w:rsidRPr="00EF2298">
        <w:rPr>
          <w:rFonts w:ascii="仿宋" w:eastAsia="仿宋" w:hAnsi="仿宋"/>
          <w:sz w:val="30"/>
          <w:szCs w:val="30"/>
        </w:rPr>
        <w:t>家战略性新兴产业企业实施增发募资，</w:t>
      </w:r>
      <w:r w:rsidRPr="008C0052">
        <w:rPr>
          <w:rFonts w:ascii="仿宋" w:eastAsia="仿宋" w:hAnsi="仿宋"/>
          <w:sz w:val="30"/>
          <w:szCs w:val="30"/>
        </w:rPr>
        <w:t>募资总额达到</w:t>
      </w:r>
      <w:r>
        <w:rPr>
          <w:rFonts w:ascii="仿宋" w:eastAsia="仿宋" w:hAnsi="仿宋"/>
          <w:sz w:val="30"/>
          <w:szCs w:val="30"/>
        </w:rPr>
        <w:t>1665.4</w:t>
      </w:r>
      <w:r w:rsidRPr="008C0052">
        <w:rPr>
          <w:rFonts w:ascii="仿宋" w:eastAsia="仿宋" w:hAnsi="仿宋" w:hint="eastAsia"/>
          <w:sz w:val="30"/>
          <w:szCs w:val="30"/>
        </w:rPr>
        <w:t>亿元</w:t>
      </w:r>
      <w:r>
        <w:rPr>
          <w:rFonts w:ascii="仿宋" w:eastAsia="仿宋" w:hAnsi="仿宋" w:hint="eastAsia"/>
          <w:sz w:val="30"/>
          <w:szCs w:val="30"/>
        </w:rPr>
        <w:t>，</w:t>
      </w:r>
      <w:r w:rsidRPr="00A100BC">
        <w:rPr>
          <w:rFonts w:ascii="仿宋" w:eastAsia="仿宋" w:hAnsi="仿宋" w:hint="eastAsia"/>
          <w:sz w:val="30"/>
          <w:szCs w:val="30"/>
        </w:rPr>
        <w:t>连续第二个</w:t>
      </w:r>
      <w:r w:rsidRPr="00A100BC">
        <w:rPr>
          <w:rFonts w:ascii="仿宋" w:eastAsia="仿宋" w:hAnsi="仿宋"/>
          <w:sz w:val="30"/>
          <w:szCs w:val="30"/>
        </w:rPr>
        <w:t>季度</w:t>
      </w:r>
      <w:r w:rsidRPr="00A100BC">
        <w:rPr>
          <w:rFonts w:ascii="仿宋" w:eastAsia="仿宋" w:hAnsi="仿宋" w:hint="eastAsia"/>
          <w:sz w:val="30"/>
          <w:szCs w:val="30"/>
        </w:rPr>
        <w:t>增发</w:t>
      </w:r>
      <w:r w:rsidRPr="00A100BC">
        <w:rPr>
          <w:rFonts w:ascii="仿宋" w:eastAsia="仿宋" w:hAnsi="仿宋"/>
          <w:sz w:val="30"/>
          <w:szCs w:val="30"/>
        </w:rPr>
        <w:t>募资额超过</w:t>
      </w:r>
      <w:r w:rsidRPr="00A100BC">
        <w:rPr>
          <w:rFonts w:ascii="仿宋" w:eastAsia="仿宋" w:hAnsi="仿宋" w:hint="eastAsia"/>
          <w:sz w:val="30"/>
          <w:szCs w:val="30"/>
        </w:rPr>
        <w:t>1500亿元</w:t>
      </w:r>
      <w:r>
        <w:rPr>
          <w:rFonts w:ascii="仿宋" w:eastAsia="仿宋" w:hAnsi="仿宋" w:hint="eastAsia"/>
          <w:sz w:val="30"/>
          <w:szCs w:val="30"/>
        </w:rPr>
        <w:t>。</w:t>
      </w:r>
      <w:r w:rsidRPr="008C0052">
        <w:rPr>
          <w:rFonts w:ascii="仿宋" w:eastAsia="仿宋" w:hAnsi="仿宋" w:hint="eastAsia"/>
          <w:sz w:val="30"/>
          <w:szCs w:val="30"/>
        </w:rPr>
        <w:t>（见图</w:t>
      </w:r>
      <w:r w:rsidR="002D6417">
        <w:rPr>
          <w:rFonts w:ascii="仿宋" w:eastAsia="仿宋" w:hAnsi="仿宋"/>
          <w:sz w:val="30"/>
          <w:szCs w:val="30"/>
        </w:rPr>
        <w:t>10</w:t>
      </w:r>
      <w:r w:rsidRPr="008C0052">
        <w:rPr>
          <w:rFonts w:ascii="仿宋" w:eastAsia="仿宋" w:hAnsi="仿宋"/>
          <w:sz w:val="30"/>
          <w:szCs w:val="30"/>
        </w:rPr>
        <w:t>）</w:t>
      </w:r>
    </w:p>
    <w:p w:rsidR="00A8643B" w:rsidRPr="00A45458" w:rsidRDefault="00A8643B" w:rsidP="00A8643B">
      <w:pPr>
        <w:spacing w:beforeLines="100" w:before="312" w:line="360" w:lineRule="auto"/>
        <w:ind w:firstLineChars="200" w:firstLine="602"/>
        <w:rPr>
          <w:rFonts w:ascii="仿宋" w:eastAsia="仿宋" w:hAnsi="仿宋"/>
          <w:b/>
          <w:color w:val="FF0000"/>
          <w:sz w:val="30"/>
          <w:szCs w:val="30"/>
        </w:rPr>
      </w:pPr>
      <w:r>
        <w:rPr>
          <w:rFonts w:ascii="仿宋" w:eastAsia="仿宋" w:hAnsi="仿宋"/>
          <w:b/>
          <w:noProof/>
          <w:sz w:val="30"/>
          <w:szCs w:val="30"/>
        </w:rPr>
        <w:drawing>
          <wp:anchor distT="0" distB="0" distL="114300" distR="114300" simplePos="0" relativeHeight="251735040" behindDoc="0" locked="0" layoutInCell="1" allowOverlap="1" wp14:anchorId="0654D75F" wp14:editId="7FD6FBC6">
            <wp:simplePos x="0" y="0"/>
            <wp:positionH relativeFrom="column">
              <wp:posOffset>471170</wp:posOffset>
            </wp:positionH>
            <wp:positionV relativeFrom="paragraph">
              <wp:posOffset>-1270</wp:posOffset>
            </wp:positionV>
            <wp:extent cx="4876800" cy="2114550"/>
            <wp:effectExtent l="0" t="0" r="0" b="0"/>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A8643B" w:rsidRDefault="00A8643B" w:rsidP="00A8643B">
      <w:pPr>
        <w:spacing w:beforeLines="100" w:before="312" w:line="360" w:lineRule="auto"/>
        <w:rPr>
          <w:rFonts w:ascii="仿宋" w:eastAsia="仿宋" w:hAnsi="仿宋"/>
          <w:b/>
          <w:sz w:val="30"/>
          <w:szCs w:val="30"/>
        </w:rPr>
      </w:pPr>
    </w:p>
    <w:p w:rsidR="00A8643B" w:rsidRDefault="002D6417" w:rsidP="00A8643B">
      <w:pPr>
        <w:spacing w:beforeLines="100" w:before="312" w:line="360" w:lineRule="auto"/>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736064" behindDoc="0" locked="0" layoutInCell="1" allowOverlap="1" wp14:anchorId="47192530" wp14:editId="2AB48498">
                <wp:simplePos x="0" y="0"/>
                <wp:positionH relativeFrom="margin">
                  <wp:align>center</wp:align>
                </wp:positionH>
                <wp:positionV relativeFrom="paragraph">
                  <wp:posOffset>689610</wp:posOffset>
                </wp:positionV>
                <wp:extent cx="4660900" cy="303530"/>
                <wp:effectExtent l="0" t="0" r="6350" b="127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290CC5" w:rsidRDefault="00A8643B" w:rsidP="00A8643B">
                            <w:pPr>
                              <w:jc w:val="center"/>
                            </w:pPr>
                            <w:r w:rsidRPr="00290CC5">
                              <w:rPr>
                                <w:rFonts w:hint="eastAsia"/>
                                <w:b/>
                              </w:rPr>
                              <w:t>图</w:t>
                            </w:r>
                            <w:r w:rsidR="002D6417">
                              <w:rPr>
                                <w:rFonts w:hint="eastAsia"/>
                                <w:b/>
                              </w:rPr>
                              <w:t>10</w:t>
                            </w:r>
                            <w:r>
                              <w:rPr>
                                <w:b/>
                              </w:rPr>
                              <w:t xml:space="preserve"> </w:t>
                            </w:r>
                            <w:r w:rsidRPr="00290CC5">
                              <w:rPr>
                                <w:rFonts w:hint="eastAsia"/>
                                <w:b/>
                              </w:rPr>
                              <w:t xml:space="preserve"> </w:t>
                            </w:r>
                            <w:r>
                              <w:rPr>
                                <w:rFonts w:hint="eastAsia"/>
                                <w:b/>
                              </w:rPr>
                              <w:t>近</w:t>
                            </w:r>
                            <w:r>
                              <w:rPr>
                                <w:b/>
                              </w:rPr>
                              <w:t>几个</w:t>
                            </w:r>
                            <w:r>
                              <w:rPr>
                                <w:rFonts w:hint="eastAsia"/>
                                <w:b/>
                              </w:rPr>
                              <w:t>季度战略性新兴产业上市公司</w:t>
                            </w:r>
                            <w:r>
                              <w:rPr>
                                <w:rFonts w:hint="eastAsia"/>
                                <w:b/>
                              </w:rPr>
                              <w:t>IPO</w:t>
                            </w:r>
                            <w:r>
                              <w:rPr>
                                <w:rFonts w:hint="eastAsia"/>
                                <w:b/>
                              </w:rPr>
                              <w:t>及增发募资额</w:t>
                            </w:r>
                            <w:r>
                              <w:rPr>
                                <w:rFonts w:hint="eastAsia"/>
                                <w:b/>
                              </w:rPr>
                              <w:t>(</w:t>
                            </w:r>
                            <w:r>
                              <w:rPr>
                                <w:rFonts w:hint="eastAsia"/>
                                <w:b/>
                              </w:rPr>
                              <w:t>亿元</w:t>
                            </w:r>
                            <w:r>
                              <w:rPr>
                                <w:rFonts w:hint="eastAsi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192530" id="文本框 25" o:spid="_x0000_s1035" type="#_x0000_t202" style="position:absolute;left:0;text-align:left;margin-left:0;margin-top:54.3pt;width:367pt;height:23.9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" stroked="f">
                <v:textbox>
                  <w:txbxContent>
                    <w:p w:rsidR="00A8643B" w:rsidRPr="00290CC5" w:rsidRDefault="00A8643B" w:rsidP="00A8643B">
                      <w:pPr>
                        <w:jc w:val="center"/>
                      </w:pPr>
                      <w:r w:rsidRPr="00290CC5">
                        <w:rPr>
                          <w:rFonts w:hint="eastAsia"/>
                          <w:b/>
                        </w:rPr>
                        <w:t>图</w:t>
                      </w:r>
                      <w:r w:rsidR="002D6417">
                        <w:rPr>
                          <w:rFonts w:hint="eastAsia"/>
                          <w:b/>
                        </w:rPr>
                        <w:t>10</w:t>
                      </w:r>
                      <w:r>
                        <w:rPr>
                          <w:b/>
                        </w:rPr>
                        <w:t xml:space="preserve"> </w:t>
                      </w:r>
                      <w:r w:rsidRPr="00290CC5">
                        <w:rPr>
                          <w:rFonts w:hint="eastAsia"/>
                          <w:b/>
                        </w:rPr>
                        <w:t xml:space="preserve"> </w:t>
                      </w:r>
                      <w:r>
                        <w:rPr>
                          <w:rFonts w:hint="eastAsia"/>
                          <w:b/>
                        </w:rPr>
                        <w:t>近</w:t>
                      </w:r>
                      <w:r>
                        <w:rPr>
                          <w:b/>
                        </w:rPr>
                        <w:t>几个</w:t>
                      </w:r>
                      <w:r>
                        <w:rPr>
                          <w:rFonts w:hint="eastAsia"/>
                          <w:b/>
                        </w:rPr>
                        <w:t>季度战略性新兴产业上市公司</w:t>
                      </w:r>
                      <w:r>
                        <w:rPr>
                          <w:rFonts w:hint="eastAsia"/>
                          <w:b/>
                        </w:rPr>
                        <w:t>IPO</w:t>
                      </w:r>
                      <w:r>
                        <w:rPr>
                          <w:rFonts w:hint="eastAsia"/>
                          <w:b/>
                        </w:rPr>
                        <w:t>及增发募资额</w:t>
                      </w:r>
                      <w:r>
                        <w:rPr>
                          <w:rFonts w:hint="eastAsia"/>
                          <w:b/>
                        </w:rPr>
                        <w:t>(</w:t>
                      </w:r>
                      <w:r>
                        <w:rPr>
                          <w:rFonts w:hint="eastAsia"/>
                          <w:b/>
                        </w:rPr>
                        <w:t>亿元</w:t>
                      </w:r>
                      <w:r>
                        <w:rPr>
                          <w:rFonts w:hint="eastAsia"/>
                          <w:b/>
                        </w:rPr>
                        <w:t>)</w:t>
                      </w:r>
                    </w:p>
                  </w:txbxContent>
                </v:textbox>
                <w10:wrap anchorx="margin"/>
              </v:shape>
            </w:pict>
          </mc:Fallback>
        </mc:AlternateContent>
      </w:r>
    </w:p>
    <w:p w:rsidR="00A8643B" w:rsidRDefault="00A8643B" w:rsidP="00A8643B">
      <w:pPr>
        <w:spacing w:beforeLines="100" w:before="312" w:line="360" w:lineRule="auto"/>
        <w:rPr>
          <w:rFonts w:ascii="仿宋" w:eastAsia="仿宋" w:hAnsi="仿宋"/>
          <w:b/>
          <w:sz w:val="30"/>
          <w:szCs w:val="30"/>
        </w:rPr>
      </w:pPr>
      <w:r>
        <w:rPr>
          <w:rFonts w:ascii="仿宋" w:eastAsia="仿宋" w:hAnsi="仿宋" w:hint="eastAsia"/>
          <w:b/>
          <w:sz w:val="30"/>
          <w:szCs w:val="30"/>
        </w:rPr>
        <w:lastRenderedPageBreak/>
        <w:t>（三）战略性新兴产业企业并购重组热度有所下滑</w:t>
      </w:r>
    </w:p>
    <w:p w:rsidR="002D6417" w:rsidRDefault="00A8643B" w:rsidP="00A8643B">
      <w:pPr>
        <w:spacing w:beforeLines="100" w:before="312" w:line="360" w:lineRule="auto"/>
        <w:ind w:firstLineChars="200" w:firstLine="600"/>
        <w:rPr>
          <w:rFonts w:ascii="仿宋" w:eastAsia="仿宋" w:hAnsi="仿宋"/>
          <w:sz w:val="30"/>
          <w:szCs w:val="30"/>
        </w:rPr>
      </w:pPr>
      <w:r w:rsidRPr="007F7618">
        <w:rPr>
          <w:rFonts w:ascii="仿宋" w:eastAsia="仿宋" w:hAnsi="仿宋"/>
          <w:sz w:val="30"/>
          <w:szCs w:val="30"/>
        </w:rPr>
        <w:t>2016年</w:t>
      </w:r>
      <w:r w:rsidRPr="007F7618">
        <w:rPr>
          <w:rFonts w:ascii="仿宋" w:eastAsia="仿宋" w:hAnsi="仿宋" w:hint="eastAsia"/>
          <w:sz w:val="30"/>
          <w:szCs w:val="30"/>
        </w:rPr>
        <w:t>一季度，战略性新兴产业上市公司完成</w:t>
      </w:r>
      <w:r w:rsidRPr="007F7618">
        <w:rPr>
          <w:rFonts w:ascii="仿宋" w:eastAsia="仿宋" w:hAnsi="仿宋"/>
          <w:sz w:val="30"/>
          <w:szCs w:val="30"/>
        </w:rPr>
        <w:t>重组数</w:t>
      </w:r>
      <w:r w:rsidRPr="007F7618">
        <w:rPr>
          <w:rFonts w:ascii="仿宋" w:eastAsia="仿宋" w:hAnsi="仿宋" w:hint="eastAsia"/>
          <w:sz w:val="30"/>
          <w:szCs w:val="30"/>
        </w:rPr>
        <w:t>达26家，</w:t>
      </w:r>
      <w:r w:rsidRPr="007F7618">
        <w:rPr>
          <w:rFonts w:ascii="仿宋" w:eastAsia="仿宋" w:hAnsi="仿宋"/>
          <w:sz w:val="30"/>
          <w:szCs w:val="30"/>
        </w:rPr>
        <w:t>与去年同期基本持平，</w:t>
      </w:r>
      <w:r w:rsidRPr="007F7618">
        <w:rPr>
          <w:rFonts w:ascii="仿宋" w:eastAsia="仿宋" w:hAnsi="仿宋" w:hint="eastAsia"/>
          <w:sz w:val="30"/>
          <w:szCs w:val="30"/>
        </w:rPr>
        <w:t>占同期完成重组的上市公司总数的</w:t>
      </w:r>
      <w:r w:rsidRPr="007F7618">
        <w:rPr>
          <w:rFonts w:ascii="仿宋" w:eastAsia="仿宋" w:hAnsi="仿宋"/>
          <w:sz w:val="30"/>
          <w:szCs w:val="30"/>
        </w:rPr>
        <w:t>42.6</w:t>
      </w:r>
      <w:r w:rsidRPr="007F7618">
        <w:rPr>
          <w:rFonts w:ascii="仿宋" w:eastAsia="仿宋" w:hAnsi="仿宋" w:hint="eastAsia"/>
          <w:sz w:val="30"/>
          <w:szCs w:val="30"/>
        </w:rPr>
        <w:t>%，</w:t>
      </w:r>
      <w:r w:rsidRPr="007F7618">
        <w:rPr>
          <w:rFonts w:ascii="仿宋" w:eastAsia="仿宋" w:hAnsi="仿宋"/>
          <w:sz w:val="30"/>
          <w:szCs w:val="30"/>
        </w:rPr>
        <w:t>但</w:t>
      </w:r>
      <w:r w:rsidRPr="007F7618">
        <w:rPr>
          <w:rFonts w:ascii="仿宋" w:eastAsia="仿宋" w:hAnsi="仿宋" w:hint="eastAsia"/>
          <w:sz w:val="30"/>
          <w:szCs w:val="30"/>
        </w:rPr>
        <w:t>数量</w:t>
      </w:r>
      <w:r w:rsidRPr="007F7618">
        <w:rPr>
          <w:rFonts w:ascii="仿宋" w:eastAsia="仿宋" w:hAnsi="仿宋"/>
          <w:sz w:val="30"/>
          <w:szCs w:val="30"/>
        </w:rPr>
        <w:t>环比</w:t>
      </w:r>
      <w:r w:rsidRPr="007F7618">
        <w:rPr>
          <w:rFonts w:ascii="仿宋" w:eastAsia="仿宋" w:hAnsi="仿宋" w:hint="eastAsia"/>
          <w:sz w:val="30"/>
          <w:szCs w:val="30"/>
        </w:rPr>
        <w:t>出现</w:t>
      </w:r>
      <w:r w:rsidRPr="007F7618">
        <w:rPr>
          <w:rFonts w:ascii="仿宋" w:eastAsia="仿宋" w:hAnsi="仿宋"/>
          <w:sz w:val="30"/>
          <w:szCs w:val="30"/>
        </w:rPr>
        <w:t>大幅回落</w:t>
      </w:r>
      <w:r w:rsidRPr="007F7618">
        <w:rPr>
          <w:rFonts w:ascii="仿宋" w:eastAsia="仿宋" w:hAnsi="仿宋" w:hint="eastAsia"/>
          <w:sz w:val="30"/>
          <w:szCs w:val="30"/>
        </w:rPr>
        <w:t>（见图1</w:t>
      </w:r>
      <w:r w:rsidR="002D6417">
        <w:rPr>
          <w:rFonts w:ascii="仿宋" w:eastAsia="仿宋" w:hAnsi="仿宋"/>
          <w:sz w:val="30"/>
          <w:szCs w:val="30"/>
        </w:rPr>
        <w:t>1</w:t>
      </w:r>
      <w:r w:rsidRPr="007F7618">
        <w:rPr>
          <w:rFonts w:ascii="仿宋" w:eastAsia="仿宋" w:hAnsi="仿宋" w:hint="eastAsia"/>
          <w:sz w:val="30"/>
          <w:szCs w:val="30"/>
        </w:rPr>
        <w:t>）。实现横向整合，</w:t>
      </w:r>
      <w:r w:rsidRPr="007F7618">
        <w:rPr>
          <w:rFonts w:ascii="仿宋" w:eastAsia="仿宋" w:hAnsi="仿宋"/>
          <w:sz w:val="30"/>
          <w:szCs w:val="30"/>
        </w:rPr>
        <w:t>扩大企业规模及盈利能力</w:t>
      </w:r>
      <w:r w:rsidRPr="007F7618">
        <w:rPr>
          <w:rFonts w:ascii="仿宋" w:eastAsia="仿宋" w:hAnsi="仿宋" w:hint="eastAsia"/>
          <w:sz w:val="30"/>
          <w:szCs w:val="30"/>
        </w:rPr>
        <w:t>仍是战略性新兴产业上市公司实施重组的主要目的。</w:t>
      </w:r>
    </w:p>
    <w:p w:rsidR="00A8643B" w:rsidRPr="00795FEB" w:rsidRDefault="002D6417" w:rsidP="00A8643B">
      <w:pPr>
        <w:spacing w:beforeLines="100" w:before="312" w:line="360" w:lineRule="auto"/>
        <w:ind w:firstLineChars="200" w:firstLine="602"/>
        <w:rPr>
          <w:rFonts w:ascii="仿宋" w:eastAsia="仿宋" w:hAnsi="仿宋"/>
          <w:sz w:val="30"/>
          <w:szCs w:val="30"/>
        </w:rPr>
      </w:pPr>
      <w:r>
        <w:rPr>
          <w:rFonts w:ascii="仿宋" w:eastAsia="仿宋" w:hAnsi="仿宋"/>
          <w:b/>
          <w:noProof/>
          <w:sz w:val="30"/>
          <w:szCs w:val="30"/>
        </w:rPr>
        <w:drawing>
          <wp:anchor distT="0" distB="0" distL="114300" distR="114300" simplePos="0" relativeHeight="251724800" behindDoc="0" locked="0" layoutInCell="1" allowOverlap="1" wp14:anchorId="2A6D750C" wp14:editId="44301F08">
            <wp:simplePos x="0" y="0"/>
            <wp:positionH relativeFrom="column">
              <wp:posOffset>433070</wp:posOffset>
            </wp:positionH>
            <wp:positionV relativeFrom="paragraph">
              <wp:posOffset>4443095</wp:posOffset>
            </wp:positionV>
            <wp:extent cx="4876800" cy="1882140"/>
            <wp:effectExtent l="0" t="0" r="0" b="381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A8643B" w:rsidRPr="00D94C62">
        <w:rPr>
          <w:rFonts w:ascii="仿宋" w:eastAsia="仿宋" w:hAnsi="仿宋" w:hint="eastAsia"/>
          <w:sz w:val="30"/>
          <w:szCs w:val="30"/>
        </w:rPr>
        <w:t>分领域来看，</w:t>
      </w:r>
      <w:r w:rsidR="00A8643B" w:rsidRPr="008C0052">
        <w:rPr>
          <w:rFonts w:ascii="仿宋" w:eastAsia="仿宋" w:hAnsi="仿宋" w:hint="eastAsia"/>
          <w:sz w:val="30"/>
          <w:szCs w:val="30"/>
        </w:rPr>
        <w:t>新一代信息技术</w:t>
      </w:r>
      <w:r w:rsidR="00A8643B">
        <w:rPr>
          <w:rFonts w:ascii="仿宋" w:eastAsia="仿宋" w:hAnsi="仿宋" w:hint="eastAsia"/>
          <w:sz w:val="30"/>
          <w:szCs w:val="30"/>
        </w:rPr>
        <w:t>及生物</w:t>
      </w:r>
      <w:r w:rsidR="00A8643B" w:rsidRPr="008C0052">
        <w:rPr>
          <w:rFonts w:ascii="仿宋" w:eastAsia="仿宋" w:hAnsi="仿宋" w:hint="eastAsia"/>
          <w:sz w:val="30"/>
          <w:szCs w:val="30"/>
        </w:rPr>
        <w:t>领域</w:t>
      </w:r>
      <w:r w:rsidR="00A8643B">
        <w:rPr>
          <w:rFonts w:ascii="仿宋" w:eastAsia="仿宋" w:hAnsi="仿宋" w:hint="eastAsia"/>
          <w:sz w:val="30"/>
          <w:szCs w:val="30"/>
        </w:rPr>
        <w:t>仍是</w:t>
      </w:r>
      <w:r w:rsidR="00A8643B" w:rsidRPr="008C0052">
        <w:rPr>
          <w:rFonts w:ascii="仿宋" w:eastAsia="仿宋" w:hAnsi="仿宋" w:hint="eastAsia"/>
          <w:sz w:val="30"/>
          <w:szCs w:val="30"/>
        </w:rPr>
        <w:t>重组活动最为活跃的</w:t>
      </w:r>
      <w:r w:rsidR="00A8643B">
        <w:rPr>
          <w:rFonts w:ascii="仿宋" w:eastAsia="仿宋" w:hAnsi="仿宋" w:hint="eastAsia"/>
          <w:sz w:val="30"/>
          <w:szCs w:val="30"/>
        </w:rPr>
        <w:t>两个</w:t>
      </w:r>
      <w:r w:rsidR="00A8643B" w:rsidRPr="008C0052">
        <w:rPr>
          <w:rFonts w:ascii="仿宋" w:eastAsia="仿宋" w:hAnsi="仿宋" w:hint="eastAsia"/>
          <w:sz w:val="30"/>
          <w:szCs w:val="30"/>
        </w:rPr>
        <w:t>领域</w:t>
      </w:r>
      <w:r w:rsidR="00A8643B" w:rsidRPr="00667920">
        <w:rPr>
          <w:rFonts w:ascii="仿宋" w:eastAsia="仿宋" w:hAnsi="仿宋" w:hint="eastAsia"/>
          <w:sz w:val="30"/>
          <w:szCs w:val="30"/>
        </w:rPr>
        <w:t>，</w:t>
      </w:r>
      <w:r w:rsidR="00A8643B">
        <w:rPr>
          <w:rFonts w:ascii="仿宋" w:eastAsia="仿宋" w:hAnsi="仿宋" w:hint="eastAsia"/>
          <w:sz w:val="30"/>
          <w:szCs w:val="30"/>
        </w:rPr>
        <w:t>一</w:t>
      </w:r>
      <w:r w:rsidR="00A8643B" w:rsidRPr="008C0052">
        <w:rPr>
          <w:rFonts w:ascii="仿宋" w:eastAsia="仿宋" w:hAnsi="仿宋" w:hint="eastAsia"/>
          <w:sz w:val="30"/>
          <w:szCs w:val="30"/>
        </w:rPr>
        <w:t>季度</w:t>
      </w:r>
      <w:r w:rsidR="00A8643B">
        <w:rPr>
          <w:rFonts w:ascii="仿宋" w:eastAsia="仿宋" w:hAnsi="仿宋" w:hint="eastAsia"/>
          <w:sz w:val="30"/>
          <w:szCs w:val="30"/>
        </w:rPr>
        <w:t>两大</w:t>
      </w:r>
      <w:r w:rsidR="00A8643B">
        <w:rPr>
          <w:rFonts w:ascii="仿宋" w:eastAsia="仿宋" w:hAnsi="仿宋"/>
          <w:sz w:val="30"/>
          <w:szCs w:val="30"/>
        </w:rPr>
        <w:t>领域</w:t>
      </w:r>
      <w:r w:rsidR="00A8643B" w:rsidRPr="008C0052">
        <w:rPr>
          <w:rFonts w:ascii="仿宋" w:eastAsia="仿宋" w:hAnsi="仿宋" w:hint="eastAsia"/>
          <w:sz w:val="30"/>
          <w:szCs w:val="30"/>
        </w:rPr>
        <w:t>共有</w:t>
      </w:r>
      <w:r w:rsidR="00A8643B">
        <w:rPr>
          <w:rFonts w:ascii="仿宋" w:eastAsia="仿宋" w:hAnsi="仿宋"/>
          <w:sz w:val="30"/>
          <w:szCs w:val="30"/>
        </w:rPr>
        <w:t>20</w:t>
      </w:r>
      <w:r w:rsidR="00A8643B" w:rsidRPr="008C0052">
        <w:rPr>
          <w:rFonts w:ascii="仿宋" w:eastAsia="仿宋" w:hAnsi="仿宋"/>
          <w:sz w:val="30"/>
          <w:szCs w:val="30"/>
        </w:rPr>
        <w:t>家企业完成重组</w:t>
      </w:r>
      <w:r w:rsidR="00A8643B" w:rsidRPr="008C0052">
        <w:rPr>
          <w:rFonts w:ascii="仿宋" w:eastAsia="仿宋" w:hAnsi="仿宋" w:hint="eastAsia"/>
          <w:sz w:val="30"/>
          <w:szCs w:val="30"/>
        </w:rPr>
        <w:t>。</w:t>
      </w:r>
      <w:r w:rsidR="00A8643B" w:rsidRPr="00795FEB">
        <w:rPr>
          <w:rFonts w:ascii="仿宋" w:eastAsia="仿宋" w:hAnsi="仿宋" w:hint="eastAsia"/>
          <w:sz w:val="30"/>
          <w:szCs w:val="30"/>
        </w:rPr>
        <w:t>例如，</w:t>
      </w:r>
      <w:r w:rsidR="00A8643B">
        <w:rPr>
          <w:rFonts w:ascii="仿宋" w:eastAsia="仿宋" w:hAnsi="仿宋" w:hint="eastAsia"/>
          <w:sz w:val="30"/>
          <w:szCs w:val="30"/>
        </w:rPr>
        <w:t>新一代</w:t>
      </w:r>
      <w:r w:rsidR="00A8643B">
        <w:rPr>
          <w:rFonts w:ascii="仿宋" w:eastAsia="仿宋" w:hAnsi="仿宋"/>
          <w:sz w:val="30"/>
          <w:szCs w:val="30"/>
        </w:rPr>
        <w:t>信息技术领域的</w:t>
      </w:r>
      <w:r w:rsidR="00A8643B" w:rsidRPr="00795FEB">
        <w:rPr>
          <w:rFonts w:ascii="仿宋" w:eastAsia="仿宋" w:hAnsi="仿宋" w:hint="eastAsia"/>
          <w:b/>
          <w:sz w:val="30"/>
          <w:szCs w:val="30"/>
        </w:rPr>
        <w:t>捷成股份</w:t>
      </w:r>
      <w:r w:rsidR="00A8643B" w:rsidRPr="00795FEB">
        <w:rPr>
          <w:rFonts w:ascii="仿宋" w:eastAsia="仿宋" w:hAnsi="仿宋" w:hint="eastAsia"/>
          <w:sz w:val="30"/>
          <w:szCs w:val="30"/>
        </w:rPr>
        <w:t>通过非公开发行股份并支付现金</w:t>
      </w:r>
      <w:r w:rsidR="00A8643B">
        <w:rPr>
          <w:rFonts w:ascii="仿宋" w:eastAsia="仿宋" w:hAnsi="仿宋" w:hint="eastAsia"/>
          <w:sz w:val="30"/>
          <w:szCs w:val="30"/>
        </w:rPr>
        <w:t>的</w:t>
      </w:r>
      <w:r w:rsidR="00A8643B" w:rsidRPr="00795FEB">
        <w:rPr>
          <w:rFonts w:ascii="仿宋" w:eastAsia="仿宋" w:hAnsi="仿宋" w:hint="eastAsia"/>
          <w:sz w:val="30"/>
          <w:szCs w:val="30"/>
        </w:rPr>
        <w:t>方式，购买华视网聚80%股权，交易金额为32亿元，</w:t>
      </w:r>
      <w:r w:rsidR="00A8643B">
        <w:rPr>
          <w:rFonts w:ascii="仿宋" w:eastAsia="仿宋" w:hAnsi="仿宋" w:hint="eastAsia"/>
          <w:sz w:val="30"/>
          <w:szCs w:val="30"/>
        </w:rPr>
        <w:t>通过</w:t>
      </w:r>
      <w:r w:rsidR="00A8643B">
        <w:rPr>
          <w:rFonts w:ascii="仿宋" w:eastAsia="仿宋" w:hAnsi="仿宋"/>
          <w:sz w:val="30"/>
          <w:szCs w:val="30"/>
        </w:rPr>
        <w:t>收购</w:t>
      </w:r>
      <w:r w:rsidR="00A8643B" w:rsidRPr="00F07464">
        <w:rPr>
          <w:rFonts w:ascii="仿宋" w:eastAsia="仿宋" w:hAnsi="仿宋" w:hint="eastAsia"/>
          <w:sz w:val="30"/>
          <w:szCs w:val="30"/>
        </w:rPr>
        <w:t>资产质量优良，具有良好的发展前景和较强盈利能力</w:t>
      </w:r>
      <w:r w:rsidR="00A8643B">
        <w:rPr>
          <w:rFonts w:ascii="仿宋" w:eastAsia="仿宋" w:hAnsi="仿宋" w:hint="eastAsia"/>
          <w:sz w:val="30"/>
          <w:szCs w:val="30"/>
        </w:rPr>
        <w:t>的</w:t>
      </w:r>
      <w:r w:rsidR="00A8643B" w:rsidRPr="00795FEB">
        <w:rPr>
          <w:rFonts w:ascii="仿宋" w:eastAsia="仿宋" w:hAnsi="仿宋" w:hint="eastAsia"/>
          <w:sz w:val="30"/>
          <w:szCs w:val="30"/>
        </w:rPr>
        <w:t>华视网聚</w:t>
      </w:r>
      <w:r w:rsidR="00A8643B">
        <w:rPr>
          <w:rFonts w:ascii="仿宋" w:eastAsia="仿宋" w:hAnsi="仿宋" w:hint="eastAsia"/>
          <w:sz w:val="30"/>
          <w:szCs w:val="30"/>
        </w:rPr>
        <w:t xml:space="preserve"> </w:t>
      </w:r>
      <w:r w:rsidR="00A8643B" w:rsidRPr="00F07464">
        <w:rPr>
          <w:rFonts w:ascii="仿宋" w:eastAsia="仿宋" w:hAnsi="仿宋" w:hint="eastAsia"/>
          <w:sz w:val="30"/>
          <w:szCs w:val="30"/>
        </w:rPr>
        <w:t>，将进一步提升捷成股份的业务规模，构建新的盈利增长点。</w:t>
      </w:r>
      <w:r w:rsidR="00A8643B">
        <w:rPr>
          <w:rFonts w:ascii="仿宋" w:eastAsia="仿宋" w:hAnsi="仿宋" w:hint="eastAsia"/>
          <w:sz w:val="30"/>
          <w:szCs w:val="30"/>
        </w:rPr>
        <w:t>生物</w:t>
      </w:r>
      <w:r w:rsidR="00A8643B">
        <w:rPr>
          <w:rFonts w:ascii="仿宋" w:eastAsia="仿宋" w:hAnsi="仿宋"/>
          <w:sz w:val="30"/>
          <w:szCs w:val="30"/>
        </w:rPr>
        <w:t>领域的</w:t>
      </w:r>
      <w:r w:rsidR="00A8643B" w:rsidRPr="00162521">
        <w:rPr>
          <w:rFonts w:ascii="仿宋" w:eastAsia="仿宋" w:hAnsi="仿宋" w:hint="eastAsia"/>
          <w:b/>
          <w:sz w:val="30"/>
          <w:szCs w:val="30"/>
        </w:rPr>
        <w:t>通化金马</w:t>
      </w:r>
      <w:r w:rsidR="00A8643B" w:rsidRPr="00603C3E">
        <w:rPr>
          <w:rFonts w:ascii="仿宋" w:eastAsia="仿宋" w:hAnsi="仿宋" w:hint="eastAsia"/>
          <w:sz w:val="30"/>
          <w:szCs w:val="30"/>
        </w:rPr>
        <w:t>通过向发行股份</w:t>
      </w:r>
      <w:r w:rsidR="00A8643B">
        <w:rPr>
          <w:rFonts w:ascii="仿宋" w:eastAsia="仿宋" w:hAnsi="仿宋" w:hint="eastAsia"/>
          <w:sz w:val="30"/>
          <w:szCs w:val="30"/>
        </w:rPr>
        <w:t>方式</w:t>
      </w:r>
      <w:r w:rsidR="00A8643B" w:rsidRPr="00603C3E">
        <w:rPr>
          <w:rFonts w:ascii="仿宋" w:eastAsia="仿宋" w:hAnsi="仿宋" w:hint="eastAsia"/>
          <w:sz w:val="30"/>
          <w:szCs w:val="30"/>
        </w:rPr>
        <w:t>购买</w:t>
      </w:r>
      <w:r w:rsidR="00A8643B">
        <w:rPr>
          <w:rFonts w:ascii="仿宋" w:eastAsia="仿宋" w:hAnsi="仿宋" w:hint="eastAsia"/>
          <w:sz w:val="30"/>
          <w:szCs w:val="30"/>
        </w:rPr>
        <w:t>了</w:t>
      </w:r>
      <w:r w:rsidR="00A8643B" w:rsidRPr="00603C3E">
        <w:rPr>
          <w:rFonts w:ascii="仿宋" w:eastAsia="仿宋" w:hAnsi="仿宋" w:hint="eastAsia"/>
          <w:sz w:val="30"/>
          <w:szCs w:val="30"/>
        </w:rPr>
        <w:t>圣泰生物100%股权</w:t>
      </w:r>
      <w:r w:rsidR="00A8643B">
        <w:rPr>
          <w:rFonts w:ascii="仿宋" w:eastAsia="仿宋" w:hAnsi="仿宋" w:hint="eastAsia"/>
          <w:sz w:val="30"/>
          <w:szCs w:val="30"/>
        </w:rPr>
        <w:t>，</w:t>
      </w:r>
      <w:r w:rsidR="00A8643B">
        <w:rPr>
          <w:rFonts w:ascii="仿宋" w:eastAsia="仿宋" w:hAnsi="仿宋"/>
          <w:sz w:val="30"/>
          <w:szCs w:val="30"/>
        </w:rPr>
        <w:t>通过</w:t>
      </w:r>
      <w:r w:rsidR="00A8643B" w:rsidRPr="00603C3E">
        <w:rPr>
          <w:rFonts w:ascii="仿宋" w:eastAsia="仿宋" w:hAnsi="仿宋" w:hint="eastAsia"/>
          <w:sz w:val="30"/>
          <w:szCs w:val="30"/>
        </w:rPr>
        <w:t>本次交易</w:t>
      </w:r>
      <w:r w:rsidR="00A8643B">
        <w:rPr>
          <w:rFonts w:ascii="仿宋" w:eastAsia="仿宋" w:hAnsi="仿宋" w:hint="eastAsia"/>
          <w:sz w:val="30"/>
          <w:szCs w:val="30"/>
        </w:rPr>
        <w:t>，</w:t>
      </w:r>
      <w:r w:rsidR="00A8643B" w:rsidRPr="00603C3E">
        <w:rPr>
          <w:rFonts w:ascii="仿宋" w:eastAsia="仿宋" w:hAnsi="仿宋" w:hint="eastAsia"/>
          <w:sz w:val="30"/>
          <w:szCs w:val="30"/>
        </w:rPr>
        <w:t>通化金马和圣泰生物将在原料采购、药品研发、销售整合、经营管理等方面进行整合，凸显各自优势，发挥协同效应。通化金马将改变原有单纯依赖自身积累的内生式发展方式，突破发展瓶颈，提高通化金马可持续发展能力。</w:t>
      </w:r>
    </w:p>
    <w:p w:rsidR="002D6417" w:rsidRDefault="002D6417" w:rsidP="00A8643B">
      <w:pPr>
        <w:spacing w:beforeLines="100" w:before="312" w:line="360" w:lineRule="auto"/>
        <w:ind w:firstLineChars="200" w:firstLine="600"/>
        <w:rPr>
          <w:rFonts w:ascii="仿宋" w:eastAsia="仿宋" w:hAnsi="仿宋"/>
          <w:color w:val="FF0000"/>
          <w:sz w:val="30"/>
          <w:szCs w:val="30"/>
        </w:rPr>
      </w:pPr>
    </w:p>
    <w:p w:rsidR="002D6417" w:rsidRDefault="002D6417" w:rsidP="00A8643B">
      <w:pPr>
        <w:spacing w:beforeLines="100" w:before="312" w:line="360" w:lineRule="auto"/>
        <w:ind w:firstLineChars="200" w:firstLine="600"/>
        <w:rPr>
          <w:rFonts w:ascii="仿宋" w:eastAsia="仿宋" w:hAnsi="仿宋"/>
          <w:color w:val="FF0000"/>
          <w:sz w:val="30"/>
          <w:szCs w:val="30"/>
        </w:rPr>
      </w:pPr>
    </w:p>
    <w:p w:rsidR="002D6417" w:rsidRDefault="002D6417" w:rsidP="00A8643B">
      <w:pPr>
        <w:spacing w:beforeLines="100" w:before="312" w:line="360" w:lineRule="auto"/>
        <w:ind w:firstLineChars="200" w:firstLine="600"/>
        <w:rPr>
          <w:rFonts w:ascii="仿宋" w:eastAsia="仿宋" w:hAnsi="仿宋"/>
          <w:color w:val="FF0000"/>
          <w:sz w:val="30"/>
          <w:szCs w:val="30"/>
        </w:rPr>
      </w:pPr>
      <w:r>
        <w:rPr>
          <w:rFonts w:ascii="仿宋" w:eastAsia="仿宋" w:hAnsi="仿宋"/>
          <w:noProof/>
          <w:color w:val="FF0000"/>
          <w:sz w:val="30"/>
          <w:szCs w:val="30"/>
        </w:rPr>
        <mc:AlternateContent>
          <mc:Choice Requires="wps">
            <w:drawing>
              <wp:anchor distT="0" distB="0" distL="114300" distR="114300" simplePos="0" relativeHeight="251737088" behindDoc="0" locked="0" layoutInCell="1" allowOverlap="1" wp14:anchorId="769C5B90" wp14:editId="67719760">
                <wp:simplePos x="0" y="0"/>
                <wp:positionH relativeFrom="column">
                  <wp:posOffset>642620</wp:posOffset>
                </wp:positionH>
                <wp:positionV relativeFrom="paragraph">
                  <wp:posOffset>593090</wp:posOffset>
                </wp:positionV>
                <wp:extent cx="4569460" cy="302895"/>
                <wp:effectExtent l="0" t="0" r="2540" b="190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290CC5" w:rsidRDefault="00A8643B" w:rsidP="00A8643B">
                            <w:pPr>
                              <w:jc w:val="center"/>
                            </w:pPr>
                            <w:r>
                              <w:rPr>
                                <w:rFonts w:hint="eastAsia"/>
                                <w:b/>
                              </w:rPr>
                              <w:t>图</w:t>
                            </w:r>
                            <w:r w:rsidR="002D6417">
                              <w:rPr>
                                <w:rFonts w:hint="eastAsia"/>
                                <w:b/>
                              </w:rPr>
                              <w:t>11</w:t>
                            </w:r>
                            <w:r>
                              <w:rPr>
                                <w:rFonts w:hint="eastAsia"/>
                                <w:b/>
                              </w:rPr>
                              <w:t xml:space="preserve"> </w:t>
                            </w:r>
                            <w:r>
                              <w:rPr>
                                <w:b/>
                              </w:rPr>
                              <w:t xml:space="preserve"> </w:t>
                            </w:r>
                            <w:r>
                              <w:rPr>
                                <w:rFonts w:hint="eastAsia"/>
                                <w:b/>
                              </w:rPr>
                              <w:t>近</w:t>
                            </w:r>
                            <w:r>
                              <w:rPr>
                                <w:b/>
                              </w:rPr>
                              <w:t>几个</w:t>
                            </w:r>
                            <w:r>
                              <w:rPr>
                                <w:rFonts w:hint="eastAsia"/>
                                <w:b/>
                              </w:rPr>
                              <w:t>季度战略性新兴产业上市公司完成重组数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9C5B90" id="文本框 24" o:spid="_x0000_s1036" type="#_x0000_t202" style="position:absolute;left:0;text-align:left;margin-left:50.6pt;margin-top:46.7pt;width:359.8pt;height:23.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" stroked="f">
                <v:textbox>
                  <w:txbxContent>
                    <w:p w:rsidR="00A8643B" w:rsidRPr="00290CC5" w:rsidRDefault="00A8643B" w:rsidP="00A8643B">
                      <w:pPr>
                        <w:jc w:val="center"/>
                      </w:pPr>
                      <w:r>
                        <w:rPr>
                          <w:rFonts w:hint="eastAsia"/>
                          <w:b/>
                        </w:rPr>
                        <w:t>图</w:t>
                      </w:r>
                      <w:r w:rsidR="002D6417">
                        <w:rPr>
                          <w:rFonts w:hint="eastAsia"/>
                          <w:b/>
                        </w:rPr>
                        <w:t>11</w:t>
                      </w:r>
                      <w:r>
                        <w:rPr>
                          <w:rFonts w:hint="eastAsia"/>
                          <w:b/>
                        </w:rPr>
                        <w:t xml:space="preserve"> </w:t>
                      </w:r>
                      <w:r>
                        <w:rPr>
                          <w:b/>
                        </w:rPr>
                        <w:t xml:space="preserve"> </w:t>
                      </w:r>
                      <w:r>
                        <w:rPr>
                          <w:rFonts w:hint="eastAsia"/>
                          <w:b/>
                        </w:rPr>
                        <w:t>近</w:t>
                      </w:r>
                      <w:r>
                        <w:rPr>
                          <w:b/>
                        </w:rPr>
                        <w:t>几个</w:t>
                      </w:r>
                      <w:r>
                        <w:rPr>
                          <w:rFonts w:hint="eastAsia"/>
                          <w:b/>
                        </w:rPr>
                        <w:t>季度战略性新兴产业上市公司完成重组数</w:t>
                      </w:r>
                    </w:p>
                  </w:txbxContent>
                </v:textbox>
              </v:shape>
            </w:pict>
          </mc:Fallback>
        </mc:AlternateContent>
      </w:r>
    </w:p>
    <w:p w:rsidR="00A8643B" w:rsidRDefault="00A8643B" w:rsidP="00A8643B">
      <w:pPr>
        <w:spacing w:beforeLines="100" w:before="312" w:line="360" w:lineRule="auto"/>
        <w:rPr>
          <w:rFonts w:ascii="仿宋" w:eastAsia="仿宋" w:hAnsi="仿宋"/>
          <w:b/>
          <w:sz w:val="30"/>
          <w:szCs w:val="30"/>
        </w:rPr>
      </w:pPr>
      <w:r>
        <w:rPr>
          <w:rFonts w:ascii="仿宋" w:eastAsia="仿宋" w:hAnsi="仿宋" w:hint="eastAsia"/>
          <w:b/>
          <w:sz w:val="30"/>
          <w:szCs w:val="30"/>
        </w:rPr>
        <w:lastRenderedPageBreak/>
        <w:t>（四）企业规模持续快速</w:t>
      </w:r>
      <w:r>
        <w:rPr>
          <w:rFonts w:ascii="仿宋" w:eastAsia="仿宋" w:hAnsi="仿宋"/>
          <w:b/>
          <w:sz w:val="30"/>
          <w:szCs w:val="30"/>
        </w:rPr>
        <w:t>扩张</w:t>
      </w:r>
      <w:r>
        <w:rPr>
          <w:rFonts w:ascii="仿宋" w:eastAsia="仿宋" w:hAnsi="仿宋" w:hint="eastAsia"/>
          <w:b/>
          <w:sz w:val="30"/>
          <w:szCs w:val="30"/>
        </w:rPr>
        <w:t>，投资延续缓慢下滑</w:t>
      </w:r>
      <w:r>
        <w:rPr>
          <w:rFonts w:ascii="仿宋" w:eastAsia="仿宋" w:hAnsi="仿宋"/>
          <w:b/>
          <w:sz w:val="30"/>
          <w:szCs w:val="30"/>
        </w:rPr>
        <w:t>趋势</w:t>
      </w:r>
    </w:p>
    <w:p w:rsidR="00A8643B" w:rsidRDefault="00A8643B" w:rsidP="00A8643B">
      <w:pPr>
        <w:spacing w:line="360" w:lineRule="auto"/>
        <w:ind w:firstLineChars="200" w:firstLine="600"/>
        <w:rPr>
          <w:rFonts w:ascii="仿宋" w:eastAsia="仿宋" w:hAnsi="仿宋"/>
          <w:sz w:val="30"/>
          <w:szCs w:val="30"/>
        </w:rPr>
      </w:pPr>
      <w:r>
        <w:rPr>
          <w:rFonts w:ascii="仿宋" w:eastAsia="仿宋" w:hAnsi="仿宋" w:hint="eastAsia"/>
          <w:sz w:val="30"/>
          <w:szCs w:val="30"/>
        </w:rPr>
        <w:t>一</w:t>
      </w:r>
      <w:r w:rsidRPr="002B1DB1">
        <w:rPr>
          <w:rFonts w:ascii="仿宋" w:eastAsia="仿宋" w:hAnsi="仿宋" w:hint="eastAsia"/>
          <w:sz w:val="30"/>
          <w:szCs w:val="30"/>
        </w:rPr>
        <w:t>季度，战略性新兴产业上市公司规模</w:t>
      </w:r>
      <w:r>
        <w:rPr>
          <w:rFonts w:ascii="仿宋" w:eastAsia="仿宋" w:hAnsi="仿宋" w:hint="eastAsia"/>
          <w:sz w:val="30"/>
          <w:szCs w:val="30"/>
        </w:rPr>
        <w:t>持续增长</w:t>
      </w:r>
      <w:r w:rsidRPr="002B1DB1">
        <w:rPr>
          <w:rFonts w:ascii="仿宋" w:eastAsia="仿宋" w:hAnsi="仿宋" w:hint="eastAsia"/>
          <w:sz w:val="30"/>
          <w:szCs w:val="30"/>
        </w:rPr>
        <w:t>，</w:t>
      </w:r>
      <w:r w:rsidRPr="0030722E">
        <w:rPr>
          <w:rFonts w:ascii="仿宋" w:eastAsia="仿宋" w:hAnsi="仿宋" w:hint="eastAsia"/>
          <w:sz w:val="30"/>
          <w:szCs w:val="30"/>
        </w:rPr>
        <w:t>资产规模达</w:t>
      </w:r>
      <w:r>
        <w:rPr>
          <w:rFonts w:ascii="仿宋" w:eastAsia="仿宋" w:hAnsi="仿宋" w:hint="eastAsia"/>
          <w:sz w:val="30"/>
          <w:szCs w:val="30"/>
        </w:rPr>
        <w:t>7.3</w:t>
      </w:r>
      <w:r w:rsidRPr="0030722E">
        <w:rPr>
          <w:rFonts w:ascii="仿宋" w:eastAsia="仿宋" w:hAnsi="仿宋" w:hint="eastAsia"/>
          <w:sz w:val="30"/>
          <w:szCs w:val="30"/>
        </w:rPr>
        <w:t>万亿元，较去年同期增长</w:t>
      </w:r>
      <w:r>
        <w:rPr>
          <w:rFonts w:ascii="仿宋" w:eastAsia="仿宋" w:hAnsi="仿宋" w:hint="eastAsia"/>
          <w:sz w:val="30"/>
          <w:szCs w:val="30"/>
        </w:rPr>
        <w:t>22.5</w:t>
      </w:r>
      <w:r w:rsidRPr="0030722E">
        <w:rPr>
          <w:rFonts w:ascii="仿宋" w:eastAsia="仿宋" w:hAnsi="仿宋" w:hint="eastAsia"/>
          <w:sz w:val="30"/>
          <w:szCs w:val="30"/>
        </w:rPr>
        <w:t>%（见图</w:t>
      </w:r>
      <w:r w:rsidR="00091CCF">
        <w:rPr>
          <w:rFonts w:ascii="仿宋" w:eastAsia="仿宋" w:hAnsi="仿宋"/>
          <w:sz w:val="30"/>
          <w:szCs w:val="30"/>
        </w:rPr>
        <w:t>12</w:t>
      </w:r>
      <w:r w:rsidRPr="0030722E">
        <w:rPr>
          <w:rFonts w:ascii="仿宋" w:eastAsia="仿宋" w:hAnsi="仿宋" w:hint="eastAsia"/>
          <w:sz w:val="30"/>
          <w:szCs w:val="30"/>
        </w:rPr>
        <w:t>）</w:t>
      </w:r>
      <w:r>
        <w:rPr>
          <w:rFonts w:ascii="仿宋" w:eastAsia="仿宋" w:hAnsi="仿宋" w:hint="eastAsia"/>
          <w:sz w:val="30"/>
          <w:szCs w:val="30"/>
        </w:rPr>
        <w:t>。与此同时</w:t>
      </w:r>
      <w:r>
        <w:rPr>
          <w:rFonts w:ascii="仿宋" w:eastAsia="仿宋" w:hAnsi="仿宋"/>
          <w:sz w:val="30"/>
          <w:szCs w:val="30"/>
        </w:rPr>
        <w:t>，</w:t>
      </w:r>
      <w:r>
        <w:rPr>
          <w:rFonts w:ascii="仿宋" w:eastAsia="仿宋" w:hAnsi="仿宋" w:hint="eastAsia"/>
          <w:sz w:val="30"/>
          <w:szCs w:val="30"/>
        </w:rPr>
        <w:t>战略性新兴产业上市公司资产负债率平稳下降至52%，低于四季度0.3个百分点，财务杠杆进一步下滑，降低</w:t>
      </w:r>
      <w:r>
        <w:rPr>
          <w:rFonts w:ascii="仿宋" w:eastAsia="仿宋" w:hAnsi="仿宋"/>
          <w:sz w:val="30"/>
          <w:szCs w:val="30"/>
        </w:rPr>
        <w:t>了</w:t>
      </w:r>
      <w:r>
        <w:rPr>
          <w:rFonts w:ascii="仿宋" w:eastAsia="仿宋" w:hAnsi="仿宋" w:hint="eastAsia"/>
          <w:sz w:val="30"/>
          <w:szCs w:val="30"/>
        </w:rPr>
        <w:t>企业</w:t>
      </w:r>
      <w:r>
        <w:rPr>
          <w:rFonts w:ascii="仿宋" w:eastAsia="仿宋" w:hAnsi="仿宋"/>
          <w:sz w:val="30"/>
          <w:szCs w:val="30"/>
        </w:rPr>
        <w:t>发展风险</w:t>
      </w:r>
      <w:r>
        <w:rPr>
          <w:rFonts w:ascii="仿宋" w:eastAsia="仿宋" w:hAnsi="仿宋" w:hint="eastAsia"/>
          <w:sz w:val="30"/>
          <w:szCs w:val="30"/>
        </w:rPr>
        <w:t>。</w:t>
      </w:r>
    </w:p>
    <w:p w:rsidR="00A8643B" w:rsidRPr="00062B6F" w:rsidRDefault="00A8643B" w:rsidP="00A8643B">
      <w:pPr>
        <w:spacing w:line="360" w:lineRule="auto"/>
        <w:ind w:firstLineChars="200" w:firstLine="600"/>
        <w:rPr>
          <w:rFonts w:ascii="仿宋" w:eastAsia="仿宋" w:hAnsi="仿宋"/>
          <w:sz w:val="30"/>
          <w:szCs w:val="30"/>
        </w:rPr>
      </w:pPr>
      <w:r w:rsidRPr="0098056F">
        <w:rPr>
          <w:rFonts w:ascii="仿宋" w:eastAsia="仿宋" w:hAnsi="仿宋"/>
          <w:noProof/>
          <w:sz w:val="30"/>
          <w:szCs w:val="30"/>
        </w:rPr>
        <w:drawing>
          <wp:anchor distT="0" distB="0" distL="114300" distR="114300" simplePos="0" relativeHeight="251725824" behindDoc="0" locked="0" layoutInCell="1" allowOverlap="1" wp14:anchorId="3303880F" wp14:editId="2987706E">
            <wp:simplePos x="0" y="0"/>
            <wp:positionH relativeFrom="column">
              <wp:posOffset>-52705</wp:posOffset>
            </wp:positionH>
            <wp:positionV relativeFrom="paragraph">
              <wp:posOffset>17780</wp:posOffset>
            </wp:positionV>
            <wp:extent cx="6210300" cy="1920240"/>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A8643B" w:rsidRDefault="00A8643B" w:rsidP="00A8643B">
      <w:pPr>
        <w:spacing w:line="360" w:lineRule="auto"/>
        <w:ind w:firstLineChars="200" w:firstLine="600"/>
        <w:rPr>
          <w:rFonts w:ascii="仿宋" w:eastAsia="仿宋" w:hAnsi="仿宋"/>
          <w:sz w:val="30"/>
          <w:szCs w:val="30"/>
        </w:rPr>
      </w:pPr>
    </w:p>
    <w:p w:rsidR="00A8643B" w:rsidRDefault="00A8643B" w:rsidP="00A8643B">
      <w:pPr>
        <w:spacing w:line="360" w:lineRule="auto"/>
        <w:ind w:firstLineChars="200" w:firstLine="600"/>
        <w:rPr>
          <w:rFonts w:ascii="仿宋" w:eastAsia="仿宋" w:hAnsi="仿宋"/>
          <w:sz w:val="30"/>
          <w:szCs w:val="30"/>
        </w:rPr>
      </w:pPr>
    </w:p>
    <w:p w:rsidR="00A8643B" w:rsidRDefault="00A8643B" w:rsidP="00A8643B">
      <w:pPr>
        <w:spacing w:line="360" w:lineRule="auto"/>
        <w:ind w:firstLineChars="200" w:firstLine="600"/>
        <w:rPr>
          <w:rFonts w:ascii="仿宋" w:eastAsia="仿宋" w:hAnsi="仿宋"/>
          <w:sz w:val="30"/>
          <w:szCs w:val="30"/>
        </w:rPr>
      </w:pPr>
    </w:p>
    <w:p w:rsidR="00A8643B" w:rsidRDefault="00A8643B" w:rsidP="00A8643B">
      <w:pPr>
        <w:spacing w:line="360" w:lineRule="auto"/>
        <w:ind w:firstLineChars="200" w:firstLine="420"/>
        <w:rPr>
          <w:rFonts w:ascii="仿宋" w:eastAsia="仿宋" w:hAnsi="仿宋"/>
          <w:sz w:val="30"/>
          <w:szCs w:val="30"/>
        </w:rPr>
      </w:pPr>
      <w:r>
        <w:rPr>
          <w:noProof/>
        </w:rPr>
        <mc:AlternateContent>
          <mc:Choice Requires="wps">
            <w:drawing>
              <wp:anchor distT="0" distB="0" distL="114300" distR="114300" simplePos="0" relativeHeight="251738112" behindDoc="0" locked="0" layoutInCell="1" allowOverlap="1">
                <wp:simplePos x="0" y="0"/>
                <wp:positionH relativeFrom="column">
                  <wp:posOffset>212090</wp:posOffset>
                </wp:positionH>
                <wp:positionV relativeFrom="paragraph">
                  <wp:posOffset>261620</wp:posOffset>
                </wp:positionV>
                <wp:extent cx="5269865" cy="366395"/>
                <wp:effectExtent l="0" t="0" r="6985"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F11A1B" w:rsidRDefault="00A8643B" w:rsidP="00A8643B">
                            <w:pPr>
                              <w:jc w:val="center"/>
                              <w:rPr>
                                <w:b/>
                              </w:rPr>
                            </w:pPr>
                            <w:r w:rsidRPr="00F11A1B">
                              <w:rPr>
                                <w:rFonts w:hint="eastAsia"/>
                                <w:b/>
                              </w:rPr>
                              <w:t>图</w:t>
                            </w:r>
                            <w:r w:rsidR="00091CCF">
                              <w:rPr>
                                <w:b/>
                              </w:rPr>
                              <w:t>12</w:t>
                            </w:r>
                            <w:r>
                              <w:rPr>
                                <w:b/>
                              </w:rPr>
                              <w:t xml:space="preserve"> </w:t>
                            </w:r>
                            <w:r w:rsidRPr="00F11A1B">
                              <w:rPr>
                                <w:rFonts w:hint="eastAsia"/>
                                <w:b/>
                              </w:rPr>
                              <w:t xml:space="preserve"> </w:t>
                            </w:r>
                            <w:r w:rsidRPr="00AF5D38">
                              <w:rPr>
                                <w:rFonts w:hint="eastAsia"/>
                                <w:b/>
                              </w:rPr>
                              <w:t>战略性新兴产业上市公司</w:t>
                            </w:r>
                            <w:r>
                              <w:rPr>
                                <w:rFonts w:hint="eastAsia"/>
                                <w:b/>
                              </w:rPr>
                              <w:t>资产总额情况</w:t>
                            </w:r>
                          </w:p>
                          <w:p w:rsidR="00A8643B" w:rsidRPr="0051169A" w:rsidRDefault="00A8643B" w:rsidP="00A8643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本框 23" o:spid="_x0000_s1037" type="#_x0000_t202" style="position:absolute;left:0;text-align:left;margin-left:16.7pt;margin-top:20.6pt;width:414.95pt;height:2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" stroked="f">
                <v:textbox>
                  <w:txbxContent>
                    <w:p w:rsidR="00A8643B" w:rsidRPr="00F11A1B" w:rsidRDefault="00A8643B" w:rsidP="00A8643B">
                      <w:pPr>
                        <w:jc w:val="center"/>
                        <w:rPr>
                          <w:b/>
                        </w:rPr>
                      </w:pPr>
                      <w:r w:rsidRPr="00F11A1B">
                        <w:rPr>
                          <w:rFonts w:hint="eastAsia"/>
                          <w:b/>
                        </w:rPr>
                        <w:t>图</w:t>
                      </w:r>
                      <w:r w:rsidR="00091CCF">
                        <w:rPr>
                          <w:b/>
                        </w:rPr>
                        <w:t>12</w:t>
                      </w:r>
                      <w:r>
                        <w:rPr>
                          <w:b/>
                        </w:rPr>
                        <w:t xml:space="preserve"> </w:t>
                      </w:r>
                      <w:r w:rsidRPr="00F11A1B">
                        <w:rPr>
                          <w:rFonts w:hint="eastAsia"/>
                          <w:b/>
                        </w:rPr>
                        <w:t xml:space="preserve"> </w:t>
                      </w:r>
                      <w:r w:rsidRPr="00AF5D38">
                        <w:rPr>
                          <w:rFonts w:hint="eastAsia"/>
                          <w:b/>
                        </w:rPr>
                        <w:t>战略性新兴产业上市公司</w:t>
                      </w:r>
                      <w:r>
                        <w:rPr>
                          <w:rFonts w:hint="eastAsia"/>
                          <w:b/>
                        </w:rPr>
                        <w:t>资产总额情况</w:t>
                      </w:r>
                    </w:p>
                    <w:p w:rsidR="00A8643B" w:rsidRPr="0051169A" w:rsidRDefault="00A8643B" w:rsidP="00A8643B">
                      <w:pPr>
                        <w:jc w:val="center"/>
                      </w:pPr>
                    </w:p>
                  </w:txbxContent>
                </v:textbox>
              </v:shape>
            </w:pict>
          </mc:Fallback>
        </mc:AlternateContent>
      </w:r>
    </w:p>
    <w:p w:rsidR="00A8643B" w:rsidRDefault="00A8643B" w:rsidP="00A8643B">
      <w:pPr>
        <w:spacing w:line="360" w:lineRule="auto"/>
        <w:ind w:firstLineChars="200" w:firstLine="600"/>
        <w:rPr>
          <w:rFonts w:ascii="仿宋" w:eastAsia="仿宋" w:hAnsi="仿宋"/>
          <w:sz w:val="30"/>
          <w:szCs w:val="30"/>
        </w:rPr>
      </w:pPr>
    </w:p>
    <w:p w:rsidR="00A8643B" w:rsidRDefault="00091CCF" w:rsidP="00A8643B">
      <w:pPr>
        <w:spacing w:line="360" w:lineRule="auto"/>
        <w:ind w:firstLineChars="200" w:firstLine="600"/>
        <w:rPr>
          <w:rFonts w:ascii="仿宋" w:eastAsia="仿宋" w:hAnsi="仿宋"/>
          <w:sz w:val="30"/>
          <w:szCs w:val="30"/>
        </w:rPr>
      </w:pPr>
      <w:r>
        <w:rPr>
          <w:rFonts w:ascii="仿宋" w:eastAsia="仿宋" w:hAnsi="仿宋"/>
          <w:noProof/>
          <w:color w:val="FF0000"/>
          <w:sz w:val="30"/>
          <w:szCs w:val="30"/>
        </w:rPr>
        <w:drawing>
          <wp:anchor distT="0" distB="0" distL="114300" distR="114300" simplePos="0" relativeHeight="251726848" behindDoc="0" locked="0" layoutInCell="1" allowOverlap="1" wp14:anchorId="5120C874" wp14:editId="71B6F0DD">
            <wp:simplePos x="0" y="0"/>
            <wp:positionH relativeFrom="column">
              <wp:posOffset>-5080</wp:posOffset>
            </wp:positionH>
            <wp:positionV relativeFrom="paragraph">
              <wp:posOffset>1850390</wp:posOffset>
            </wp:positionV>
            <wp:extent cx="5888990" cy="2375535"/>
            <wp:effectExtent l="0" t="0" r="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8643B">
        <w:rPr>
          <w:rFonts w:ascii="仿宋" w:eastAsia="仿宋" w:hAnsi="仿宋" w:hint="eastAsia"/>
          <w:sz w:val="30"/>
          <w:szCs w:val="30"/>
        </w:rPr>
        <w:t>一季度末，</w:t>
      </w:r>
      <w:r w:rsidR="00A8643B" w:rsidRPr="00183709">
        <w:rPr>
          <w:rFonts w:ascii="仿宋" w:eastAsia="仿宋" w:hAnsi="仿宋" w:hint="eastAsia"/>
          <w:sz w:val="30"/>
          <w:szCs w:val="30"/>
        </w:rPr>
        <w:t>战略性新兴产业</w:t>
      </w:r>
      <w:r w:rsidR="00A8643B" w:rsidRPr="00CA1A5C">
        <w:rPr>
          <w:rFonts w:ascii="仿宋" w:eastAsia="仿宋" w:hAnsi="仿宋" w:hint="eastAsia"/>
          <w:sz w:val="30"/>
          <w:szCs w:val="30"/>
        </w:rPr>
        <w:t>上市公司固定资产净值</w:t>
      </w:r>
      <w:r w:rsidR="00A8643B">
        <w:rPr>
          <w:rFonts w:ascii="仿宋" w:eastAsia="仿宋" w:hAnsi="仿宋" w:hint="eastAsia"/>
          <w:sz w:val="30"/>
          <w:szCs w:val="30"/>
        </w:rPr>
        <w:t>达8422.2</w:t>
      </w:r>
      <w:r w:rsidR="00A8643B" w:rsidRPr="00CA1A5C">
        <w:rPr>
          <w:rFonts w:ascii="仿宋" w:eastAsia="仿宋" w:hAnsi="仿宋" w:hint="eastAsia"/>
          <w:sz w:val="30"/>
          <w:szCs w:val="30"/>
        </w:rPr>
        <w:t>亿元，</w:t>
      </w:r>
      <w:r w:rsidR="00A8643B">
        <w:rPr>
          <w:rFonts w:ascii="仿宋" w:eastAsia="仿宋" w:hAnsi="仿宋" w:hint="eastAsia"/>
          <w:sz w:val="30"/>
          <w:szCs w:val="30"/>
        </w:rPr>
        <w:t>同比</w:t>
      </w:r>
      <w:r w:rsidR="00A8643B" w:rsidRPr="00CA1A5C">
        <w:rPr>
          <w:rFonts w:ascii="仿宋" w:eastAsia="仿宋" w:hAnsi="仿宋" w:hint="eastAsia"/>
          <w:sz w:val="30"/>
          <w:szCs w:val="30"/>
        </w:rPr>
        <w:t>增长</w:t>
      </w:r>
      <w:r w:rsidR="00A8643B" w:rsidRPr="00CA1A5C">
        <w:rPr>
          <w:rFonts w:ascii="仿宋" w:eastAsia="仿宋" w:hAnsi="仿宋"/>
          <w:sz w:val="30"/>
          <w:szCs w:val="30"/>
        </w:rPr>
        <w:t>1</w:t>
      </w:r>
      <w:r w:rsidR="00A8643B">
        <w:rPr>
          <w:rFonts w:ascii="仿宋" w:eastAsia="仿宋" w:hAnsi="仿宋" w:hint="eastAsia"/>
          <w:sz w:val="30"/>
          <w:szCs w:val="30"/>
        </w:rPr>
        <w:t>6.6</w:t>
      </w:r>
      <w:r w:rsidR="00A8643B" w:rsidRPr="00CA1A5C">
        <w:rPr>
          <w:rFonts w:ascii="仿宋" w:eastAsia="仿宋" w:hAnsi="仿宋"/>
          <w:sz w:val="30"/>
          <w:szCs w:val="30"/>
        </w:rPr>
        <w:t>%</w:t>
      </w:r>
      <w:r w:rsidR="00A8643B">
        <w:rPr>
          <w:rFonts w:ascii="仿宋" w:eastAsia="仿宋" w:hAnsi="仿宋" w:hint="eastAsia"/>
          <w:sz w:val="30"/>
          <w:szCs w:val="30"/>
        </w:rPr>
        <w:t>，受</w:t>
      </w:r>
      <w:r w:rsidR="00A8643B">
        <w:rPr>
          <w:rFonts w:ascii="仿宋" w:eastAsia="仿宋" w:hAnsi="仿宋"/>
          <w:sz w:val="30"/>
          <w:szCs w:val="30"/>
        </w:rPr>
        <w:t>经济</w:t>
      </w:r>
      <w:r w:rsidR="00A8643B">
        <w:rPr>
          <w:rFonts w:ascii="仿宋" w:eastAsia="仿宋" w:hAnsi="仿宋" w:hint="eastAsia"/>
          <w:sz w:val="30"/>
          <w:szCs w:val="30"/>
        </w:rPr>
        <w:t>整体形势不佳</w:t>
      </w:r>
      <w:r w:rsidR="00A8643B">
        <w:rPr>
          <w:rFonts w:ascii="仿宋" w:eastAsia="仿宋" w:hAnsi="仿宋"/>
          <w:sz w:val="30"/>
          <w:szCs w:val="30"/>
        </w:rPr>
        <w:t>影响，</w:t>
      </w:r>
      <w:r w:rsidR="00A8643B" w:rsidRPr="00CA1A5C">
        <w:rPr>
          <w:rFonts w:ascii="仿宋" w:eastAsia="仿宋" w:hAnsi="仿宋" w:hint="eastAsia"/>
          <w:sz w:val="30"/>
          <w:szCs w:val="30"/>
        </w:rPr>
        <w:t>固定资产净值</w:t>
      </w:r>
      <w:r w:rsidR="00A8643B">
        <w:rPr>
          <w:rFonts w:ascii="仿宋" w:eastAsia="仿宋" w:hAnsi="仿宋" w:hint="eastAsia"/>
          <w:sz w:val="30"/>
          <w:szCs w:val="30"/>
        </w:rPr>
        <w:t>增速已经</w:t>
      </w:r>
      <w:r w:rsidR="00A8643B">
        <w:rPr>
          <w:rFonts w:ascii="仿宋" w:eastAsia="仿宋" w:hAnsi="仿宋"/>
          <w:sz w:val="30"/>
          <w:szCs w:val="30"/>
        </w:rPr>
        <w:t>连续第</w:t>
      </w:r>
      <w:r w:rsidR="00A8643B">
        <w:rPr>
          <w:rFonts w:ascii="仿宋" w:eastAsia="仿宋" w:hAnsi="仿宋" w:hint="eastAsia"/>
          <w:sz w:val="30"/>
          <w:szCs w:val="30"/>
        </w:rPr>
        <w:t>4个</w:t>
      </w:r>
      <w:r w:rsidR="00A8643B">
        <w:rPr>
          <w:rFonts w:ascii="仿宋" w:eastAsia="仿宋" w:hAnsi="仿宋"/>
          <w:sz w:val="30"/>
          <w:szCs w:val="30"/>
        </w:rPr>
        <w:t>季度保持下滑趋势</w:t>
      </w:r>
      <w:r>
        <w:rPr>
          <w:rFonts w:ascii="仿宋" w:eastAsia="仿宋" w:hAnsi="仿宋" w:hint="eastAsia"/>
          <w:sz w:val="30"/>
          <w:szCs w:val="30"/>
        </w:rPr>
        <w:t>（见</w:t>
      </w:r>
      <w:r>
        <w:rPr>
          <w:rFonts w:ascii="仿宋" w:eastAsia="仿宋" w:hAnsi="仿宋"/>
          <w:sz w:val="30"/>
          <w:szCs w:val="30"/>
        </w:rPr>
        <w:t>图</w:t>
      </w:r>
      <w:r>
        <w:rPr>
          <w:rFonts w:ascii="仿宋" w:eastAsia="仿宋" w:hAnsi="仿宋" w:hint="eastAsia"/>
          <w:sz w:val="30"/>
          <w:szCs w:val="30"/>
        </w:rPr>
        <w:t>13</w:t>
      </w:r>
      <w:r>
        <w:rPr>
          <w:rFonts w:ascii="仿宋" w:eastAsia="仿宋" w:hAnsi="仿宋"/>
          <w:sz w:val="30"/>
          <w:szCs w:val="30"/>
        </w:rPr>
        <w:t>）</w:t>
      </w:r>
      <w:r w:rsidR="00A8643B">
        <w:rPr>
          <w:rFonts w:ascii="仿宋" w:eastAsia="仿宋" w:hAnsi="仿宋" w:hint="eastAsia"/>
          <w:sz w:val="30"/>
          <w:szCs w:val="30"/>
        </w:rPr>
        <w:t>。</w:t>
      </w:r>
      <w:r w:rsidR="00A8643B">
        <w:rPr>
          <w:rFonts w:ascii="仿宋" w:eastAsia="仿宋" w:hAnsi="仿宋"/>
          <w:sz w:val="30"/>
          <w:szCs w:val="30"/>
        </w:rPr>
        <w:t>但是，</w:t>
      </w:r>
      <w:r w:rsidR="00A8643B" w:rsidRPr="00183709">
        <w:rPr>
          <w:rFonts w:ascii="仿宋" w:eastAsia="仿宋" w:hAnsi="仿宋" w:hint="eastAsia"/>
          <w:sz w:val="30"/>
          <w:szCs w:val="30"/>
        </w:rPr>
        <w:t>战略性新兴产业</w:t>
      </w:r>
      <w:r w:rsidR="00A8643B" w:rsidRPr="00CA1A5C">
        <w:rPr>
          <w:rFonts w:ascii="仿宋" w:eastAsia="仿宋" w:hAnsi="仿宋" w:hint="eastAsia"/>
          <w:sz w:val="30"/>
          <w:szCs w:val="30"/>
        </w:rPr>
        <w:t>上市公司固定资产净值增速</w:t>
      </w:r>
      <w:r w:rsidR="00A8643B">
        <w:rPr>
          <w:rFonts w:ascii="仿宋" w:eastAsia="仿宋" w:hAnsi="仿宋" w:hint="eastAsia"/>
          <w:sz w:val="30"/>
          <w:szCs w:val="30"/>
        </w:rPr>
        <w:t>仍</w:t>
      </w:r>
      <w:r w:rsidR="00A8643B" w:rsidRPr="00CA1A5C">
        <w:rPr>
          <w:rFonts w:ascii="仿宋" w:eastAsia="仿宋" w:hAnsi="仿宋" w:hint="eastAsia"/>
          <w:sz w:val="30"/>
          <w:szCs w:val="30"/>
        </w:rPr>
        <w:t>高于上市公司总体</w:t>
      </w:r>
      <w:r w:rsidR="00A8643B">
        <w:rPr>
          <w:rFonts w:ascii="仿宋" w:eastAsia="仿宋" w:hAnsi="仿宋"/>
          <w:sz w:val="30"/>
          <w:szCs w:val="30"/>
        </w:rPr>
        <w:t>5.9</w:t>
      </w:r>
      <w:r w:rsidR="00A8643B">
        <w:rPr>
          <w:rFonts w:ascii="仿宋" w:eastAsia="仿宋" w:hAnsi="仿宋" w:hint="eastAsia"/>
          <w:sz w:val="30"/>
          <w:szCs w:val="30"/>
        </w:rPr>
        <w:t>个</w:t>
      </w:r>
      <w:r w:rsidR="00A8643B">
        <w:rPr>
          <w:rFonts w:ascii="仿宋" w:eastAsia="仿宋" w:hAnsi="仿宋"/>
          <w:sz w:val="30"/>
          <w:szCs w:val="30"/>
        </w:rPr>
        <w:t>百分点，</w:t>
      </w:r>
      <w:r w:rsidR="00A8643B">
        <w:rPr>
          <w:rFonts w:ascii="仿宋" w:eastAsia="仿宋" w:hAnsi="仿宋" w:hint="eastAsia"/>
          <w:sz w:val="30"/>
          <w:szCs w:val="30"/>
        </w:rPr>
        <w:t>投资扩张</w:t>
      </w:r>
      <w:r w:rsidR="00A8643B">
        <w:rPr>
          <w:rFonts w:ascii="仿宋" w:eastAsia="仿宋" w:hAnsi="仿宋"/>
          <w:sz w:val="30"/>
          <w:szCs w:val="30"/>
        </w:rPr>
        <w:t>速度大幅高于</w:t>
      </w:r>
      <w:r w:rsidR="00A8643B">
        <w:rPr>
          <w:rFonts w:ascii="仿宋" w:eastAsia="仿宋" w:hAnsi="仿宋" w:hint="eastAsia"/>
          <w:sz w:val="30"/>
          <w:szCs w:val="30"/>
        </w:rPr>
        <w:t>上市公司</w:t>
      </w:r>
      <w:r w:rsidR="00A8643B">
        <w:rPr>
          <w:rFonts w:ascii="仿宋" w:eastAsia="仿宋" w:hAnsi="仿宋"/>
          <w:sz w:val="30"/>
          <w:szCs w:val="30"/>
        </w:rPr>
        <w:t>总体</w:t>
      </w:r>
      <w:r w:rsidR="00A8643B" w:rsidRPr="00062B6F">
        <w:rPr>
          <w:rFonts w:ascii="仿宋" w:eastAsia="仿宋" w:hAnsi="仿宋" w:hint="eastAsia"/>
          <w:sz w:val="30"/>
          <w:szCs w:val="30"/>
        </w:rPr>
        <w:t>。</w:t>
      </w:r>
    </w:p>
    <w:p w:rsidR="00A8643B" w:rsidRDefault="00A8643B" w:rsidP="00A8643B">
      <w:pPr>
        <w:spacing w:line="360" w:lineRule="auto"/>
        <w:rPr>
          <w:rFonts w:ascii="仿宋" w:eastAsia="仿宋" w:hAnsi="仿宋"/>
          <w:sz w:val="30"/>
          <w:szCs w:val="30"/>
        </w:rPr>
      </w:pPr>
    </w:p>
    <w:p w:rsidR="00A8643B" w:rsidRDefault="00A8643B" w:rsidP="00A8643B">
      <w:pPr>
        <w:spacing w:line="360" w:lineRule="auto"/>
        <w:rPr>
          <w:rFonts w:ascii="仿宋" w:eastAsia="仿宋" w:hAnsi="仿宋"/>
          <w:sz w:val="30"/>
          <w:szCs w:val="30"/>
        </w:rPr>
      </w:pPr>
    </w:p>
    <w:p w:rsidR="00A8643B" w:rsidRDefault="00A8643B" w:rsidP="00A8643B">
      <w:pPr>
        <w:spacing w:beforeLines="100" w:before="312" w:line="360" w:lineRule="auto"/>
        <w:ind w:firstLineChars="200" w:firstLine="600"/>
        <w:rPr>
          <w:rFonts w:ascii="仿宋" w:eastAsia="仿宋" w:hAnsi="仿宋"/>
          <w:color w:val="FF0000"/>
          <w:sz w:val="30"/>
          <w:szCs w:val="30"/>
        </w:rPr>
      </w:pPr>
    </w:p>
    <w:p w:rsidR="00A8643B" w:rsidRPr="00A8643B" w:rsidRDefault="00A8643B" w:rsidP="00A8643B">
      <w:pPr>
        <w:rPr>
          <w:rFonts w:ascii="仿宋" w:eastAsia="仿宋" w:hAnsi="仿宋"/>
          <w:sz w:val="30"/>
          <w:szCs w:val="30"/>
        </w:rPr>
      </w:pPr>
    </w:p>
    <w:p w:rsidR="006B03B1" w:rsidRPr="00A8643B" w:rsidRDefault="00091CCF" w:rsidP="00A8643B">
      <w:pPr>
        <w:rPr>
          <w:rFonts w:ascii="仿宋" w:eastAsia="仿宋" w:hAnsi="仿宋"/>
          <w:sz w:val="30"/>
          <w:szCs w:val="30"/>
        </w:rPr>
      </w:pPr>
      <w:r>
        <w:rPr>
          <w:noProof/>
        </w:rPr>
        <mc:AlternateContent>
          <mc:Choice Requires="wps">
            <w:drawing>
              <wp:anchor distT="0" distB="0" distL="114300" distR="114300" simplePos="0" relativeHeight="251739136" behindDoc="0" locked="0" layoutInCell="1" allowOverlap="1" wp14:anchorId="3F6F7ACD" wp14:editId="32C6CDAF">
                <wp:simplePos x="0" y="0"/>
                <wp:positionH relativeFrom="column">
                  <wp:posOffset>424180</wp:posOffset>
                </wp:positionH>
                <wp:positionV relativeFrom="paragraph">
                  <wp:posOffset>351790</wp:posOffset>
                </wp:positionV>
                <wp:extent cx="5043805" cy="344170"/>
                <wp:effectExtent l="0" t="0" r="4445"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43B" w:rsidRPr="00F11A1B" w:rsidRDefault="00A8643B" w:rsidP="00A8643B">
                            <w:pPr>
                              <w:jc w:val="center"/>
                              <w:rPr>
                                <w:b/>
                              </w:rPr>
                            </w:pPr>
                            <w:r w:rsidRPr="00F11A1B">
                              <w:rPr>
                                <w:rFonts w:hint="eastAsia"/>
                                <w:b/>
                              </w:rPr>
                              <w:t>图</w:t>
                            </w:r>
                            <w:r w:rsidR="00091CCF">
                              <w:rPr>
                                <w:rFonts w:hint="eastAsia"/>
                                <w:b/>
                              </w:rPr>
                              <w:t>13</w:t>
                            </w:r>
                            <w:r>
                              <w:rPr>
                                <w:rFonts w:hint="eastAsia"/>
                                <w:b/>
                              </w:rPr>
                              <w:t xml:space="preserve"> </w:t>
                            </w:r>
                            <w:r>
                              <w:rPr>
                                <w:b/>
                              </w:rPr>
                              <w:t xml:space="preserve"> </w:t>
                            </w:r>
                            <w:r w:rsidRPr="00AF5D38">
                              <w:rPr>
                                <w:rFonts w:hint="eastAsia"/>
                                <w:b/>
                              </w:rPr>
                              <w:t>战略性新兴产业上市公司</w:t>
                            </w:r>
                            <w:r>
                              <w:rPr>
                                <w:rFonts w:hint="eastAsia"/>
                                <w:b/>
                              </w:rPr>
                              <w:t>固定资产净值增速变化</w:t>
                            </w:r>
                          </w:p>
                          <w:p w:rsidR="00A8643B" w:rsidRPr="005137A9" w:rsidRDefault="00A8643B" w:rsidP="00A8643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6F7ACD" id="文本框 22" o:spid="_x0000_s1038" type="#_x0000_t202" style="position:absolute;left:0;text-align:left;margin-left:33.4pt;margin-top:27.7pt;width:397.15pt;height:2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" stroked="f">
                <v:textbox>
                  <w:txbxContent>
                    <w:p w:rsidR="00A8643B" w:rsidRPr="00F11A1B" w:rsidRDefault="00A8643B" w:rsidP="00A8643B">
                      <w:pPr>
                        <w:jc w:val="center"/>
                        <w:rPr>
                          <w:b/>
                        </w:rPr>
                      </w:pPr>
                      <w:r w:rsidRPr="00F11A1B">
                        <w:rPr>
                          <w:rFonts w:hint="eastAsia"/>
                          <w:b/>
                        </w:rPr>
                        <w:t>图</w:t>
                      </w:r>
                      <w:r w:rsidR="00091CCF">
                        <w:rPr>
                          <w:rFonts w:hint="eastAsia"/>
                          <w:b/>
                        </w:rPr>
                        <w:t>13</w:t>
                      </w:r>
                      <w:r>
                        <w:rPr>
                          <w:rFonts w:hint="eastAsia"/>
                          <w:b/>
                        </w:rPr>
                        <w:t xml:space="preserve"> </w:t>
                      </w:r>
                      <w:r>
                        <w:rPr>
                          <w:b/>
                        </w:rPr>
                        <w:t xml:space="preserve"> </w:t>
                      </w:r>
                      <w:r w:rsidRPr="00AF5D38">
                        <w:rPr>
                          <w:rFonts w:hint="eastAsia"/>
                          <w:b/>
                        </w:rPr>
                        <w:t>战略性新兴产业上市公司</w:t>
                      </w:r>
                      <w:r>
                        <w:rPr>
                          <w:rFonts w:hint="eastAsia"/>
                          <w:b/>
                        </w:rPr>
                        <w:t>固定资产净值增速变化</w:t>
                      </w:r>
                    </w:p>
                    <w:p w:rsidR="00A8643B" w:rsidRPr="005137A9" w:rsidRDefault="00A8643B" w:rsidP="00A8643B">
                      <w:pPr>
                        <w:jc w:val="center"/>
                      </w:pPr>
                    </w:p>
                  </w:txbxContent>
                </v:textbox>
              </v:shape>
            </w:pict>
          </mc:Fallback>
        </mc:AlternateContent>
      </w:r>
    </w:p>
    <w:sectPr w:rsidR="006B03B1" w:rsidRPr="00A8643B" w:rsidSect="008749BC">
      <w:headerReference w:type="even" r:id="rId21"/>
      <w:headerReference w:type="default" r:id="rId22"/>
      <w:footerReference w:type="even" r:id="rId23"/>
      <w:footerReference w:type="default" r:id="rId24"/>
      <w:pgSz w:w="11907" w:h="16839" w:code="9"/>
      <w:pgMar w:top="1871" w:right="1418" w:bottom="1304" w:left="1418" w:header="1361" w:footer="680"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98" w:rsidRDefault="00064F98" w:rsidP="00B3686C">
      <w:r>
        <w:separator/>
      </w:r>
    </w:p>
  </w:endnote>
  <w:endnote w:type="continuationSeparator" w:id="0">
    <w:p w:rsidR="00064F98" w:rsidRDefault="00064F98" w:rsidP="00B3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04579"/>
      <w:docPartObj>
        <w:docPartGallery w:val="Page Numbers (Bottom of Page)"/>
        <w:docPartUnique/>
      </w:docPartObj>
    </w:sdtPr>
    <w:sdtEndPr/>
    <w:sdtContent>
      <w:p w:rsidR="00084C5B" w:rsidRDefault="00E0217C">
        <w:pPr>
          <w:pStyle w:val="a4"/>
          <w:jc w:val="center"/>
        </w:pPr>
        <w:r>
          <w:fldChar w:fldCharType="begin"/>
        </w:r>
        <w:r w:rsidR="00AF6C4F">
          <w:instrText>PAGE   \* MERGEFORMAT</w:instrText>
        </w:r>
        <w:r>
          <w:fldChar w:fldCharType="separate"/>
        </w:r>
        <w:r w:rsidR="00AF6C4F" w:rsidRPr="00084C5B">
          <w:rPr>
            <w:noProof/>
            <w:lang w:val="zh-CN"/>
          </w:rPr>
          <w:t>-</w:t>
        </w:r>
        <w:r w:rsidR="00AF6C4F">
          <w:rPr>
            <w:noProof/>
          </w:rPr>
          <w:t xml:space="preserve"> 6 -</w:t>
        </w:r>
        <w:r>
          <w:fldChar w:fldCharType="end"/>
        </w:r>
      </w:p>
    </w:sdtContent>
  </w:sdt>
  <w:p w:rsidR="00084C5B" w:rsidRDefault="00064F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30933"/>
      <w:docPartObj>
        <w:docPartGallery w:val="Page Numbers (Bottom of Page)"/>
        <w:docPartUnique/>
      </w:docPartObj>
    </w:sdtPr>
    <w:sdtEndPr/>
    <w:sdtContent>
      <w:p w:rsidR="00C54310" w:rsidRDefault="00E0217C">
        <w:pPr>
          <w:pStyle w:val="a4"/>
          <w:jc w:val="center"/>
        </w:pPr>
        <w:r>
          <w:fldChar w:fldCharType="begin"/>
        </w:r>
        <w:r w:rsidR="00C54310">
          <w:instrText>PAGE   \* MERGEFORMAT</w:instrText>
        </w:r>
        <w:r>
          <w:fldChar w:fldCharType="separate"/>
        </w:r>
        <w:r w:rsidR="005E6B42" w:rsidRPr="005E6B42">
          <w:rPr>
            <w:noProof/>
            <w:lang w:val="zh-CN"/>
          </w:rPr>
          <w:t>-</w:t>
        </w:r>
        <w:r w:rsidR="005E6B42">
          <w:rPr>
            <w:noProof/>
          </w:rPr>
          <w:t xml:space="preserve"> 9 -</w:t>
        </w:r>
        <w:r>
          <w:fldChar w:fldCharType="end"/>
        </w:r>
      </w:p>
    </w:sdtContent>
  </w:sdt>
  <w:p w:rsidR="00084C5B" w:rsidRDefault="00064F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98" w:rsidRDefault="00064F98" w:rsidP="00B3686C">
      <w:r>
        <w:separator/>
      </w:r>
    </w:p>
  </w:footnote>
  <w:footnote w:type="continuationSeparator" w:id="0">
    <w:p w:rsidR="00064F98" w:rsidRDefault="00064F98" w:rsidP="00B3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5B" w:rsidRDefault="00064F98" w:rsidP="00084C5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5B" w:rsidRDefault="00064F98" w:rsidP="00084C5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20"/>
    <w:rsid w:val="00000471"/>
    <w:rsid w:val="00000B12"/>
    <w:rsid w:val="00000D33"/>
    <w:rsid w:val="000033CA"/>
    <w:rsid w:val="00004395"/>
    <w:rsid w:val="000053B9"/>
    <w:rsid w:val="000064CC"/>
    <w:rsid w:val="00007909"/>
    <w:rsid w:val="00010430"/>
    <w:rsid w:val="00010D9E"/>
    <w:rsid w:val="00011A2D"/>
    <w:rsid w:val="00023191"/>
    <w:rsid w:val="000232B9"/>
    <w:rsid w:val="00026BED"/>
    <w:rsid w:val="00030473"/>
    <w:rsid w:val="0003077A"/>
    <w:rsid w:val="000353D9"/>
    <w:rsid w:val="0003656C"/>
    <w:rsid w:val="00036DA6"/>
    <w:rsid w:val="00037238"/>
    <w:rsid w:val="00037D12"/>
    <w:rsid w:val="00042389"/>
    <w:rsid w:val="00046071"/>
    <w:rsid w:val="00046C54"/>
    <w:rsid w:val="00047E36"/>
    <w:rsid w:val="000522AF"/>
    <w:rsid w:val="00057BFF"/>
    <w:rsid w:val="00060C2E"/>
    <w:rsid w:val="00062B6F"/>
    <w:rsid w:val="000635E6"/>
    <w:rsid w:val="00063B4A"/>
    <w:rsid w:val="00063D68"/>
    <w:rsid w:val="00064F98"/>
    <w:rsid w:val="00072E64"/>
    <w:rsid w:val="0007340A"/>
    <w:rsid w:val="00074388"/>
    <w:rsid w:val="000828AA"/>
    <w:rsid w:val="000835CB"/>
    <w:rsid w:val="00083618"/>
    <w:rsid w:val="000840DE"/>
    <w:rsid w:val="00085B2E"/>
    <w:rsid w:val="000912E0"/>
    <w:rsid w:val="0009167F"/>
    <w:rsid w:val="00091CCF"/>
    <w:rsid w:val="00094414"/>
    <w:rsid w:val="00094BCF"/>
    <w:rsid w:val="00096711"/>
    <w:rsid w:val="00097493"/>
    <w:rsid w:val="000A0613"/>
    <w:rsid w:val="000A0A57"/>
    <w:rsid w:val="000A30A1"/>
    <w:rsid w:val="000A411B"/>
    <w:rsid w:val="000A5F30"/>
    <w:rsid w:val="000A70E6"/>
    <w:rsid w:val="000B0A53"/>
    <w:rsid w:val="000B1329"/>
    <w:rsid w:val="000B1DAF"/>
    <w:rsid w:val="000B3650"/>
    <w:rsid w:val="000B42CE"/>
    <w:rsid w:val="000B6FC0"/>
    <w:rsid w:val="000B6FC4"/>
    <w:rsid w:val="000C2F9C"/>
    <w:rsid w:val="000C51E1"/>
    <w:rsid w:val="000C5E5C"/>
    <w:rsid w:val="000C66BB"/>
    <w:rsid w:val="000C6ECB"/>
    <w:rsid w:val="000D124D"/>
    <w:rsid w:val="000D3D1E"/>
    <w:rsid w:val="000D4761"/>
    <w:rsid w:val="000D6F10"/>
    <w:rsid w:val="000E1841"/>
    <w:rsid w:val="000E1903"/>
    <w:rsid w:val="000E728A"/>
    <w:rsid w:val="000F0CD1"/>
    <w:rsid w:val="000F15AD"/>
    <w:rsid w:val="000F64B9"/>
    <w:rsid w:val="000F6E03"/>
    <w:rsid w:val="00101257"/>
    <w:rsid w:val="00106D81"/>
    <w:rsid w:val="00107B9F"/>
    <w:rsid w:val="00112732"/>
    <w:rsid w:val="00112F39"/>
    <w:rsid w:val="00116205"/>
    <w:rsid w:val="00117EDD"/>
    <w:rsid w:val="00123830"/>
    <w:rsid w:val="00127CAC"/>
    <w:rsid w:val="00130D39"/>
    <w:rsid w:val="00131703"/>
    <w:rsid w:val="001318E1"/>
    <w:rsid w:val="00133670"/>
    <w:rsid w:val="00134DD0"/>
    <w:rsid w:val="0013759B"/>
    <w:rsid w:val="00137E0C"/>
    <w:rsid w:val="00140732"/>
    <w:rsid w:val="00141B1C"/>
    <w:rsid w:val="00141F18"/>
    <w:rsid w:val="00142543"/>
    <w:rsid w:val="00147399"/>
    <w:rsid w:val="00152893"/>
    <w:rsid w:val="0015369D"/>
    <w:rsid w:val="001537DF"/>
    <w:rsid w:val="001541CE"/>
    <w:rsid w:val="00157D79"/>
    <w:rsid w:val="001632CB"/>
    <w:rsid w:val="001643B6"/>
    <w:rsid w:val="00165ED0"/>
    <w:rsid w:val="00171498"/>
    <w:rsid w:val="00181B9E"/>
    <w:rsid w:val="00183B71"/>
    <w:rsid w:val="0018427E"/>
    <w:rsid w:val="00185E2F"/>
    <w:rsid w:val="00190040"/>
    <w:rsid w:val="0019057A"/>
    <w:rsid w:val="00192399"/>
    <w:rsid w:val="0019419D"/>
    <w:rsid w:val="00196E4C"/>
    <w:rsid w:val="001A18BF"/>
    <w:rsid w:val="001A19F2"/>
    <w:rsid w:val="001A1A33"/>
    <w:rsid w:val="001A3E1D"/>
    <w:rsid w:val="001A4E91"/>
    <w:rsid w:val="001A6A1C"/>
    <w:rsid w:val="001A7024"/>
    <w:rsid w:val="001A7897"/>
    <w:rsid w:val="001A7BA9"/>
    <w:rsid w:val="001B1D97"/>
    <w:rsid w:val="001B2C82"/>
    <w:rsid w:val="001B499B"/>
    <w:rsid w:val="001B5EC4"/>
    <w:rsid w:val="001B700D"/>
    <w:rsid w:val="001C153F"/>
    <w:rsid w:val="001C1542"/>
    <w:rsid w:val="001C1C62"/>
    <w:rsid w:val="001C2371"/>
    <w:rsid w:val="001C2FE4"/>
    <w:rsid w:val="001C399D"/>
    <w:rsid w:val="001C4C3E"/>
    <w:rsid w:val="001C696A"/>
    <w:rsid w:val="001D0E83"/>
    <w:rsid w:val="001D2891"/>
    <w:rsid w:val="001D5E3D"/>
    <w:rsid w:val="001D6D3A"/>
    <w:rsid w:val="001E1E4F"/>
    <w:rsid w:val="001E201D"/>
    <w:rsid w:val="001E35A6"/>
    <w:rsid w:val="001E448A"/>
    <w:rsid w:val="001E48E9"/>
    <w:rsid w:val="001E4A79"/>
    <w:rsid w:val="001E64FF"/>
    <w:rsid w:val="001F0091"/>
    <w:rsid w:val="001F0E2E"/>
    <w:rsid w:val="001F1FC9"/>
    <w:rsid w:val="001F292D"/>
    <w:rsid w:val="001F2A8D"/>
    <w:rsid w:val="001F57DD"/>
    <w:rsid w:val="001F5DC4"/>
    <w:rsid w:val="001F6616"/>
    <w:rsid w:val="001F69B3"/>
    <w:rsid w:val="001F7258"/>
    <w:rsid w:val="00202184"/>
    <w:rsid w:val="002055E5"/>
    <w:rsid w:val="0020763F"/>
    <w:rsid w:val="0020765F"/>
    <w:rsid w:val="00207779"/>
    <w:rsid w:val="00211C7E"/>
    <w:rsid w:val="0021261D"/>
    <w:rsid w:val="00214C02"/>
    <w:rsid w:val="00215F75"/>
    <w:rsid w:val="00217BD9"/>
    <w:rsid w:val="002218AF"/>
    <w:rsid w:val="002224E0"/>
    <w:rsid w:val="00222BCC"/>
    <w:rsid w:val="00226825"/>
    <w:rsid w:val="00227EFE"/>
    <w:rsid w:val="00232744"/>
    <w:rsid w:val="00233674"/>
    <w:rsid w:val="002343A2"/>
    <w:rsid w:val="0023687D"/>
    <w:rsid w:val="002372C7"/>
    <w:rsid w:val="00240C81"/>
    <w:rsid w:val="0024372F"/>
    <w:rsid w:val="0024554C"/>
    <w:rsid w:val="00246F39"/>
    <w:rsid w:val="0024736B"/>
    <w:rsid w:val="00247F1F"/>
    <w:rsid w:val="00247F9A"/>
    <w:rsid w:val="00247FC5"/>
    <w:rsid w:val="002518F8"/>
    <w:rsid w:val="00252535"/>
    <w:rsid w:val="002526D9"/>
    <w:rsid w:val="002532AA"/>
    <w:rsid w:val="00253DF7"/>
    <w:rsid w:val="00254E52"/>
    <w:rsid w:val="00256516"/>
    <w:rsid w:val="002579D9"/>
    <w:rsid w:val="002611C8"/>
    <w:rsid w:val="00261B61"/>
    <w:rsid w:val="002634D0"/>
    <w:rsid w:val="00263D1E"/>
    <w:rsid w:val="00264197"/>
    <w:rsid w:val="002644A2"/>
    <w:rsid w:val="00267B8F"/>
    <w:rsid w:val="002703B1"/>
    <w:rsid w:val="0027263B"/>
    <w:rsid w:val="00273243"/>
    <w:rsid w:val="0027346A"/>
    <w:rsid w:val="0027404B"/>
    <w:rsid w:val="002806F1"/>
    <w:rsid w:val="0028081C"/>
    <w:rsid w:val="00281088"/>
    <w:rsid w:val="002818BB"/>
    <w:rsid w:val="00281F82"/>
    <w:rsid w:val="002823D4"/>
    <w:rsid w:val="0028356F"/>
    <w:rsid w:val="00284CA7"/>
    <w:rsid w:val="00287EE1"/>
    <w:rsid w:val="00290CC5"/>
    <w:rsid w:val="00290EE5"/>
    <w:rsid w:val="00297C74"/>
    <w:rsid w:val="002A2D8F"/>
    <w:rsid w:val="002A5249"/>
    <w:rsid w:val="002A54F3"/>
    <w:rsid w:val="002B0B04"/>
    <w:rsid w:val="002B17A6"/>
    <w:rsid w:val="002B1DB1"/>
    <w:rsid w:val="002B28C4"/>
    <w:rsid w:val="002B29C1"/>
    <w:rsid w:val="002B3354"/>
    <w:rsid w:val="002B3A7D"/>
    <w:rsid w:val="002B42AC"/>
    <w:rsid w:val="002B4A46"/>
    <w:rsid w:val="002B7EE2"/>
    <w:rsid w:val="002C3274"/>
    <w:rsid w:val="002D0B2F"/>
    <w:rsid w:val="002D0CF4"/>
    <w:rsid w:val="002D3C67"/>
    <w:rsid w:val="002D40EC"/>
    <w:rsid w:val="002D42C1"/>
    <w:rsid w:val="002D5F3F"/>
    <w:rsid w:val="002D6417"/>
    <w:rsid w:val="002E0160"/>
    <w:rsid w:val="002E0AB4"/>
    <w:rsid w:val="002E14A9"/>
    <w:rsid w:val="002E22A4"/>
    <w:rsid w:val="002E57E4"/>
    <w:rsid w:val="002E6D06"/>
    <w:rsid w:val="002E7894"/>
    <w:rsid w:val="002E7D5B"/>
    <w:rsid w:val="002F25E3"/>
    <w:rsid w:val="003025B3"/>
    <w:rsid w:val="003031A8"/>
    <w:rsid w:val="003060B3"/>
    <w:rsid w:val="003069C3"/>
    <w:rsid w:val="0030722E"/>
    <w:rsid w:val="00310382"/>
    <w:rsid w:val="003137AF"/>
    <w:rsid w:val="00314146"/>
    <w:rsid w:val="00314183"/>
    <w:rsid w:val="0031443B"/>
    <w:rsid w:val="00314575"/>
    <w:rsid w:val="00314D5A"/>
    <w:rsid w:val="0032063A"/>
    <w:rsid w:val="0032279C"/>
    <w:rsid w:val="003254DE"/>
    <w:rsid w:val="003270A4"/>
    <w:rsid w:val="0032757E"/>
    <w:rsid w:val="003322F1"/>
    <w:rsid w:val="003329A4"/>
    <w:rsid w:val="00332EDC"/>
    <w:rsid w:val="00335BBF"/>
    <w:rsid w:val="00335E36"/>
    <w:rsid w:val="00335FC9"/>
    <w:rsid w:val="00337329"/>
    <w:rsid w:val="0034039B"/>
    <w:rsid w:val="003414CD"/>
    <w:rsid w:val="00342BBE"/>
    <w:rsid w:val="00345E6F"/>
    <w:rsid w:val="00347D4F"/>
    <w:rsid w:val="003537EE"/>
    <w:rsid w:val="00354CC0"/>
    <w:rsid w:val="003561F9"/>
    <w:rsid w:val="00356496"/>
    <w:rsid w:val="00357454"/>
    <w:rsid w:val="00357532"/>
    <w:rsid w:val="003654A5"/>
    <w:rsid w:val="003665B1"/>
    <w:rsid w:val="00366DB7"/>
    <w:rsid w:val="0037033F"/>
    <w:rsid w:val="00372ECB"/>
    <w:rsid w:val="00375671"/>
    <w:rsid w:val="00375C8C"/>
    <w:rsid w:val="00375FF1"/>
    <w:rsid w:val="0038161D"/>
    <w:rsid w:val="00381754"/>
    <w:rsid w:val="0038204F"/>
    <w:rsid w:val="0038363A"/>
    <w:rsid w:val="00385933"/>
    <w:rsid w:val="00385D20"/>
    <w:rsid w:val="003870F8"/>
    <w:rsid w:val="00390DC9"/>
    <w:rsid w:val="0039234B"/>
    <w:rsid w:val="00392DC7"/>
    <w:rsid w:val="003950A6"/>
    <w:rsid w:val="00395209"/>
    <w:rsid w:val="00397865"/>
    <w:rsid w:val="003A0E7B"/>
    <w:rsid w:val="003A3075"/>
    <w:rsid w:val="003A529B"/>
    <w:rsid w:val="003A5CF7"/>
    <w:rsid w:val="003B0E0A"/>
    <w:rsid w:val="003B37B2"/>
    <w:rsid w:val="003B498E"/>
    <w:rsid w:val="003B5629"/>
    <w:rsid w:val="003B5715"/>
    <w:rsid w:val="003B5B0A"/>
    <w:rsid w:val="003B5F79"/>
    <w:rsid w:val="003B6ED2"/>
    <w:rsid w:val="003B72B5"/>
    <w:rsid w:val="003C0AF3"/>
    <w:rsid w:val="003C1155"/>
    <w:rsid w:val="003C2257"/>
    <w:rsid w:val="003C2B4A"/>
    <w:rsid w:val="003C2F15"/>
    <w:rsid w:val="003C3311"/>
    <w:rsid w:val="003D1B9C"/>
    <w:rsid w:val="003D2082"/>
    <w:rsid w:val="003D4885"/>
    <w:rsid w:val="003D5E55"/>
    <w:rsid w:val="003E1BE5"/>
    <w:rsid w:val="003E2571"/>
    <w:rsid w:val="003E5FB6"/>
    <w:rsid w:val="003E652E"/>
    <w:rsid w:val="003E7701"/>
    <w:rsid w:val="003E773B"/>
    <w:rsid w:val="003F0D0F"/>
    <w:rsid w:val="003F7346"/>
    <w:rsid w:val="003F7891"/>
    <w:rsid w:val="00400AB0"/>
    <w:rsid w:val="004018BD"/>
    <w:rsid w:val="00401FDC"/>
    <w:rsid w:val="00402893"/>
    <w:rsid w:val="00403B91"/>
    <w:rsid w:val="00405435"/>
    <w:rsid w:val="00405AC0"/>
    <w:rsid w:val="004064F3"/>
    <w:rsid w:val="00410EAB"/>
    <w:rsid w:val="00410F16"/>
    <w:rsid w:val="00411055"/>
    <w:rsid w:val="004119FB"/>
    <w:rsid w:val="004125D7"/>
    <w:rsid w:val="00416EDD"/>
    <w:rsid w:val="004176D5"/>
    <w:rsid w:val="00421C18"/>
    <w:rsid w:val="00422220"/>
    <w:rsid w:val="00422BFE"/>
    <w:rsid w:val="00426FD3"/>
    <w:rsid w:val="004304A8"/>
    <w:rsid w:val="004316AA"/>
    <w:rsid w:val="00432736"/>
    <w:rsid w:val="004363EB"/>
    <w:rsid w:val="004378EA"/>
    <w:rsid w:val="00445C80"/>
    <w:rsid w:val="00445E76"/>
    <w:rsid w:val="0044685B"/>
    <w:rsid w:val="00453C97"/>
    <w:rsid w:val="00454FA2"/>
    <w:rsid w:val="00457E36"/>
    <w:rsid w:val="004610D9"/>
    <w:rsid w:val="00463D24"/>
    <w:rsid w:val="00466516"/>
    <w:rsid w:val="00466EC7"/>
    <w:rsid w:val="0046735F"/>
    <w:rsid w:val="00471C01"/>
    <w:rsid w:val="004728FF"/>
    <w:rsid w:val="00472DFE"/>
    <w:rsid w:val="00472E51"/>
    <w:rsid w:val="00472F2A"/>
    <w:rsid w:val="0047318D"/>
    <w:rsid w:val="00473513"/>
    <w:rsid w:val="0047428D"/>
    <w:rsid w:val="00474762"/>
    <w:rsid w:val="0047590E"/>
    <w:rsid w:val="00480298"/>
    <w:rsid w:val="0048321F"/>
    <w:rsid w:val="00483304"/>
    <w:rsid w:val="0048472D"/>
    <w:rsid w:val="00484A66"/>
    <w:rsid w:val="00485A80"/>
    <w:rsid w:val="004864FA"/>
    <w:rsid w:val="00487D95"/>
    <w:rsid w:val="004912B6"/>
    <w:rsid w:val="00491E5B"/>
    <w:rsid w:val="00493E96"/>
    <w:rsid w:val="00495326"/>
    <w:rsid w:val="00497CBB"/>
    <w:rsid w:val="00497DBF"/>
    <w:rsid w:val="004A26D1"/>
    <w:rsid w:val="004A3C28"/>
    <w:rsid w:val="004A43BB"/>
    <w:rsid w:val="004A44BB"/>
    <w:rsid w:val="004A6A81"/>
    <w:rsid w:val="004B0589"/>
    <w:rsid w:val="004B30FD"/>
    <w:rsid w:val="004B3959"/>
    <w:rsid w:val="004B498D"/>
    <w:rsid w:val="004C0D2C"/>
    <w:rsid w:val="004C2242"/>
    <w:rsid w:val="004C25FE"/>
    <w:rsid w:val="004C58D4"/>
    <w:rsid w:val="004D149C"/>
    <w:rsid w:val="004D38CD"/>
    <w:rsid w:val="004D3BA8"/>
    <w:rsid w:val="004D4502"/>
    <w:rsid w:val="004D5D80"/>
    <w:rsid w:val="004D6071"/>
    <w:rsid w:val="004D63B0"/>
    <w:rsid w:val="004D74D1"/>
    <w:rsid w:val="004D7B3C"/>
    <w:rsid w:val="004E05FC"/>
    <w:rsid w:val="004E17F5"/>
    <w:rsid w:val="004E1EEB"/>
    <w:rsid w:val="004E6D20"/>
    <w:rsid w:val="004F2BF6"/>
    <w:rsid w:val="004F3682"/>
    <w:rsid w:val="004F389C"/>
    <w:rsid w:val="005012D3"/>
    <w:rsid w:val="005014FC"/>
    <w:rsid w:val="0050189F"/>
    <w:rsid w:val="005018CA"/>
    <w:rsid w:val="00502862"/>
    <w:rsid w:val="0050323B"/>
    <w:rsid w:val="00503734"/>
    <w:rsid w:val="00503793"/>
    <w:rsid w:val="00504E2E"/>
    <w:rsid w:val="00506728"/>
    <w:rsid w:val="005075C8"/>
    <w:rsid w:val="00510C28"/>
    <w:rsid w:val="0051169A"/>
    <w:rsid w:val="00513377"/>
    <w:rsid w:val="005137A9"/>
    <w:rsid w:val="005150CB"/>
    <w:rsid w:val="005158C4"/>
    <w:rsid w:val="00515D29"/>
    <w:rsid w:val="0052008F"/>
    <w:rsid w:val="005206A3"/>
    <w:rsid w:val="00524B07"/>
    <w:rsid w:val="005269D5"/>
    <w:rsid w:val="0052787B"/>
    <w:rsid w:val="00530218"/>
    <w:rsid w:val="00530288"/>
    <w:rsid w:val="00531B67"/>
    <w:rsid w:val="005345A0"/>
    <w:rsid w:val="00542E0C"/>
    <w:rsid w:val="0055345B"/>
    <w:rsid w:val="005558F7"/>
    <w:rsid w:val="00556865"/>
    <w:rsid w:val="00562697"/>
    <w:rsid w:val="00563AA0"/>
    <w:rsid w:val="0056501E"/>
    <w:rsid w:val="00566022"/>
    <w:rsid w:val="00566CB6"/>
    <w:rsid w:val="00567B7D"/>
    <w:rsid w:val="005728AA"/>
    <w:rsid w:val="00572BCF"/>
    <w:rsid w:val="005732C1"/>
    <w:rsid w:val="00574D1B"/>
    <w:rsid w:val="00574EDC"/>
    <w:rsid w:val="005808DA"/>
    <w:rsid w:val="005812A8"/>
    <w:rsid w:val="005845C3"/>
    <w:rsid w:val="005917E0"/>
    <w:rsid w:val="00591D78"/>
    <w:rsid w:val="005970D3"/>
    <w:rsid w:val="00597BAC"/>
    <w:rsid w:val="005A1D9C"/>
    <w:rsid w:val="005A3AAC"/>
    <w:rsid w:val="005A4259"/>
    <w:rsid w:val="005A5D56"/>
    <w:rsid w:val="005A75C7"/>
    <w:rsid w:val="005B17BE"/>
    <w:rsid w:val="005B2230"/>
    <w:rsid w:val="005B258E"/>
    <w:rsid w:val="005B42E8"/>
    <w:rsid w:val="005B4EEC"/>
    <w:rsid w:val="005B61BD"/>
    <w:rsid w:val="005C3490"/>
    <w:rsid w:val="005C5F62"/>
    <w:rsid w:val="005C6E69"/>
    <w:rsid w:val="005C7305"/>
    <w:rsid w:val="005D07D9"/>
    <w:rsid w:val="005D258A"/>
    <w:rsid w:val="005D408E"/>
    <w:rsid w:val="005D42D6"/>
    <w:rsid w:val="005D6C8C"/>
    <w:rsid w:val="005E0D9B"/>
    <w:rsid w:val="005E186C"/>
    <w:rsid w:val="005E2ECC"/>
    <w:rsid w:val="005E3068"/>
    <w:rsid w:val="005E35FD"/>
    <w:rsid w:val="005E5194"/>
    <w:rsid w:val="005E6814"/>
    <w:rsid w:val="005E69EE"/>
    <w:rsid w:val="005E6B42"/>
    <w:rsid w:val="005E7646"/>
    <w:rsid w:val="005F1525"/>
    <w:rsid w:val="005F1C8A"/>
    <w:rsid w:val="005F32E8"/>
    <w:rsid w:val="005F3D41"/>
    <w:rsid w:val="005F4372"/>
    <w:rsid w:val="005F4E3E"/>
    <w:rsid w:val="005F5188"/>
    <w:rsid w:val="005F538F"/>
    <w:rsid w:val="005F5A3E"/>
    <w:rsid w:val="00601046"/>
    <w:rsid w:val="0060307E"/>
    <w:rsid w:val="006039BB"/>
    <w:rsid w:val="00606F26"/>
    <w:rsid w:val="006072DA"/>
    <w:rsid w:val="00611264"/>
    <w:rsid w:val="006114BC"/>
    <w:rsid w:val="00612F6B"/>
    <w:rsid w:val="00614598"/>
    <w:rsid w:val="006179E2"/>
    <w:rsid w:val="00621B1C"/>
    <w:rsid w:val="00623A73"/>
    <w:rsid w:val="00625291"/>
    <w:rsid w:val="00627238"/>
    <w:rsid w:val="00631B01"/>
    <w:rsid w:val="00631FD2"/>
    <w:rsid w:val="00642A16"/>
    <w:rsid w:val="00653396"/>
    <w:rsid w:val="00653F74"/>
    <w:rsid w:val="00655227"/>
    <w:rsid w:val="0065782E"/>
    <w:rsid w:val="00663A70"/>
    <w:rsid w:val="006654B3"/>
    <w:rsid w:val="006663E2"/>
    <w:rsid w:val="00667303"/>
    <w:rsid w:val="00667920"/>
    <w:rsid w:val="00670CDA"/>
    <w:rsid w:val="006743B2"/>
    <w:rsid w:val="0068149C"/>
    <w:rsid w:val="00684070"/>
    <w:rsid w:val="006849D6"/>
    <w:rsid w:val="00686440"/>
    <w:rsid w:val="00686666"/>
    <w:rsid w:val="00692B5D"/>
    <w:rsid w:val="0069303E"/>
    <w:rsid w:val="006948DD"/>
    <w:rsid w:val="00695269"/>
    <w:rsid w:val="006A1DCD"/>
    <w:rsid w:val="006A304E"/>
    <w:rsid w:val="006A37C0"/>
    <w:rsid w:val="006A6F16"/>
    <w:rsid w:val="006B00CC"/>
    <w:rsid w:val="006B02A0"/>
    <w:rsid w:val="006B03B1"/>
    <w:rsid w:val="006B1368"/>
    <w:rsid w:val="006B1492"/>
    <w:rsid w:val="006B199E"/>
    <w:rsid w:val="006B7574"/>
    <w:rsid w:val="006C1C8A"/>
    <w:rsid w:val="006C4B7C"/>
    <w:rsid w:val="006C56B1"/>
    <w:rsid w:val="006C5D8D"/>
    <w:rsid w:val="006C5DCC"/>
    <w:rsid w:val="006D01CE"/>
    <w:rsid w:val="006D0790"/>
    <w:rsid w:val="006D0D27"/>
    <w:rsid w:val="006D1BB6"/>
    <w:rsid w:val="006D1EF1"/>
    <w:rsid w:val="006D3044"/>
    <w:rsid w:val="006D35C9"/>
    <w:rsid w:val="006D521B"/>
    <w:rsid w:val="006D72F1"/>
    <w:rsid w:val="006D7DBA"/>
    <w:rsid w:val="006E0EAD"/>
    <w:rsid w:val="006E34E2"/>
    <w:rsid w:val="006F1607"/>
    <w:rsid w:val="006F21BB"/>
    <w:rsid w:val="006F273E"/>
    <w:rsid w:val="006F4C44"/>
    <w:rsid w:val="006F791B"/>
    <w:rsid w:val="006F7EFB"/>
    <w:rsid w:val="00700A3F"/>
    <w:rsid w:val="007013F7"/>
    <w:rsid w:val="00702AE9"/>
    <w:rsid w:val="007049FD"/>
    <w:rsid w:val="00705C21"/>
    <w:rsid w:val="00707D19"/>
    <w:rsid w:val="0071226F"/>
    <w:rsid w:val="00712850"/>
    <w:rsid w:val="00713F7B"/>
    <w:rsid w:val="00714D35"/>
    <w:rsid w:val="007214DA"/>
    <w:rsid w:val="00723847"/>
    <w:rsid w:val="007240F6"/>
    <w:rsid w:val="0072624F"/>
    <w:rsid w:val="0072670D"/>
    <w:rsid w:val="0073045A"/>
    <w:rsid w:val="0073106A"/>
    <w:rsid w:val="007320A4"/>
    <w:rsid w:val="00732909"/>
    <w:rsid w:val="00734788"/>
    <w:rsid w:val="007347F9"/>
    <w:rsid w:val="007350B1"/>
    <w:rsid w:val="00736402"/>
    <w:rsid w:val="00736EA5"/>
    <w:rsid w:val="007415E2"/>
    <w:rsid w:val="007449D3"/>
    <w:rsid w:val="00744D9C"/>
    <w:rsid w:val="0074503D"/>
    <w:rsid w:val="00746B63"/>
    <w:rsid w:val="0075056F"/>
    <w:rsid w:val="00750BD5"/>
    <w:rsid w:val="00752B2D"/>
    <w:rsid w:val="00756C94"/>
    <w:rsid w:val="00761F14"/>
    <w:rsid w:val="0076231A"/>
    <w:rsid w:val="0076267A"/>
    <w:rsid w:val="007629C0"/>
    <w:rsid w:val="00763814"/>
    <w:rsid w:val="007654F2"/>
    <w:rsid w:val="00773E68"/>
    <w:rsid w:val="007776BD"/>
    <w:rsid w:val="00780442"/>
    <w:rsid w:val="00781008"/>
    <w:rsid w:val="00781A4C"/>
    <w:rsid w:val="0078271B"/>
    <w:rsid w:val="00782E15"/>
    <w:rsid w:val="00784C10"/>
    <w:rsid w:val="00785D55"/>
    <w:rsid w:val="00790E7E"/>
    <w:rsid w:val="0079140F"/>
    <w:rsid w:val="007935E6"/>
    <w:rsid w:val="00793935"/>
    <w:rsid w:val="00794850"/>
    <w:rsid w:val="007955B9"/>
    <w:rsid w:val="00797B9E"/>
    <w:rsid w:val="007A0DFC"/>
    <w:rsid w:val="007A2124"/>
    <w:rsid w:val="007A3BA7"/>
    <w:rsid w:val="007A448B"/>
    <w:rsid w:val="007A6ABB"/>
    <w:rsid w:val="007A7076"/>
    <w:rsid w:val="007B0381"/>
    <w:rsid w:val="007B1397"/>
    <w:rsid w:val="007B31D7"/>
    <w:rsid w:val="007B54C4"/>
    <w:rsid w:val="007B5B36"/>
    <w:rsid w:val="007C0400"/>
    <w:rsid w:val="007C1F9D"/>
    <w:rsid w:val="007C27C7"/>
    <w:rsid w:val="007C40FC"/>
    <w:rsid w:val="007C42BC"/>
    <w:rsid w:val="007C60E4"/>
    <w:rsid w:val="007C6ABE"/>
    <w:rsid w:val="007C7E02"/>
    <w:rsid w:val="007D07AA"/>
    <w:rsid w:val="007D175C"/>
    <w:rsid w:val="007D1C5A"/>
    <w:rsid w:val="007D3FAF"/>
    <w:rsid w:val="007D4736"/>
    <w:rsid w:val="007D618E"/>
    <w:rsid w:val="007D723B"/>
    <w:rsid w:val="007E11B9"/>
    <w:rsid w:val="007E279C"/>
    <w:rsid w:val="007E2C1F"/>
    <w:rsid w:val="007E57EE"/>
    <w:rsid w:val="007F1F72"/>
    <w:rsid w:val="007F358D"/>
    <w:rsid w:val="007F4F86"/>
    <w:rsid w:val="007F66BF"/>
    <w:rsid w:val="007F7394"/>
    <w:rsid w:val="00802E64"/>
    <w:rsid w:val="00815A89"/>
    <w:rsid w:val="00815C93"/>
    <w:rsid w:val="008164BD"/>
    <w:rsid w:val="00817608"/>
    <w:rsid w:val="00821996"/>
    <w:rsid w:val="00821BB7"/>
    <w:rsid w:val="0082307D"/>
    <w:rsid w:val="00823CE9"/>
    <w:rsid w:val="00827347"/>
    <w:rsid w:val="0082769C"/>
    <w:rsid w:val="00827F2E"/>
    <w:rsid w:val="00831A0F"/>
    <w:rsid w:val="00834E98"/>
    <w:rsid w:val="008373A1"/>
    <w:rsid w:val="00844624"/>
    <w:rsid w:val="00845B2C"/>
    <w:rsid w:val="00846A73"/>
    <w:rsid w:val="008478FF"/>
    <w:rsid w:val="00850158"/>
    <w:rsid w:val="0085093A"/>
    <w:rsid w:val="00852001"/>
    <w:rsid w:val="00853B47"/>
    <w:rsid w:val="0085494B"/>
    <w:rsid w:val="00860CA1"/>
    <w:rsid w:val="00861B14"/>
    <w:rsid w:val="008652AF"/>
    <w:rsid w:val="00865C6E"/>
    <w:rsid w:val="00871E6E"/>
    <w:rsid w:val="00874EAA"/>
    <w:rsid w:val="00875441"/>
    <w:rsid w:val="00875695"/>
    <w:rsid w:val="00881E57"/>
    <w:rsid w:val="00885BE8"/>
    <w:rsid w:val="00885D46"/>
    <w:rsid w:val="00886053"/>
    <w:rsid w:val="0088797F"/>
    <w:rsid w:val="00887C3C"/>
    <w:rsid w:val="00890CE6"/>
    <w:rsid w:val="00893962"/>
    <w:rsid w:val="00894435"/>
    <w:rsid w:val="00895A6C"/>
    <w:rsid w:val="00895D38"/>
    <w:rsid w:val="008A1608"/>
    <w:rsid w:val="008A2518"/>
    <w:rsid w:val="008A2A22"/>
    <w:rsid w:val="008A33B8"/>
    <w:rsid w:val="008A36E0"/>
    <w:rsid w:val="008A3EF3"/>
    <w:rsid w:val="008A404B"/>
    <w:rsid w:val="008A4095"/>
    <w:rsid w:val="008A486D"/>
    <w:rsid w:val="008A64A1"/>
    <w:rsid w:val="008A77D0"/>
    <w:rsid w:val="008B1660"/>
    <w:rsid w:val="008B34BD"/>
    <w:rsid w:val="008B476A"/>
    <w:rsid w:val="008B65EC"/>
    <w:rsid w:val="008B6DDE"/>
    <w:rsid w:val="008C0052"/>
    <w:rsid w:val="008C2DF7"/>
    <w:rsid w:val="008C4C15"/>
    <w:rsid w:val="008C6CFC"/>
    <w:rsid w:val="008C6E40"/>
    <w:rsid w:val="008C6F90"/>
    <w:rsid w:val="008D156E"/>
    <w:rsid w:val="008D2301"/>
    <w:rsid w:val="008D27E9"/>
    <w:rsid w:val="008D45CB"/>
    <w:rsid w:val="008D544B"/>
    <w:rsid w:val="008D6232"/>
    <w:rsid w:val="008E0425"/>
    <w:rsid w:val="008E15BA"/>
    <w:rsid w:val="008E2FA5"/>
    <w:rsid w:val="008E3DE8"/>
    <w:rsid w:val="008E4C97"/>
    <w:rsid w:val="008E5DC3"/>
    <w:rsid w:val="008E61AF"/>
    <w:rsid w:val="008F1016"/>
    <w:rsid w:val="008F2453"/>
    <w:rsid w:val="008F2DB4"/>
    <w:rsid w:val="008F5A1C"/>
    <w:rsid w:val="008F651A"/>
    <w:rsid w:val="00901197"/>
    <w:rsid w:val="00902D50"/>
    <w:rsid w:val="00904353"/>
    <w:rsid w:val="00911569"/>
    <w:rsid w:val="009153D1"/>
    <w:rsid w:val="00916516"/>
    <w:rsid w:val="00921EBD"/>
    <w:rsid w:val="0092255B"/>
    <w:rsid w:val="0092345F"/>
    <w:rsid w:val="00925F47"/>
    <w:rsid w:val="00941303"/>
    <w:rsid w:val="0094307D"/>
    <w:rsid w:val="00944AC1"/>
    <w:rsid w:val="00945977"/>
    <w:rsid w:val="00946A9F"/>
    <w:rsid w:val="00950046"/>
    <w:rsid w:val="009540D6"/>
    <w:rsid w:val="009554EB"/>
    <w:rsid w:val="009562F1"/>
    <w:rsid w:val="00956E17"/>
    <w:rsid w:val="00960B19"/>
    <w:rsid w:val="00963C8C"/>
    <w:rsid w:val="00967803"/>
    <w:rsid w:val="00967C63"/>
    <w:rsid w:val="0097030C"/>
    <w:rsid w:val="00971DE2"/>
    <w:rsid w:val="00972069"/>
    <w:rsid w:val="00972183"/>
    <w:rsid w:val="00972356"/>
    <w:rsid w:val="0097250F"/>
    <w:rsid w:val="0097271D"/>
    <w:rsid w:val="00972D63"/>
    <w:rsid w:val="009732B6"/>
    <w:rsid w:val="00975679"/>
    <w:rsid w:val="0097605F"/>
    <w:rsid w:val="0097632A"/>
    <w:rsid w:val="009770FC"/>
    <w:rsid w:val="009773BF"/>
    <w:rsid w:val="0098056F"/>
    <w:rsid w:val="00981E96"/>
    <w:rsid w:val="00981EF0"/>
    <w:rsid w:val="00983823"/>
    <w:rsid w:val="009852A0"/>
    <w:rsid w:val="009857FA"/>
    <w:rsid w:val="00990502"/>
    <w:rsid w:val="009922AB"/>
    <w:rsid w:val="00992AF3"/>
    <w:rsid w:val="00992D1C"/>
    <w:rsid w:val="009935DB"/>
    <w:rsid w:val="00993838"/>
    <w:rsid w:val="00994979"/>
    <w:rsid w:val="009961E5"/>
    <w:rsid w:val="00996683"/>
    <w:rsid w:val="00996B9A"/>
    <w:rsid w:val="00996DF9"/>
    <w:rsid w:val="00997174"/>
    <w:rsid w:val="009971EF"/>
    <w:rsid w:val="009972AD"/>
    <w:rsid w:val="009A0728"/>
    <w:rsid w:val="009A0C41"/>
    <w:rsid w:val="009A0CC2"/>
    <w:rsid w:val="009A0F19"/>
    <w:rsid w:val="009A1568"/>
    <w:rsid w:val="009A1804"/>
    <w:rsid w:val="009A2E1F"/>
    <w:rsid w:val="009A40DA"/>
    <w:rsid w:val="009A4F4F"/>
    <w:rsid w:val="009A5F17"/>
    <w:rsid w:val="009A6B8B"/>
    <w:rsid w:val="009A7D90"/>
    <w:rsid w:val="009B1172"/>
    <w:rsid w:val="009B2036"/>
    <w:rsid w:val="009B3CB5"/>
    <w:rsid w:val="009B7A8F"/>
    <w:rsid w:val="009B7DCD"/>
    <w:rsid w:val="009C04C0"/>
    <w:rsid w:val="009C0A9D"/>
    <w:rsid w:val="009C27B6"/>
    <w:rsid w:val="009C3450"/>
    <w:rsid w:val="009C373B"/>
    <w:rsid w:val="009C7376"/>
    <w:rsid w:val="009D0C7D"/>
    <w:rsid w:val="009D1A0F"/>
    <w:rsid w:val="009D39C7"/>
    <w:rsid w:val="009D78E6"/>
    <w:rsid w:val="009D7CBE"/>
    <w:rsid w:val="009E02C0"/>
    <w:rsid w:val="009E08C6"/>
    <w:rsid w:val="009E1A99"/>
    <w:rsid w:val="009E1CA0"/>
    <w:rsid w:val="009E210B"/>
    <w:rsid w:val="009E3E65"/>
    <w:rsid w:val="009E4EBC"/>
    <w:rsid w:val="009F18DF"/>
    <w:rsid w:val="009F2277"/>
    <w:rsid w:val="009F2FE4"/>
    <w:rsid w:val="009F34E7"/>
    <w:rsid w:val="009F3E5D"/>
    <w:rsid w:val="009F482D"/>
    <w:rsid w:val="009F6417"/>
    <w:rsid w:val="009F7263"/>
    <w:rsid w:val="00A00235"/>
    <w:rsid w:val="00A01290"/>
    <w:rsid w:val="00A01DCD"/>
    <w:rsid w:val="00A02CFE"/>
    <w:rsid w:val="00A03BA0"/>
    <w:rsid w:val="00A046D9"/>
    <w:rsid w:val="00A04D33"/>
    <w:rsid w:val="00A06D6A"/>
    <w:rsid w:val="00A108D8"/>
    <w:rsid w:val="00A111CB"/>
    <w:rsid w:val="00A11598"/>
    <w:rsid w:val="00A12252"/>
    <w:rsid w:val="00A1339F"/>
    <w:rsid w:val="00A13624"/>
    <w:rsid w:val="00A136B2"/>
    <w:rsid w:val="00A16294"/>
    <w:rsid w:val="00A20B02"/>
    <w:rsid w:val="00A21442"/>
    <w:rsid w:val="00A242F8"/>
    <w:rsid w:val="00A313B3"/>
    <w:rsid w:val="00A31F02"/>
    <w:rsid w:val="00A32B1E"/>
    <w:rsid w:val="00A33114"/>
    <w:rsid w:val="00A3410A"/>
    <w:rsid w:val="00A346BC"/>
    <w:rsid w:val="00A34DD3"/>
    <w:rsid w:val="00A35883"/>
    <w:rsid w:val="00A365F8"/>
    <w:rsid w:val="00A40865"/>
    <w:rsid w:val="00A41F91"/>
    <w:rsid w:val="00A45458"/>
    <w:rsid w:val="00A45C71"/>
    <w:rsid w:val="00A45E91"/>
    <w:rsid w:val="00A47F22"/>
    <w:rsid w:val="00A500F6"/>
    <w:rsid w:val="00A50419"/>
    <w:rsid w:val="00A51D30"/>
    <w:rsid w:val="00A52D9B"/>
    <w:rsid w:val="00A53CD7"/>
    <w:rsid w:val="00A54BCD"/>
    <w:rsid w:val="00A54E29"/>
    <w:rsid w:val="00A55A28"/>
    <w:rsid w:val="00A56CBB"/>
    <w:rsid w:val="00A57C4A"/>
    <w:rsid w:val="00A608FE"/>
    <w:rsid w:val="00A66296"/>
    <w:rsid w:val="00A66A5F"/>
    <w:rsid w:val="00A66F30"/>
    <w:rsid w:val="00A67DF0"/>
    <w:rsid w:val="00A7007C"/>
    <w:rsid w:val="00A703C1"/>
    <w:rsid w:val="00A711BB"/>
    <w:rsid w:val="00A71505"/>
    <w:rsid w:val="00A72191"/>
    <w:rsid w:val="00A76068"/>
    <w:rsid w:val="00A766F3"/>
    <w:rsid w:val="00A76BEF"/>
    <w:rsid w:val="00A800BC"/>
    <w:rsid w:val="00A808CC"/>
    <w:rsid w:val="00A81F48"/>
    <w:rsid w:val="00A8392B"/>
    <w:rsid w:val="00A852E6"/>
    <w:rsid w:val="00A855E0"/>
    <w:rsid w:val="00A85D30"/>
    <w:rsid w:val="00A8643B"/>
    <w:rsid w:val="00A86871"/>
    <w:rsid w:val="00A911E0"/>
    <w:rsid w:val="00A91353"/>
    <w:rsid w:val="00A91433"/>
    <w:rsid w:val="00A9254C"/>
    <w:rsid w:val="00A92772"/>
    <w:rsid w:val="00A944FE"/>
    <w:rsid w:val="00AA1FC5"/>
    <w:rsid w:val="00AA2CF9"/>
    <w:rsid w:val="00AA471A"/>
    <w:rsid w:val="00AA49F8"/>
    <w:rsid w:val="00AA7AC2"/>
    <w:rsid w:val="00AB03A1"/>
    <w:rsid w:val="00AB09B8"/>
    <w:rsid w:val="00AB09DF"/>
    <w:rsid w:val="00AB4B4B"/>
    <w:rsid w:val="00AB62D3"/>
    <w:rsid w:val="00AB6D79"/>
    <w:rsid w:val="00AB6D9E"/>
    <w:rsid w:val="00AC0C82"/>
    <w:rsid w:val="00AC144F"/>
    <w:rsid w:val="00AC15E2"/>
    <w:rsid w:val="00AC2319"/>
    <w:rsid w:val="00AC3566"/>
    <w:rsid w:val="00AC3E90"/>
    <w:rsid w:val="00AC457E"/>
    <w:rsid w:val="00AC5522"/>
    <w:rsid w:val="00AC7418"/>
    <w:rsid w:val="00AD1CFC"/>
    <w:rsid w:val="00AE366F"/>
    <w:rsid w:val="00AF1B5F"/>
    <w:rsid w:val="00AF261F"/>
    <w:rsid w:val="00AF319E"/>
    <w:rsid w:val="00AF3852"/>
    <w:rsid w:val="00AF44D7"/>
    <w:rsid w:val="00AF4862"/>
    <w:rsid w:val="00AF5D38"/>
    <w:rsid w:val="00AF61FE"/>
    <w:rsid w:val="00AF6C4F"/>
    <w:rsid w:val="00AF7A52"/>
    <w:rsid w:val="00AF7EF1"/>
    <w:rsid w:val="00B003FB"/>
    <w:rsid w:val="00B018A9"/>
    <w:rsid w:val="00B01B1F"/>
    <w:rsid w:val="00B02F91"/>
    <w:rsid w:val="00B03614"/>
    <w:rsid w:val="00B1172B"/>
    <w:rsid w:val="00B1193B"/>
    <w:rsid w:val="00B129E2"/>
    <w:rsid w:val="00B13336"/>
    <w:rsid w:val="00B134A7"/>
    <w:rsid w:val="00B14A17"/>
    <w:rsid w:val="00B161A5"/>
    <w:rsid w:val="00B1645D"/>
    <w:rsid w:val="00B20028"/>
    <w:rsid w:val="00B21698"/>
    <w:rsid w:val="00B22399"/>
    <w:rsid w:val="00B22A45"/>
    <w:rsid w:val="00B235B2"/>
    <w:rsid w:val="00B23E14"/>
    <w:rsid w:val="00B246EE"/>
    <w:rsid w:val="00B308C8"/>
    <w:rsid w:val="00B3095E"/>
    <w:rsid w:val="00B315FF"/>
    <w:rsid w:val="00B33B8F"/>
    <w:rsid w:val="00B340D2"/>
    <w:rsid w:val="00B34CA6"/>
    <w:rsid w:val="00B35313"/>
    <w:rsid w:val="00B3623E"/>
    <w:rsid w:val="00B3686C"/>
    <w:rsid w:val="00B415BB"/>
    <w:rsid w:val="00B419E4"/>
    <w:rsid w:val="00B43B8E"/>
    <w:rsid w:val="00B4472B"/>
    <w:rsid w:val="00B44C48"/>
    <w:rsid w:val="00B51B4D"/>
    <w:rsid w:val="00B51FF8"/>
    <w:rsid w:val="00B55869"/>
    <w:rsid w:val="00B55C22"/>
    <w:rsid w:val="00B604A6"/>
    <w:rsid w:val="00B63ABC"/>
    <w:rsid w:val="00B648A7"/>
    <w:rsid w:val="00B65892"/>
    <w:rsid w:val="00B65F27"/>
    <w:rsid w:val="00B70D5D"/>
    <w:rsid w:val="00B751F8"/>
    <w:rsid w:val="00B76D4B"/>
    <w:rsid w:val="00B77720"/>
    <w:rsid w:val="00B77D6F"/>
    <w:rsid w:val="00B821AF"/>
    <w:rsid w:val="00B83499"/>
    <w:rsid w:val="00B84EC0"/>
    <w:rsid w:val="00B864AD"/>
    <w:rsid w:val="00B86B6F"/>
    <w:rsid w:val="00B87A69"/>
    <w:rsid w:val="00B924AA"/>
    <w:rsid w:val="00B93942"/>
    <w:rsid w:val="00B96F1F"/>
    <w:rsid w:val="00BA03F0"/>
    <w:rsid w:val="00BA3144"/>
    <w:rsid w:val="00BA56CD"/>
    <w:rsid w:val="00BA6733"/>
    <w:rsid w:val="00BA6932"/>
    <w:rsid w:val="00BB067C"/>
    <w:rsid w:val="00BB12CB"/>
    <w:rsid w:val="00BB186C"/>
    <w:rsid w:val="00BB3B52"/>
    <w:rsid w:val="00BB5AEF"/>
    <w:rsid w:val="00BB5B2A"/>
    <w:rsid w:val="00BB7C3F"/>
    <w:rsid w:val="00BC1A0F"/>
    <w:rsid w:val="00BD0251"/>
    <w:rsid w:val="00BD081F"/>
    <w:rsid w:val="00BD0C08"/>
    <w:rsid w:val="00BD470E"/>
    <w:rsid w:val="00BD4AD8"/>
    <w:rsid w:val="00BD59E5"/>
    <w:rsid w:val="00BD7EBD"/>
    <w:rsid w:val="00BE004B"/>
    <w:rsid w:val="00BE0DC2"/>
    <w:rsid w:val="00BE3E37"/>
    <w:rsid w:val="00BE5B7D"/>
    <w:rsid w:val="00BE5E42"/>
    <w:rsid w:val="00BF2966"/>
    <w:rsid w:val="00BF3D1C"/>
    <w:rsid w:val="00BF4273"/>
    <w:rsid w:val="00BF4530"/>
    <w:rsid w:val="00BF4B69"/>
    <w:rsid w:val="00BF4E05"/>
    <w:rsid w:val="00BF54C8"/>
    <w:rsid w:val="00BF5E36"/>
    <w:rsid w:val="00BF6E53"/>
    <w:rsid w:val="00C00844"/>
    <w:rsid w:val="00C01478"/>
    <w:rsid w:val="00C017D1"/>
    <w:rsid w:val="00C01EFE"/>
    <w:rsid w:val="00C0228A"/>
    <w:rsid w:val="00C02C39"/>
    <w:rsid w:val="00C043B6"/>
    <w:rsid w:val="00C0578F"/>
    <w:rsid w:val="00C1037A"/>
    <w:rsid w:val="00C11B58"/>
    <w:rsid w:val="00C17412"/>
    <w:rsid w:val="00C17D1C"/>
    <w:rsid w:val="00C20AC6"/>
    <w:rsid w:val="00C2122B"/>
    <w:rsid w:val="00C21582"/>
    <w:rsid w:val="00C21F93"/>
    <w:rsid w:val="00C226E1"/>
    <w:rsid w:val="00C22F66"/>
    <w:rsid w:val="00C230FE"/>
    <w:rsid w:val="00C25037"/>
    <w:rsid w:val="00C258AB"/>
    <w:rsid w:val="00C261C7"/>
    <w:rsid w:val="00C27C43"/>
    <w:rsid w:val="00C300FA"/>
    <w:rsid w:val="00C30F8F"/>
    <w:rsid w:val="00C33353"/>
    <w:rsid w:val="00C33507"/>
    <w:rsid w:val="00C3525C"/>
    <w:rsid w:val="00C40A13"/>
    <w:rsid w:val="00C43673"/>
    <w:rsid w:val="00C45253"/>
    <w:rsid w:val="00C452DC"/>
    <w:rsid w:val="00C464E5"/>
    <w:rsid w:val="00C47267"/>
    <w:rsid w:val="00C47D28"/>
    <w:rsid w:val="00C52B6F"/>
    <w:rsid w:val="00C53337"/>
    <w:rsid w:val="00C54310"/>
    <w:rsid w:val="00C56576"/>
    <w:rsid w:val="00C56F58"/>
    <w:rsid w:val="00C57C32"/>
    <w:rsid w:val="00C62837"/>
    <w:rsid w:val="00C62E01"/>
    <w:rsid w:val="00C65630"/>
    <w:rsid w:val="00C70D7A"/>
    <w:rsid w:val="00C71874"/>
    <w:rsid w:val="00C71CA4"/>
    <w:rsid w:val="00C72420"/>
    <w:rsid w:val="00C72C32"/>
    <w:rsid w:val="00C77903"/>
    <w:rsid w:val="00C77EBB"/>
    <w:rsid w:val="00C805FB"/>
    <w:rsid w:val="00C80926"/>
    <w:rsid w:val="00C8372F"/>
    <w:rsid w:val="00C83C68"/>
    <w:rsid w:val="00C85F08"/>
    <w:rsid w:val="00C868F6"/>
    <w:rsid w:val="00C86BA9"/>
    <w:rsid w:val="00C8720A"/>
    <w:rsid w:val="00C875CD"/>
    <w:rsid w:val="00C90029"/>
    <w:rsid w:val="00C914D9"/>
    <w:rsid w:val="00C91932"/>
    <w:rsid w:val="00C92555"/>
    <w:rsid w:val="00C927CF"/>
    <w:rsid w:val="00C94290"/>
    <w:rsid w:val="00C947D5"/>
    <w:rsid w:val="00C94C52"/>
    <w:rsid w:val="00C95F51"/>
    <w:rsid w:val="00C96851"/>
    <w:rsid w:val="00C96E63"/>
    <w:rsid w:val="00C9774A"/>
    <w:rsid w:val="00CA16C2"/>
    <w:rsid w:val="00CA178A"/>
    <w:rsid w:val="00CA1A5C"/>
    <w:rsid w:val="00CA2A28"/>
    <w:rsid w:val="00CA36F6"/>
    <w:rsid w:val="00CA796C"/>
    <w:rsid w:val="00CA7973"/>
    <w:rsid w:val="00CB02C4"/>
    <w:rsid w:val="00CB090A"/>
    <w:rsid w:val="00CB094F"/>
    <w:rsid w:val="00CB4005"/>
    <w:rsid w:val="00CB410D"/>
    <w:rsid w:val="00CB6FCB"/>
    <w:rsid w:val="00CB7876"/>
    <w:rsid w:val="00CC020A"/>
    <w:rsid w:val="00CC0E05"/>
    <w:rsid w:val="00CC7AEA"/>
    <w:rsid w:val="00CC7F91"/>
    <w:rsid w:val="00CD011D"/>
    <w:rsid w:val="00CD05E7"/>
    <w:rsid w:val="00CD2BE9"/>
    <w:rsid w:val="00CD2E48"/>
    <w:rsid w:val="00CD617F"/>
    <w:rsid w:val="00CD6273"/>
    <w:rsid w:val="00CD6E2B"/>
    <w:rsid w:val="00CD74ED"/>
    <w:rsid w:val="00CE0F57"/>
    <w:rsid w:val="00CE4A42"/>
    <w:rsid w:val="00CE7979"/>
    <w:rsid w:val="00CE7A1B"/>
    <w:rsid w:val="00CF1716"/>
    <w:rsid w:val="00CF1BED"/>
    <w:rsid w:val="00CF2A98"/>
    <w:rsid w:val="00CF311D"/>
    <w:rsid w:val="00CF325A"/>
    <w:rsid w:val="00CF350A"/>
    <w:rsid w:val="00CF6E22"/>
    <w:rsid w:val="00D00337"/>
    <w:rsid w:val="00D054B3"/>
    <w:rsid w:val="00D11D06"/>
    <w:rsid w:val="00D146A2"/>
    <w:rsid w:val="00D147AD"/>
    <w:rsid w:val="00D2116A"/>
    <w:rsid w:val="00D213BD"/>
    <w:rsid w:val="00D21AC2"/>
    <w:rsid w:val="00D21ACC"/>
    <w:rsid w:val="00D21C98"/>
    <w:rsid w:val="00D23D82"/>
    <w:rsid w:val="00D27C1A"/>
    <w:rsid w:val="00D316E5"/>
    <w:rsid w:val="00D322F4"/>
    <w:rsid w:val="00D33BA4"/>
    <w:rsid w:val="00D34EA8"/>
    <w:rsid w:val="00D40847"/>
    <w:rsid w:val="00D427AD"/>
    <w:rsid w:val="00D42B24"/>
    <w:rsid w:val="00D42EFD"/>
    <w:rsid w:val="00D44558"/>
    <w:rsid w:val="00D446B2"/>
    <w:rsid w:val="00D45036"/>
    <w:rsid w:val="00D500ED"/>
    <w:rsid w:val="00D50947"/>
    <w:rsid w:val="00D520D9"/>
    <w:rsid w:val="00D54CA3"/>
    <w:rsid w:val="00D57B26"/>
    <w:rsid w:val="00D6060F"/>
    <w:rsid w:val="00D6091C"/>
    <w:rsid w:val="00D654B7"/>
    <w:rsid w:val="00D65A7E"/>
    <w:rsid w:val="00D66973"/>
    <w:rsid w:val="00D70328"/>
    <w:rsid w:val="00D728D9"/>
    <w:rsid w:val="00D7304C"/>
    <w:rsid w:val="00D7391F"/>
    <w:rsid w:val="00D74BA9"/>
    <w:rsid w:val="00D75E3C"/>
    <w:rsid w:val="00D76C8B"/>
    <w:rsid w:val="00D80478"/>
    <w:rsid w:val="00D82D01"/>
    <w:rsid w:val="00D83117"/>
    <w:rsid w:val="00D846EE"/>
    <w:rsid w:val="00D85ADB"/>
    <w:rsid w:val="00D870FA"/>
    <w:rsid w:val="00D916F1"/>
    <w:rsid w:val="00D94C62"/>
    <w:rsid w:val="00D95282"/>
    <w:rsid w:val="00D961B2"/>
    <w:rsid w:val="00D963CA"/>
    <w:rsid w:val="00D970ED"/>
    <w:rsid w:val="00D9784A"/>
    <w:rsid w:val="00DA1EA5"/>
    <w:rsid w:val="00DA5701"/>
    <w:rsid w:val="00DA658D"/>
    <w:rsid w:val="00DA74F7"/>
    <w:rsid w:val="00DA7F5E"/>
    <w:rsid w:val="00DB2705"/>
    <w:rsid w:val="00DB2C93"/>
    <w:rsid w:val="00DB7C5F"/>
    <w:rsid w:val="00DB7DC3"/>
    <w:rsid w:val="00DC0D4C"/>
    <w:rsid w:val="00DC24ED"/>
    <w:rsid w:val="00DC277C"/>
    <w:rsid w:val="00DC5F4D"/>
    <w:rsid w:val="00DC7BA1"/>
    <w:rsid w:val="00DC7BBC"/>
    <w:rsid w:val="00DD2F66"/>
    <w:rsid w:val="00DD30AB"/>
    <w:rsid w:val="00DD3E61"/>
    <w:rsid w:val="00DD4312"/>
    <w:rsid w:val="00DD4A86"/>
    <w:rsid w:val="00DD5C09"/>
    <w:rsid w:val="00DD6EDC"/>
    <w:rsid w:val="00DE09AD"/>
    <w:rsid w:val="00DE5208"/>
    <w:rsid w:val="00DE5FE6"/>
    <w:rsid w:val="00DE61D2"/>
    <w:rsid w:val="00DE6B16"/>
    <w:rsid w:val="00DF08B1"/>
    <w:rsid w:val="00DF1309"/>
    <w:rsid w:val="00DF2164"/>
    <w:rsid w:val="00DF555B"/>
    <w:rsid w:val="00DF6622"/>
    <w:rsid w:val="00DF6EB2"/>
    <w:rsid w:val="00DF76D5"/>
    <w:rsid w:val="00E00575"/>
    <w:rsid w:val="00E011D6"/>
    <w:rsid w:val="00E018C0"/>
    <w:rsid w:val="00E0217C"/>
    <w:rsid w:val="00E02D5A"/>
    <w:rsid w:val="00E04880"/>
    <w:rsid w:val="00E106FD"/>
    <w:rsid w:val="00E13165"/>
    <w:rsid w:val="00E13A87"/>
    <w:rsid w:val="00E15225"/>
    <w:rsid w:val="00E15E49"/>
    <w:rsid w:val="00E20F03"/>
    <w:rsid w:val="00E21B42"/>
    <w:rsid w:val="00E23ED4"/>
    <w:rsid w:val="00E25123"/>
    <w:rsid w:val="00E257F2"/>
    <w:rsid w:val="00E33AFA"/>
    <w:rsid w:val="00E354DE"/>
    <w:rsid w:val="00E35D3C"/>
    <w:rsid w:val="00E3696D"/>
    <w:rsid w:val="00E409D7"/>
    <w:rsid w:val="00E41BA5"/>
    <w:rsid w:val="00E43529"/>
    <w:rsid w:val="00E43F98"/>
    <w:rsid w:val="00E4401F"/>
    <w:rsid w:val="00E45618"/>
    <w:rsid w:val="00E47B9A"/>
    <w:rsid w:val="00E505EC"/>
    <w:rsid w:val="00E51F1C"/>
    <w:rsid w:val="00E5540F"/>
    <w:rsid w:val="00E62F2F"/>
    <w:rsid w:val="00E647BA"/>
    <w:rsid w:val="00E648E6"/>
    <w:rsid w:val="00E64C5E"/>
    <w:rsid w:val="00E7205A"/>
    <w:rsid w:val="00E73932"/>
    <w:rsid w:val="00E76EA9"/>
    <w:rsid w:val="00E811C4"/>
    <w:rsid w:val="00E818AD"/>
    <w:rsid w:val="00E82077"/>
    <w:rsid w:val="00E83B7F"/>
    <w:rsid w:val="00E85D1B"/>
    <w:rsid w:val="00E86652"/>
    <w:rsid w:val="00E87D80"/>
    <w:rsid w:val="00E91A79"/>
    <w:rsid w:val="00E92B8B"/>
    <w:rsid w:val="00E932E9"/>
    <w:rsid w:val="00E94D1C"/>
    <w:rsid w:val="00EA1B05"/>
    <w:rsid w:val="00EA48F0"/>
    <w:rsid w:val="00EA4E23"/>
    <w:rsid w:val="00EA6E70"/>
    <w:rsid w:val="00EB0507"/>
    <w:rsid w:val="00EB0893"/>
    <w:rsid w:val="00EB0CF8"/>
    <w:rsid w:val="00EB52C0"/>
    <w:rsid w:val="00EB7901"/>
    <w:rsid w:val="00EC0020"/>
    <w:rsid w:val="00EC0F20"/>
    <w:rsid w:val="00EC2DFD"/>
    <w:rsid w:val="00EC3975"/>
    <w:rsid w:val="00EC452C"/>
    <w:rsid w:val="00EC47EC"/>
    <w:rsid w:val="00EC4D3A"/>
    <w:rsid w:val="00EC52ED"/>
    <w:rsid w:val="00EC54F0"/>
    <w:rsid w:val="00EC78E7"/>
    <w:rsid w:val="00EC7A64"/>
    <w:rsid w:val="00EC7ED5"/>
    <w:rsid w:val="00ED0440"/>
    <w:rsid w:val="00ED0D95"/>
    <w:rsid w:val="00ED28C7"/>
    <w:rsid w:val="00ED48F8"/>
    <w:rsid w:val="00ED5866"/>
    <w:rsid w:val="00ED6F8D"/>
    <w:rsid w:val="00EE0E10"/>
    <w:rsid w:val="00EE0F5A"/>
    <w:rsid w:val="00EE1F53"/>
    <w:rsid w:val="00EE2BD9"/>
    <w:rsid w:val="00EE4FF3"/>
    <w:rsid w:val="00EE6130"/>
    <w:rsid w:val="00EF199D"/>
    <w:rsid w:val="00EF1B98"/>
    <w:rsid w:val="00EF2983"/>
    <w:rsid w:val="00EF4FA4"/>
    <w:rsid w:val="00EF62E2"/>
    <w:rsid w:val="00EF6960"/>
    <w:rsid w:val="00EF6998"/>
    <w:rsid w:val="00EF736B"/>
    <w:rsid w:val="00F004A1"/>
    <w:rsid w:val="00F00641"/>
    <w:rsid w:val="00F02D9D"/>
    <w:rsid w:val="00F03A26"/>
    <w:rsid w:val="00F03FD3"/>
    <w:rsid w:val="00F103D1"/>
    <w:rsid w:val="00F119A8"/>
    <w:rsid w:val="00F11A1B"/>
    <w:rsid w:val="00F15033"/>
    <w:rsid w:val="00F163B6"/>
    <w:rsid w:val="00F16F46"/>
    <w:rsid w:val="00F16FCD"/>
    <w:rsid w:val="00F177E1"/>
    <w:rsid w:val="00F20038"/>
    <w:rsid w:val="00F21310"/>
    <w:rsid w:val="00F217B1"/>
    <w:rsid w:val="00F24CB2"/>
    <w:rsid w:val="00F27429"/>
    <w:rsid w:val="00F316CE"/>
    <w:rsid w:val="00F333E8"/>
    <w:rsid w:val="00F34041"/>
    <w:rsid w:val="00F35640"/>
    <w:rsid w:val="00F35E6A"/>
    <w:rsid w:val="00F406E3"/>
    <w:rsid w:val="00F415FC"/>
    <w:rsid w:val="00F41D5A"/>
    <w:rsid w:val="00F42756"/>
    <w:rsid w:val="00F453D3"/>
    <w:rsid w:val="00F50B1D"/>
    <w:rsid w:val="00F50BCF"/>
    <w:rsid w:val="00F51487"/>
    <w:rsid w:val="00F51D47"/>
    <w:rsid w:val="00F51D95"/>
    <w:rsid w:val="00F530B6"/>
    <w:rsid w:val="00F53C8F"/>
    <w:rsid w:val="00F54910"/>
    <w:rsid w:val="00F55BB2"/>
    <w:rsid w:val="00F6013F"/>
    <w:rsid w:val="00F6025C"/>
    <w:rsid w:val="00F60681"/>
    <w:rsid w:val="00F60FA7"/>
    <w:rsid w:val="00F61E77"/>
    <w:rsid w:val="00F62C6B"/>
    <w:rsid w:val="00F63061"/>
    <w:rsid w:val="00F66062"/>
    <w:rsid w:val="00F71458"/>
    <w:rsid w:val="00F739C8"/>
    <w:rsid w:val="00F74050"/>
    <w:rsid w:val="00F7734C"/>
    <w:rsid w:val="00F808AF"/>
    <w:rsid w:val="00F81481"/>
    <w:rsid w:val="00F82848"/>
    <w:rsid w:val="00F83BCC"/>
    <w:rsid w:val="00F85F99"/>
    <w:rsid w:val="00F86DBB"/>
    <w:rsid w:val="00F90D1B"/>
    <w:rsid w:val="00F97FEE"/>
    <w:rsid w:val="00FA1409"/>
    <w:rsid w:val="00FA22C2"/>
    <w:rsid w:val="00FA34F2"/>
    <w:rsid w:val="00FA3C86"/>
    <w:rsid w:val="00FA707E"/>
    <w:rsid w:val="00FA70DE"/>
    <w:rsid w:val="00FB1EEF"/>
    <w:rsid w:val="00FB34E8"/>
    <w:rsid w:val="00FB460B"/>
    <w:rsid w:val="00FB464C"/>
    <w:rsid w:val="00FB5D6D"/>
    <w:rsid w:val="00FB7C01"/>
    <w:rsid w:val="00FC0684"/>
    <w:rsid w:val="00FC2021"/>
    <w:rsid w:val="00FC5AF7"/>
    <w:rsid w:val="00FC66A0"/>
    <w:rsid w:val="00FC749E"/>
    <w:rsid w:val="00FD5946"/>
    <w:rsid w:val="00FE14E6"/>
    <w:rsid w:val="00FE24C4"/>
    <w:rsid w:val="00FE2ED3"/>
    <w:rsid w:val="00FE312A"/>
    <w:rsid w:val="00FE4653"/>
    <w:rsid w:val="00FE5436"/>
    <w:rsid w:val="00FE5D21"/>
    <w:rsid w:val="00FE5ED3"/>
    <w:rsid w:val="00FF0161"/>
    <w:rsid w:val="00FF0203"/>
    <w:rsid w:val="00FF0401"/>
    <w:rsid w:val="00FF0D9C"/>
    <w:rsid w:val="00FF1DA2"/>
    <w:rsid w:val="00FF6131"/>
    <w:rsid w:val="00FF6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86C"/>
    <w:rPr>
      <w:sz w:val="18"/>
      <w:szCs w:val="18"/>
    </w:rPr>
  </w:style>
  <w:style w:type="paragraph" w:styleId="a4">
    <w:name w:val="footer"/>
    <w:basedOn w:val="a"/>
    <w:link w:val="Char0"/>
    <w:uiPriority w:val="99"/>
    <w:unhideWhenUsed/>
    <w:rsid w:val="00B3686C"/>
    <w:pPr>
      <w:tabs>
        <w:tab w:val="center" w:pos="4153"/>
        <w:tab w:val="right" w:pos="8306"/>
      </w:tabs>
      <w:snapToGrid w:val="0"/>
      <w:jc w:val="left"/>
    </w:pPr>
    <w:rPr>
      <w:sz w:val="18"/>
      <w:szCs w:val="18"/>
    </w:rPr>
  </w:style>
  <w:style w:type="character" w:customStyle="1" w:styleId="Char0">
    <w:name w:val="页脚 Char"/>
    <w:basedOn w:val="a0"/>
    <w:link w:val="a4"/>
    <w:uiPriority w:val="99"/>
    <w:rsid w:val="00B3686C"/>
    <w:rPr>
      <w:sz w:val="18"/>
      <w:szCs w:val="18"/>
    </w:rPr>
  </w:style>
  <w:style w:type="paragraph" w:styleId="a5">
    <w:name w:val="Balloon Text"/>
    <w:basedOn w:val="a"/>
    <w:link w:val="Char1"/>
    <w:uiPriority w:val="99"/>
    <w:semiHidden/>
    <w:unhideWhenUsed/>
    <w:rsid w:val="00C17412"/>
    <w:rPr>
      <w:sz w:val="18"/>
      <w:szCs w:val="18"/>
    </w:rPr>
  </w:style>
  <w:style w:type="character" w:customStyle="1" w:styleId="Char1">
    <w:name w:val="批注框文本 Char"/>
    <w:basedOn w:val="a0"/>
    <w:link w:val="a5"/>
    <w:uiPriority w:val="99"/>
    <w:semiHidden/>
    <w:rsid w:val="00C17412"/>
    <w:rPr>
      <w:sz w:val="18"/>
      <w:szCs w:val="18"/>
    </w:rPr>
  </w:style>
  <w:style w:type="character" w:styleId="a6">
    <w:name w:val="annotation reference"/>
    <w:basedOn w:val="a0"/>
    <w:uiPriority w:val="99"/>
    <w:semiHidden/>
    <w:unhideWhenUsed/>
    <w:rsid w:val="0082307D"/>
    <w:rPr>
      <w:sz w:val="21"/>
      <w:szCs w:val="21"/>
    </w:rPr>
  </w:style>
  <w:style w:type="paragraph" w:styleId="a7">
    <w:name w:val="annotation text"/>
    <w:basedOn w:val="a"/>
    <w:link w:val="Char2"/>
    <w:uiPriority w:val="99"/>
    <w:semiHidden/>
    <w:unhideWhenUsed/>
    <w:rsid w:val="0082307D"/>
    <w:pPr>
      <w:jc w:val="left"/>
    </w:pPr>
  </w:style>
  <w:style w:type="character" w:customStyle="1" w:styleId="Char2">
    <w:name w:val="批注文字 Char"/>
    <w:basedOn w:val="a0"/>
    <w:link w:val="a7"/>
    <w:uiPriority w:val="99"/>
    <w:semiHidden/>
    <w:rsid w:val="0082307D"/>
  </w:style>
  <w:style w:type="paragraph" w:styleId="a8">
    <w:name w:val="annotation subject"/>
    <w:basedOn w:val="a7"/>
    <w:next w:val="a7"/>
    <w:link w:val="Char3"/>
    <w:uiPriority w:val="99"/>
    <w:semiHidden/>
    <w:unhideWhenUsed/>
    <w:rsid w:val="0082307D"/>
    <w:rPr>
      <w:b/>
      <w:bCs/>
    </w:rPr>
  </w:style>
  <w:style w:type="character" w:customStyle="1" w:styleId="Char3">
    <w:name w:val="批注主题 Char"/>
    <w:basedOn w:val="Char2"/>
    <w:link w:val="a8"/>
    <w:uiPriority w:val="99"/>
    <w:semiHidden/>
    <w:rsid w:val="0082307D"/>
    <w:rPr>
      <w:b/>
      <w:bCs/>
    </w:rPr>
  </w:style>
  <w:style w:type="paragraph" w:styleId="a9">
    <w:name w:val="Normal (Web)"/>
    <w:basedOn w:val="a"/>
    <w:uiPriority w:val="99"/>
    <w:semiHidden/>
    <w:unhideWhenUsed/>
    <w:rsid w:val="00B924AA"/>
    <w:pPr>
      <w:widowControl/>
      <w:spacing w:before="100" w:beforeAutospacing="1" w:after="100" w:afterAutospacing="1"/>
      <w:jc w:val="left"/>
    </w:pPr>
    <w:rPr>
      <w:rFonts w:ascii="宋体" w:eastAsia="宋体" w:hAnsi="宋体" w:cs="宋体"/>
      <w:kern w:val="0"/>
      <w:sz w:val="24"/>
      <w:szCs w:val="24"/>
    </w:rPr>
  </w:style>
  <w:style w:type="table" w:styleId="-5">
    <w:name w:val="Light Shading Accent 5"/>
    <w:basedOn w:val="a1"/>
    <w:uiPriority w:val="60"/>
    <w:rsid w:val="001A3E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Shading Accent 1"/>
    <w:basedOn w:val="a1"/>
    <w:uiPriority w:val="60"/>
    <w:rsid w:val="001A3E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86C"/>
    <w:rPr>
      <w:sz w:val="18"/>
      <w:szCs w:val="18"/>
    </w:rPr>
  </w:style>
  <w:style w:type="paragraph" w:styleId="a4">
    <w:name w:val="footer"/>
    <w:basedOn w:val="a"/>
    <w:link w:val="Char0"/>
    <w:uiPriority w:val="99"/>
    <w:unhideWhenUsed/>
    <w:rsid w:val="00B3686C"/>
    <w:pPr>
      <w:tabs>
        <w:tab w:val="center" w:pos="4153"/>
        <w:tab w:val="right" w:pos="8306"/>
      </w:tabs>
      <w:snapToGrid w:val="0"/>
      <w:jc w:val="left"/>
    </w:pPr>
    <w:rPr>
      <w:sz w:val="18"/>
      <w:szCs w:val="18"/>
    </w:rPr>
  </w:style>
  <w:style w:type="character" w:customStyle="1" w:styleId="Char0">
    <w:name w:val="页脚 Char"/>
    <w:basedOn w:val="a0"/>
    <w:link w:val="a4"/>
    <w:uiPriority w:val="99"/>
    <w:rsid w:val="00B3686C"/>
    <w:rPr>
      <w:sz w:val="18"/>
      <w:szCs w:val="18"/>
    </w:rPr>
  </w:style>
  <w:style w:type="paragraph" w:styleId="a5">
    <w:name w:val="Balloon Text"/>
    <w:basedOn w:val="a"/>
    <w:link w:val="Char1"/>
    <w:uiPriority w:val="99"/>
    <w:semiHidden/>
    <w:unhideWhenUsed/>
    <w:rsid w:val="00C17412"/>
    <w:rPr>
      <w:sz w:val="18"/>
      <w:szCs w:val="18"/>
    </w:rPr>
  </w:style>
  <w:style w:type="character" w:customStyle="1" w:styleId="Char1">
    <w:name w:val="批注框文本 Char"/>
    <w:basedOn w:val="a0"/>
    <w:link w:val="a5"/>
    <w:uiPriority w:val="99"/>
    <w:semiHidden/>
    <w:rsid w:val="00C17412"/>
    <w:rPr>
      <w:sz w:val="18"/>
      <w:szCs w:val="18"/>
    </w:rPr>
  </w:style>
  <w:style w:type="character" w:styleId="a6">
    <w:name w:val="annotation reference"/>
    <w:basedOn w:val="a0"/>
    <w:uiPriority w:val="99"/>
    <w:semiHidden/>
    <w:unhideWhenUsed/>
    <w:rsid w:val="0082307D"/>
    <w:rPr>
      <w:sz w:val="21"/>
      <w:szCs w:val="21"/>
    </w:rPr>
  </w:style>
  <w:style w:type="paragraph" w:styleId="a7">
    <w:name w:val="annotation text"/>
    <w:basedOn w:val="a"/>
    <w:link w:val="Char2"/>
    <w:uiPriority w:val="99"/>
    <w:semiHidden/>
    <w:unhideWhenUsed/>
    <w:rsid w:val="0082307D"/>
    <w:pPr>
      <w:jc w:val="left"/>
    </w:pPr>
  </w:style>
  <w:style w:type="character" w:customStyle="1" w:styleId="Char2">
    <w:name w:val="批注文字 Char"/>
    <w:basedOn w:val="a0"/>
    <w:link w:val="a7"/>
    <w:uiPriority w:val="99"/>
    <w:semiHidden/>
    <w:rsid w:val="0082307D"/>
  </w:style>
  <w:style w:type="paragraph" w:styleId="a8">
    <w:name w:val="annotation subject"/>
    <w:basedOn w:val="a7"/>
    <w:next w:val="a7"/>
    <w:link w:val="Char3"/>
    <w:uiPriority w:val="99"/>
    <w:semiHidden/>
    <w:unhideWhenUsed/>
    <w:rsid w:val="0082307D"/>
    <w:rPr>
      <w:b/>
      <w:bCs/>
    </w:rPr>
  </w:style>
  <w:style w:type="character" w:customStyle="1" w:styleId="Char3">
    <w:name w:val="批注主题 Char"/>
    <w:basedOn w:val="Char2"/>
    <w:link w:val="a8"/>
    <w:uiPriority w:val="99"/>
    <w:semiHidden/>
    <w:rsid w:val="0082307D"/>
    <w:rPr>
      <w:b/>
      <w:bCs/>
    </w:rPr>
  </w:style>
  <w:style w:type="paragraph" w:styleId="a9">
    <w:name w:val="Normal (Web)"/>
    <w:basedOn w:val="a"/>
    <w:uiPriority w:val="99"/>
    <w:semiHidden/>
    <w:unhideWhenUsed/>
    <w:rsid w:val="00B924AA"/>
    <w:pPr>
      <w:widowControl/>
      <w:spacing w:before="100" w:beforeAutospacing="1" w:after="100" w:afterAutospacing="1"/>
      <w:jc w:val="left"/>
    </w:pPr>
    <w:rPr>
      <w:rFonts w:ascii="宋体" w:eastAsia="宋体" w:hAnsi="宋体" w:cs="宋体"/>
      <w:kern w:val="0"/>
      <w:sz w:val="24"/>
      <w:szCs w:val="24"/>
    </w:rPr>
  </w:style>
  <w:style w:type="table" w:styleId="-5">
    <w:name w:val="Light Shading Accent 5"/>
    <w:basedOn w:val="a1"/>
    <w:uiPriority w:val="60"/>
    <w:rsid w:val="001A3E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Shading Accent 1"/>
    <w:basedOn w:val="a1"/>
    <w:uiPriority w:val="60"/>
    <w:rsid w:val="001A3E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6">
      <w:bodyDiv w:val="1"/>
      <w:marLeft w:val="0"/>
      <w:marRight w:val="0"/>
      <w:marTop w:val="0"/>
      <w:marBottom w:val="0"/>
      <w:divBdr>
        <w:top w:val="none" w:sz="0" w:space="0" w:color="auto"/>
        <w:left w:val="none" w:sz="0" w:space="0" w:color="auto"/>
        <w:bottom w:val="none" w:sz="0" w:space="0" w:color="auto"/>
        <w:right w:val="none" w:sz="0" w:space="0" w:color="auto"/>
      </w:divBdr>
    </w:div>
    <w:div w:id="185022497">
      <w:bodyDiv w:val="1"/>
      <w:marLeft w:val="0"/>
      <w:marRight w:val="0"/>
      <w:marTop w:val="0"/>
      <w:marBottom w:val="0"/>
      <w:divBdr>
        <w:top w:val="none" w:sz="0" w:space="0" w:color="auto"/>
        <w:left w:val="none" w:sz="0" w:space="0" w:color="auto"/>
        <w:bottom w:val="none" w:sz="0" w:space="0" w:color="auto"/>
        <w:right w:val="none" w:sz="0" w:space="0" w:color="auto"/>
      </w:divBdr>
    </w:div>
    <w:div w:id="310408902">
      <w:bodyDiv w:val="1"/>
      <w:marLeft w:val="0"/>
      <w:marRight w:val="0"/>
      <w:marTop w:val="0"/>
      <w:marBottom w:val="0"/>
      <w:divBdr>
        <w:top w:val="none" w:sz="0" w:space="0" w:color="auto"/>
        <w:left w:val="none" w:sz="0" w:space="0" w:color="auto"/>
        <w:bottom w:val="none" w:sz="0" w:space="0" w:color="auto"/>
        <w:right w:val="none" w:sz="0" w:space="0" w:color="auto"/>
      </w:divBdr>
    </w:div>
    <w:div w:id="316957977">
      <w:bodyDiv w:val="1"/>
      <w:marLeft w:val="0"/>
      <w:marRight w:val="0"/>
      <w:marTop w:val="0"/>
      <w:marBottom w:val="0"/>
      <w:divBdr>
        <w:top w:val="none" w:sz="0" w:space="0" w:color="auto"/>
        <w:left w:val="none" w:sz="0" w:space="0" w:color="auto"/>
        <w:bottom w:val="none" w:sz="0" w:space="0" w:color="auto"/>
        <w:right w:val="none" w:sz="0" w:space="0" w:color="auto"/>
      </w:divBdr>
    </w:div>
    <w:div w:id="564074546">
      <w:bodyDiv w:val="1"/>
      <w:marLeft w:val="0"/>
      <w:marRight w:val="0"/>
      <w:marTop w:val="0"/>
      <w:marBottom w:val="0"/>
      <w:divBdr>
        <w:top w:val="none" w:sz="0" w:space="0" w:color="auto"/>
        <w:left w:val="none" w:sz="0" w:space="0" w:color="auto"/>
        <w:bottom w:val="none" w:sz="0" w:space="0" w:color="auto"/>
        <w:right w:val="none" w:sz="0" w:space="0" w:color="auto"/>
      </w:divBdr>
    </w:div>
    <w:div w:id="686562557">
      <w:bodyDiv w:val="1"/>
      <w:marLeft w:val="0"/>
      <w:marRight w:val="0"/>
      <w:marTop w:val="0"/>
      <w:marBottom w:val="0"/>
      <w:divBdr>
        <w:top w:val="none" w:sz="0" w:space="0" w:color="auto"/>
        <w:left w:val="none" w:sz="0" w:space="0" w:color="auto"/>
        <w:bottom w:val="none" w:sz="0" w:space="0" w:color="auto"/>
        <w:right w:val="none" w:sz="0" w:space="0" w:color="auto"/>
      </w:divBdr>
    </w:div>
    <w:div w:id="956448525">
      <w:bodyDiv w:val="1"/>
      <w:marLeft w:val="0"/>
      <w:marRight w:val="0"/>
      <w:marTop w:val="0"/>
      <w:marBottom w:val="0"/>
      <w:divBdr>
        <w:top w:val="none" w:sz="0" w:space="0" w:color="auto"/>
        <w:left w:val="none" w:sz="0" w:space="0" w:color="auto"/>
        <w:bottom w:val="none" w:sz="0" w:space="0" w:color="auto"/>
        <w:right w:val="none" w:sz="0" w:space="0" w:color="auto"/>
      </w:divBdr>
    </w:div>
    <w:div w:id="981009036">
      <w:bodyDiv w:val="1"/>
      <w:marLeft w:val="0"/>
      <w:marRight w:val="0"/>
      <w:marTop w:val="0"/>
      <w:marBottom w:val="0"/>
      <w:divBdr>
        <w:top w:val="none" w:sz="0" w:space="0" w:color="auto"/>
        <w:left w:val="none" w:sz="0" w:space="0" w:color="auto"/>
        <w:bottom w:val="none" w:sz="0" w:space="0" w:color="auto"/>
        <w:right w:val="none" w:sz="0" w:space="0" w:color="auto"/>
      </w:divBdr>
    </w:div>
    <w:div w:id="1209954675">
      <w:bodyDiv w:val="1"/>
      <w:marLeft w:val="0"/>
      <w:marRight w:val="0"/>
      <w:marTop w:val="0"/>
      <w:marBottom w:val="0"/>
      <w:divBdr>
        <w:top w:val="none" w:sz="0" w:space="0" w:color="auto"/>
        <w:left w:val="none" w:sz="0" w:space="0" w:color="auto"/>
        <w:bottom w:val="none" w:sz="0" w:space="0" w:color="auto"/>
        <w:right w:val="none" w:sz="0" w:space="0" w:color="auto"/>
      </w:divBdr>
    </w:div>
    <w:div w:id="1248539322">
      <w:bodyDiv w:val="1"/>
      <w:marLeft w:val="0"/>
      <w:marRight w:val="0"/>
      <w:marTop w:val="0"/>
      <w:marBottom w:val="0"/>
      <w:divBdr>
        <w:top w:val="none" w:sz="0" w:space="0" w:color="auto"/>
        <w:left w:val="none" w:sz="0" w:space="0" w:color="auto"/>
        <w:bottom w:val="none" w:sz="0" w:space="0" w:color="auto"/>
        <w:right w:val="none" w:sz="0" w:space="0" w:color="auto"/>
      </w:divBdr>
    </w:div>
    <w:div w:id="1271743510">
      <w:bodyDiv w:val="1"/>
      <w:marLeft w:val="0"/>
      <w:marRight w:val="0"/>
      <w:marTop w:val="0"/>
      <w:marBottom w:val="0"/>
      <w:divBdr>
        <w:top w:val="none" w:sz="0" w:space="0" w:color="auto"/>
        <w:left w:val="none" w:sz="0" w:space="0" w:color="auto"/>
        <w:bottom w:val="none" w:sz="0" w:space="0" w:color="auto"/>
        <w:right w:val="none" w:sz="0" w:space="0" w:color="auto"/>
      </w:divBdr>
    </w:div>
    <w:div w:id="1361708513">
      <w:bodyDiv w:val="1"/>
      <w:marLeft w:val="0"/>
      <w:marRight w:val="0"/>
      <w:marTop w:val="0"/>
      <w:marBottom w:val="0"/>
      <w:divBdr>
        <w:top w:val="none" w:sz="0" w:space="0" w:color="auto"/>
        <w:left w:val="none" w:sz="0" w:space="0" w:color="auto"/>
        <w:bottom w:val="none" w:sz="0" w:space="0" w:color="auto"/>
        <w:right w:val="none" w:sz="0" w:space="0" w:color="auto"/>
      </w:divBdr>
    </w:div>
    <w:div w:id="1567763771">
      <w:bodyDiv w:val="1"/>
      <w:marLeft w:val="0"/>
      <w:marRight w:val="0"/>
      <w:marTop w:val="0"/>
      <w:marBottom w:val="0"/>
      <w:divBdr>
        <w:top w:val="none" w:sz="0" w:space="0" w:color="auto"/>
        <w:left w:val="none" w:sz="0" w:space="0" w:color="auto"/>
        <w:bottom w:val="none" w:sz="0" w:space="0" w:color="auto"/>
        <w:right w:val="none" w:sz="0" w:space="0" w:color="auto"/>
      </w:divBdr>
    </w:div>
    <w:div w:id="1633247045">
      <w:bodyDiv w:val="1"/>
      <w:marLeft w:val="0"/>
      <w:marRight w:val="0"/>
      <w:marTop w:val="0"/>
      <w:marBottom w:val="0"/>
      <w:divBdr>
        <w:top w:val="none" w:sz="0" w:space="0" w:color="auto"/>
        <w:left w:val="none" w:sz="0" w:space="0" w:color="auto"/>
        <w:bottom w:val="none" w:sz="0" w:space="0" w:color="auto"/>
        <w:right w:val="none" w:sz="0" w:space="0" w:color="auto"/>
      </w:divBdr>
    </w:div>
    <w:div w:id="1726446206">
      <w:bodyDiv w:val="1"/>
      <w:marLeft w:val="0"/>
      <w:marRight w:val="0"/>
      <w:marTop w:val="0"/>
      <w:marBottom w:val="0"/>
      <w:divBdr>
        <w:top w:val="none" w:sz="0" w:space="0" w:color="auto"/>
        <w:left w:val="none" w:sz="0" w:space="0" w:color="auto"/>
        <w:bottom w:val="none" w:sz="0" w:space="0" w:color="auto"/>
        <w:right w:val="none" w:sz="0" w:space="0" w:color="auto"/>
      </w:divBdr>
    </w:div>
    <w:div w:id="21325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154196747407984E-2"/>
          <c:y val="3.1592393011064496E-3"/>
          <c:w val="0.87183906498867181"/>
          <c:h val="0.71382423963176278"/>
        </c:manualLayout>
      </c:layout>
      <c:lineChart>
        <c:grouping val="standard"/>
        <c:varyColors val="0"/>
        <c:ser>
          <c:idx val="0"/>
          <c:order val="0"/>
          <c:tx>
            <c:strRef>
              <c:f>Sheet1!$B$1</c:f>
              <c:strCache>
                <c:ptCount val="1"/>
                <c:pt idx="0">
                  <c:v>战略性新兴产业上市公司</c:v>
                </c:pt>
              </c:strCache>
            </c:strRef>
          </c:tx>
          <c:marker>
            <c:symbol val="circle"/>
            <c:size val="5"/>
            <c:spPr>
              <a:solidFill>
                <a:schemeClr val="bg1"/>
              </a:solidFill>
            </c:spPr>
          </c:marker>
          <c:dLbls>
            <c:dLbl>
              <c:idx val="0"/>
              <c:layout>
                <c:manualLayout>
                  <c:x val="-5.4535993720729606E-2"/>
                  <c:y val="-9.1737693954192262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Sheet1!$B$2:$B$14</c:f>
              <c:numCache>
                <c:formatCode>0.0%</c:formatCode>
                <c:ptCount val="13"/>
                <c:pt idx="0">
                  <c:v>0.12649519525423547</c:v>
                </c:pt>
                <c:pt idx="1">
                  <c:v>0.10466894507156455</c:v>
                </c:pt>
                <c:pt idx="2">
                  <c:v>0.11650866947359395</c:v>
                </c:pt>
                <c:pt idx="3">
                  <c:v>0.13699130960021422</c:v>
                </c:pt>
                <c:pt idx="4">
                  <c:v>0.12341629981304214</c:v>
                </c:pt>
                <c:pt idx="5">
                  <c:v>0.18742692420969864</c:v>
                </c:pt>
                <c:pt idx="6">
                  <c:v>0.18019737125855451</c:v>
                </c:pt>
                <c:pt idx="7">
                  <c:v>0.15200195753960233</c:v>
                </c:pt>
                <c:pt idx="8">
                  <c:v>0.17806956302242005</c:v>
                </c:pt>
                <c:pt idx="9">
                  <c:v>0.15696926515237797</c:v>
                </c:pt>
                <c:pt idx="10">
                  <c:v>0.16774663227452935</c:v>
                </c:pt>
                <c:pt idx="11">
                  <c:v>0.16376603386674105</c:v>
                </c:pt>
                <c:pt idx="12">
                  <c:v>0.16637298655233179</c:v>
                </c:pt>
              </c:numCache>
            </c:numRef>
          </c:val>
          <c:smooth val="0"/>
        </c:ser>
        <c:ser>
          <c:idx val="1"/>
          <c:order val="1"/>
          <c:tx>
            <c:strRef>
              <c:f>Sheet1!$C$1</c:f>
              <c:strCache>
                <c:ptCount val="1"/>
                <c:pt idx="0">
                  <c:v>上市公司总体</c:v>
                </c:pt>
              </c:strCache>
            </c:strRef>
          </c:tx>
          <c:marker>
            <c:symbol val="circle"/>
            <c:size val="5"/>
            <c:spPr>
              <a:solidFill>
                <a:schemeClr val="bg1"/>
              </a:solidFill>
            </c:spPr>
          </c:marker>
          <c:dLbls>
            <c:dLbl>
              <c:idx val="0"/>
              <c:layout>
                <c:manualLayout>
                  <c:x val="-5.8145360767460672E-2"/>
                  <c:y val="9.17376939541922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numFmt formatCode="0.00%" sourceLinked="0"/>
              <c:spPr/>
              <c:txPr>
                <a:bodyPr/>
                <a:lstStyle/>
                <a:p>
                  <a:pPr>
                    <a:defRPr/>
                  </a:pPr>
                  <a:endParaRPr lang="zh-CN"/>
                </a:p>
              </c:txPr>
              <c:dLblPos val="b"/>
              <c:showLegendKey val="0"/>
              <c:showVal val="1"/>
              <c:showCatName val="0"/>
              <c:showSerName val="0"/>
              <c:showPercent val="0"/>
              <c:showBubbleSize val="0"/>
            </c:dLbl>
            <c:dLbl>
              <c:idx val="8"/>
              <c:layout>
                <c:manualLayout>
                  <c:x val="1.0138902970698565E-2"/>
                  <c:y val="-0.11255199412772193"/>
                </c:manualLayout>
              </c:layout>
              <c:dLblPos val="b"/>
              <c:showLegendKey val="0"/>
              <c:showVal val="1"/>
              <c:showCatName val="0"/>
              <c:showSerName val="0"/>
              <c:showPercent val="0"/>
              <c:showBubbleSize val="0"/>
              <c:extLst>
                <c:ext xmlns:c15="http://schemas.microsoft.com/office/drawing/2012/chart" uri="{CE6537A1-D6FC-4f65-9D91-7224C49458BB}"/>
              </c:extLst>
            </c:dLbl>
            <c:dLbl>
              <c:idx val="9"/>
              <c:layout>
                <c:manualLayout>
                  <c:x val="-4.3951061031928355E-2"/>
                  <c:y val="-4.038577409855315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341853649315008E-2"/>
                  <c:y val="-5.014993936162516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0342774754291273E-2"/>
                  <c:y val="-5.50526058233423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8314119353398637E-2"/>
                  <c:y val="-6.972064740518611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3.4258650761565916E-2"/>
                  <c:y val="-5.0149939361624971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Sheet1!$C$2:$C$14</c:f>
              <c:numCache>
                <c:formatCode>0.0%</c:formatCode>
                <c:ptCount val="13"/>
                <c:pt idx="0">
                  <c:v>9.3582678398944186E-2</c:v>
                </c:pt>
                <c:pt idx="1">
                  <c:v>0.10322026510700377</c:v>
                </c:pt>
                <c:pt idx="2">
                  <c:v>0.10863270493081334</c:v>
                </c:pt>
                <c:pt idx="3">
                  <c:v>9.6720577375106975E-2</c:v>
                </c:pt>
                <c:pt idx="4">
                  <c:v>7.3420144384355623E-2</c:v>
                </c:pt>
                <c:pt idx="5">
                  <c:v>7.411345831388938E-2</c:v>
                </c:pt>
                <c:pt idx="6">
                  <c:v>7.2039857681811093E-2</c:v>
                </c:pt>
                <c:pt idx="7">
                  <c:v>6.1628957595103895E-2</c:v>
                </c:pt>
                <c:pt idx="8">
                  <c:v>3.01308714181725E-3</c:v>
                </c:pt>
                <c:pt idx="9">
                  <c:v>1.4510366830072785E-2</c:v>
                </c:pt>
                <c:pt idx="10">
                  <c:v>5.3694442616603055E-3</c:v>
                </c:pt>
                <c:pt idx="11">
                  <c:v>1.0999999999999999E-2</c:v>
                </c:pt>
                <c:pt idx="12">
                  <c:v>5.5E-2</c:v>
                </c:pt>
              </c:numCache>
            </c:numRef>
          </c:val>
          <c:smooth val="0"/>
        </c:ser>
        <c:dLbls>
          <c:showLegendKey val="0"/>
          <c:showVal val="0"/>
          <c:showCatName val="0"/>
          <c:showSerName val="0"/>
          <c:showPercent val="0"/>
          <c:showBubbleSize val="0"/>
        </c:dLbls>
        <c:marker val="1"/>
        <c:smooth val="0"/>
        <c:axId val="312522240"/>
        <c:axId val="312523776"/>
      </c:lineChart>
      <c:catAx>
        <c:axId val="312522240"/>
        <c:scaling>
          <c:orientation val="minMax"/>
        </c:scaling>
        <c:delete val="0"/>
        <c:axPos val="b"/>
        <c:numFmt formatCode="General" sourceLinked="0"/>
        <c:majorTickMark val="out"/>
        <c:minorTickMark val="none"/>
        <c:tickLblPos val="nextTo"/>
        <c:txPr>
          <a:bodyPr rot="0" vert="horz"/>
          <a:lstStyle/>
          <a:p>
            <a:pPr>
              <a:defRPr/>
            </a:pPr>
            <a:endParaRPr lang="zh-CN"/>
          </a:p>
        </c:txPr>
        <c:crossAx val="312523776"/>
        <c:crosses val="autoZero"/>
        <c:auto val="1"/>
        <c:lblAlgn val="ctr"/>
        <c:lblOffset val="100"/>
        <c:noMultiLvlLbl val="0"/>
      </c:catAx>
      <c:valAx>
        <c:axId val="312523776"/>
        <c:scaling>
          <c:orientation val="minMax"/>
          <c:max val="0.30000000000000016"/>
        </c:scaling>
        <c:delete val="0"/>
        <c:axPos val="l"/>
        <c:majorGridlines>
          <c:spPr>
            <a:ln>
              <a:noFill/>
            </a:ln>
          </c:spPr>
        </c:majorGridlines>
        <c:numFmt formatCode="0.0%" sourceLinked="1"/>
        <c:majorTickMark val="none"/>
        <c:minorTickMark val="none"/>
        <c:tickLblPos val="none"/>
        <c:spPr>
          <a:ln>
            <a:noFill/>
          </a:ln>
        </c:spPr>
        <c:crossAx val="312522240"/>
        <c:crosses val="autoZero"/>
        <c:crossBetween val="between"/>
      </c:valAx>
    </c:plotArea>
    <c:legend>
      <c:legendPos val="r"/>
      <c:layout>
        <c:manualLayout>
          <c:xMode val="edge"/>
          <c:yMode val="edge"/>
          <c:x val="9.7331390327772813E-2"/>
          <c:y val="3.1569273806519218E-3"/>
          <c:w val="0.79050957304308089"/>
          <c:h val="9.486541733054106E-2"/>
        </c:manualLayout>
      </c:layout>
      <c:overlay val="0"/>
    </c:legend>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645833333333332E-2"/>
          <c:y val="2.2347637579785282E-2"/>
          <c:w val="0.94270833333333381"/>
          <c:h val="0.75336703601704957"/>
        </c:manualLayout>
      </c:layout>
      <c:barChart>
        <c:barDir val="col"/>
        <c:grouping val="clustered"/>
        <c:varyColors val="0"/>
        <c:ser>
          <c:idx val="0"/>
          <c:order val="0"/>
          <c:tx>
            <c:strRef>
              <c:f>Sheet1!$B$1</c:f>
              <c:strCache>
                <c:ptCount val="1"/>
                <c:pt idx="0">
                  <c:v>IPO募资额</c:v>
                </c:pt>
              </c:strCache>
            </c:strRef>
          </c:tx>
          <c:spPr>
            <a:solidFill>
              <a:schemeClr val="tx2">
                <a:lumMod val="60000"/>
                <a:lumOff val="40000"/>
              </a:schemeClr>
            </a:solidFill>
          </c:spPr>
          <c:invertIfNegative val="0"/>
          <c:dLbls>
            <c:spPr>
              <a:noFill/>
              <a:ln>
                <a:noFill/>
              </a:ln>
              <a:effectLst/>
            </c:spPr>
            <c:txPr>
              <a:bodyPr/>
              <a:lstStyle/>
              <a:p>
                <a:pPr>
                  <a:defRPr sz="105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2015Q1</c:v>
                </c:pt>
                <c:pt idx="1">
                  <c:v>2015Q2</c:v>
                </c:pt>
                <c:pt idx="2">
                  <c:v>2015Q3</c:v>
                </c:pt>
                <c:pt idx="3">
                  <c:v>2015Q4</c:v>
                </c:pt>
                <c:pt idx="4">
                  <c:v>2016Q1</c:v>
                </c:pt>
              </c:strCache>
            </c:strRef>
          </c:cat>
          <c:val>
            <c:numRef>
              <c:f>Sheet1!$B$2:$B$6</c:f>
              <c:numCache>
                <c:formatCode>General</c:formatCode>
                <c:ptCount val="5"/>
                <c:pt idx="0" formatCode="0.0">
                  <c:v>102</c:v>
                </c:pt>
                <c:pt idx="1">
                  <c:v>382.1</c:v>
                </c:pt>
                <c:pt idx="2" formatCode="0.0">
                  <c:v>6.2</c:v>
                </c:pt>
                <c:pt idx="3" formatCode="0.0_ ">
                  <c:v>48.025109999999998</c:v>
                </c:pt>
                <c:pt idx="4" formatCode="0.0_ ">
                  <c:v>21.699079999999999</c:v>
                </c:pt>
              </c:numCache>
            </c:numRef>
          </c:val>
        </c:ser>
        <c:ser>
          <c:idx val="1"/>
          <c:order val="1"/>
          <c:tx>
            <c:strRef>
              <c:f>Sheet1!$C$1</c:f>
              <c:strCache>
                <c:ptCount val="1"/>
                <c:pt idx="0">
                  <c:v>增发募资额</c:v>
                </c:pt>
              </c:strCache>
            </c:strRef>
          </c:tx>
          <c:spPr>
            <a:solidFill>
              <a:schemeClr val="bg1">
                <a:lumMod val="75000"/>
              </a:schemeClr>
            </a:solidFill>
          </c:spPr>
          <c:invertIfNegative val="0"/>
          <c:dLbls>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2015Q1</c:v>
                </c:pt>
                <c:pt idx="1">
                  <c:v>2015Q2</c:v>
                </c:pt>
                <c:pt idx="2">
                  <c:v>2015Q3</c:v>
                </c:pt>
                <c:pt idx="3">
                  <c:v>2015Q4</c:v>
                </c:pt>
                <c:pt idx="4">
                  <c:v>2016Q1</c:v>
                </c:pt>
              </c:strCache>
            </c:strRef>
          </c:cat>
          <c:val>
            <c:numRef>
              <c:f>Sheet1!$C$2:$C$6</c:f>
              <c:numCache>
                <c:formatCode>0.0</c:formatCode>
                <c:ptCount val="5"/>
                <c:pt idx="0">
                  <c:v>505.4</c:v>
                </c:pt>
                <c:pt idx="1">
                  <c:v>451</c:v>
                </c:pt>
                <c:pt idx="2">
                  <c:v>600.79999999999995</c:v>
                </c:pt>
                <c:pt idx="3">
                  <c:v>1544.6</c:v>
                </c:pt>
                <c:pt idx="4">
                  <c:v>1665.4</c:v>
                </c:pt>
              </c:numCache>
            </c:numRef>
          </c:val>
        </c:ser>
        <c:dLbls>
          <c:showLegendKey val="0"/>
          <c:showVal val="0"/>
          <c:showCatName val="0"/>
          <c:showSerName val="0"/>
          <c:showPercent val="0"/>
          <c:showBubbleSize val="0"/>
        </c:dLbls>
        <c:gapWidth val="132"/>
        <c:axId val="311908992"/>
        <c:axId val="311927168"/>
      </c:barChart>
      <c:catAx>
        <c:axId val="311908992"/>
        <c:scaling>
          <c:orientation val="minMax"/>
        </c:scaling>
        <c:delete val="0"/>
        <c:axPos val="b"/>
        <c:numFmt formatCode="General" sourceLinked="0"/>
        <c:majorTickMark val="out"/>
        <c:minorTickMark val="none"/>
        <c:tickLblPos val="nextTo"/>
        <c:txPr>
          <a:bodyPr/>
          <a:lstStyle/>
          <a:p>
            <a:pPr>
              <a:defRPr sz="1050" b="1"/>
            </a:pPr>
            <a:endParaRPr lang="zh-CN"/>
          </a:p>
        </c:txPr>
        <c:crossAx val="311927168"/>
        <c:crosses val="autoZero"/>
        <c:auto val="1"/>
        <c:lblAlgn val="ctr"/>
        <c:lblOffset val="100"/>
        <c:noMultiLvlLbl val="0"/>
      </c:catAx>
      <c:valAx>
        <c:axId val="311927168"/>
        <c:scaling>
          <c:orientation val="minMax"/>
          <c:max val="2000"/>
        </c:scaling>
        <c:delete val="1"/>
        <c:axPos val="l"/>
        <c:numFmt formatCode="0.0" sourceLinked="1"/>
        <c:majorTickMark val="out"/>
        <c:minorTickMark val="none"/>
        <c:tickLblPos val="nextTo"/>
        <c:crossAx val="311908992"/>
        <c:crosses val="autoZero"/>
        <c:crossBetween val="between"/>
      </c:valAx>
      <c:spPr>
        <a:noFill/>
        <a:ln w="25400">
          <a:noFill/>
        </a:ln>
      </c:spPr>
    </c:plotArea>
    <c:legend>
      <c:legendPos val="t"/>
      <c:layout>
        <c:manualLayout>
          <c:xMode val="edge"/>
          <c:yMode val="edge"/>
          <c:x val="6.3113517060367441E-2"/>
          <c:y val="0.18610432316650075"/>
          <c:w val="0.36372899314689061"/>
          <c:h val="9.8840314614962524E-2"/>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59965551181104E-2"/>
          <c:y val="5.0823525108141969E-2"/>
          <c:w val="0.94270833333333381"/>
          <c:h val="0.82452193475815538"/>
        </c:manualLayout>
      </c:layout>
      <c:barChart>
        <c:barDir val="col"/>
        <c:grouping val="clustered"/>
        <c:varyColors val="0"/>
        <c:ser>
          <c:idx val="0"/>
          <c:order val="0"/>
          <c:tx>
            <c:strRef>
              <c:f>Sheet1!$B$1</c:f>
              <c:strCache>
                <c:ptCount val="1"/>
                <c:pt idx="0">
                  <c:v>完成重组数</c:v>
                </c:pt>
              </c:strCache>
            </c:strRef>
          </c:tx>
          <c:spPr>
            <a:solidFill>
              <a:schemeClr val="tx2">
                <a:lumMod val="60000"/>
                <a:lumOff val="40000"/>
              </a:schemeClr>
            </a:solidFill>
          </c:spPr>
          <c:invertIfNegative val="0"/>
          <c:dLbls>
            <c:spPr>
              <a:noFill/>
              <a:ln>
                <a:noFill/>
              </a:ln>
              <a:effectLst/>
            </c:spPr>
            <c:txPr>
              <a:bodyPr/>
              <a:lstStyle/>
              <a:p>
                <a:pPr>
                  <a:defRPr sz="105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2015Q1</c:v>
                </c:pt>
                <c:pt idx="1">
                  <c:v>2015Q2</c:v>
                </c:pt>
                <c:pt idx="2">
                  <c:v>2015Q3</c:v>
                </c:pt>
                <c:pt idx="3">
                  <c:v>2015Q4</c:v>
                </c:pt>
                <c:pt idx="4">
                  <c:v>2016Q1</c:v>
                </c:pt>
              </c:strCache>
            </c:strRef>
          </c:cat>
          <c:val>
            <c:numRef>
              <c:f>Sheet1!$B$2:$B$6</c:f>
              <c:numCache>
                <c:formatCode>General</c:formatCode>
                <c:ptCount val="5"/>
                <c:pt idx="0">
                  <c:v>24</c:v>
                </c:pt>
                <c:pt idx="1">
                  <c:v>16</c:v>
                </c:pt>
                <c:pt idx="2">
                  <c:v>31</c:v>
                </c:pt>
                <c:pt idx="3">
                  <c:v>57</c:v>
                </c:pt>
                <c:pt idx="4">
                  <c:v>26</c:v>
                </c:pt>
              </c:numCache>
            </c:numRef>
          </c:val>
        </c:ser>
        <c:dLbls>
          <c:showLegendKey val="0"/>
          <c:showVal val="0"/>
          <c:showCatName val="0"/>
          <c:showSerName val="0"/>
          <c:showPercent val="0"/>
          <c:showBubbleSize val="0"/>
        </c:dLbls>
        <c:gapWidth val="132"/>
        <c:axId val="311987584"/>
        <c:axId val="312001664"/>
      </c:barChart>
      <c:lineChart>
        <c:grouping val="standard"/>
        <c:varyColors val="0"/>
        <c:ser>
          <c:idx val="1"/>
          <c:order val="1"/>
          <c:tx>
            <c:strRef>
              <c:f>Sheet1!$C$1</c:f>
              <c:strCache>
                <c:ptCount val="1"/>
                <c:pt idx="0">
                  <c:v>占上市公司总体完成重组数比重</c:v>
                </c:pt>
              </c:strCache>
            </c:strRef>
          </c:tx>
          <c:dLbls>
            <c:spPr>
              <a:noFill/>
              <a:ln>
                <a:noFill/>
              </a:ln>
              <a:effectLst/>
            </c:spPr>
            <c:txPr>
              <a:bodyPr/>
              <a:lstStyle/>
              <a:p>
                <a:pPr>
                  <a:defRPr b="1">
                    <a:solidFill>
                      <a:sysClr val="windowText" lastClr="000000"/>
                    </a:solidFill>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2015Q1</c:v>
                </c:pt>
                <c:pt idx="1">
                  <c:v>2015Q2</c:v>
                </c:pt>
                <c:pt idx="2">
                  <c:v>2015Q3</c:v>
                </c:pt>
                <c:pt idx="3">
                  <c:v>2015Q4</c:v>
                </c:pt>
                <c:pt idx="4">
                  <c:v>2016Q1</c:v>
                </c:pt>
              </c:strCache>
            </c:strRef>
          </c:cat>
          <c:val>
            <c:numRef>
              <c:f>Sheet1!$C$2:$C$6</c:f>
              <c:numCache>
                <c:formatCode>0.0%</c:formatCode>
                <c:ptCount val="5"/>
                <c:pt idx="0">
                  <c:v>0.42857142857142855</c:v>
                </c:pt>
                <c:pt idx="1">
                  <c:v>0.34782608695652173</c:v>
                </c:pt>
                <c:pt idx="2">
                  <c:v>0.39240506329113922</c:v>
                </c:pt>
                <c:pt idx="3">
                  <c:v>0.496</c:v>
                </c:pt>
                <c:pt idx="4">
                  <c:v>0.42599999999999999</c:v>
                </c:pt>
              </c:numCache>
            </c:numRef>
          </c:val>
          <c:smooth val="0"/>
        </c:ser>
        <c:dLbls>
          <c:showLegendKey val="0"/>
          <c:showVal val="0"/>
          <c:showCatName val="0"/>
          <c:showSerName val="0"/>
          <c:showPercent val="0"/>
          <c:showBubbleSize val="0"/>
        </c:dLbls>
        <c:marker val="1"/>
        <c:smooth val="0"/>
        <c:axId val="312004992"/>
        <c:axId val="312003200"/>
      </c:lineChart>
      <c:catAx>
        <c:axId val="311987584"/>
        <c:scaling>
          <c:orientation val="minMax"/>
        </c:scaling>
        <c:delete val="0"/>
        <c:axPos val="b"/>
        <c:numFmt formatCode="General" sourceLinked="0"/>
        <c:majorTickMark val="out"/>
        <c:minorTickMark val="none"/>
        <c:tickLblPos val="nextTo"/>
        <c:txPr>
          <a:bodyPr/>
          <a:lstStyle/>
          <a:p>
            <a:pPr>
              <a:defRPr sz="1050" b="1"/>
            </a:pPr>
            <a:endParaRPr lang="zh-CN"/>
          </a:p>
        </c:txPr>
        <c:crossAx val="312001664"/>
        <c:crosses val="autoZero"/>
        <c:auto val="1"/>
        <c:lblAlgn val="ctr"/>
        <c:lblOffset val="100"/>
        <c:noMultiLvlLbl val="0"/>
      </c:catAx>
      <c:valAx>
        <c:axId val="312001664"/>
        <c:scaling>
          <c:orientation val="minMax"/>
          <c:max val="60"/>
        </c:scaling>
        <c:delete val="0"/>
        <c:axPos val="l"/>
        <c:numFmt formatCode="General" sourceLinked="1"/>
        <c:majorTickMark val="out"/>
        <c:minorTickMark val="none"/>
        <c:tickLblPos val="none"/>
        <c:spPr>
          <a:ln>
            <a:noFill/>
          </a:ln>
        </c:spPr>
        <c:crossAx val="311987584"/>
        <c:crosses val="autoZero"/>
        <c:crossBetween val="between"/>
      </c:valAx>
      <c:valAx>
        <c:axId val="312003200"/>
        <c:scaling>
          <c:orientation val="minMax"/>
          <c:max val="1.2"/>
        </c:scaling>
        <c:delete val="0"/>
        <c:axPos val="r"/>
        <c:numFmt formatCode="0.0%" sourceLinked="1"/>
        <c:majorTickMark val="out"/>
        <c:minorTickMark val="none"/>
        <c:tickLblPos val="none"/>
        <c:spPr>
          <a:ln>
            <a:noFill/>
          </a:ln>
        </c:spPr>
        <c:crossAx val="312004992"/>
        <c:crosses val="max"/>
        <c:crossBetween val="between"/>
        <c:minorUnit val="0.1"/>
      </c:valAx>
      <c:catAx>
        <c:axId val="312004992"/>
        <c:scaling>
          <c:orientation val="minMax"/>
        </c:scaling>
        <c:delete val="1"/>
        <c:axPos val="t"/>
        <c:numFmt formatCode="General" sourceLinked="1"/>
        <c:majorTickMark val="out"/>
        <c:minorTickMark val="none"/>
        <c:tickLblPos val="nextTo"/>
        <c:crossAx val="312003200"/>
        <c:crosses val="max"/>
        <c:auto val="1"/>
        <c:lblAlgn val="ctr"/>
        <c:lblOffset val="100"/>
        <c:noMultiLvlLbl val="0"/>
      </c:catAx>
      <c:spPr>
        <a:noFill/>
        <a:ln w="25400">
          <a:noFill/>
        </a:ln>
      </c:spPr>
    </c:plotArea>
    <c:legend>
      <c:legendPos val="t"/>
      <c:layout>
        <c:manualLayout>
          <c:xMode val="edge"/>
          <c:yMode val="edge"/>
          <c:x val="8.6551017060367455E-2"/>
          <c:y val="0.14232574376478802"/>
          <c:w val="0.5720624179790027"/>
          <c:h val="0.19735710841130441"/>
        </c:manualLayout>
      </c:layout>
      <c:overlay val="0"/>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62962962962968E-2"/>
          <c:y val="0.12528538812785389"/>
          <c:w val="0.92226424821897268"/>
          <c:h val="0.69835688347175784"/>
        </c:manualLayout>
      </c:layout>
      <c:barChart>
        <c:barDir val="col"/>
        <c:grouping val="clustered"/>
        <c:varyColors val="0"/>
        <c:ser>
          <c:idx val="0"/>
          <c:order val="0"/>
          <c:tx>
            <c:strRef>
              <c:f>Sheet1!$B$1</c:f>
              <c:strCache>
                <c:ptCount val="1"/>
                <c:pt idx="0">
                  <c:v>总资产（万亿元）</c:v>
                </c:pt>
              </c:strCache>
            </c:strRef>
          </c:tx>
          <c:spPr>
            <a:solidFill>
              <a:schemeClr val="tx2">
                <a:lumMod val="60000"/>
                <a:lumOff val="40000"/>
              </a:schemeClr>
            </a:solidFill>
          </c:spPr>
          <c:invertIfNegative val="0"/>
          <c:dPt>
            <c:idx val="4"/>
            <c:invertIfNegative val="0"/>
            <c:bubble3D val="0"/>
          </c:dPt>
          <c:dLbls>
            <c:spPr>
              <a:noFill/>
              <a:ln>
                <a:noFill/>
              </a:ln>
              <a:effectLst/>
            </c:spPr>
            <c:txPr>
              <a:bodyPr/>
              <a:lstStyle/>
              <a:p>
                <a:pPr>
                  <a:defRPr sz="105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Sheet1!$B$2:$B$14</c:f>
              <c:numCache>
                <c:formatCode>0.00</c:formatCode>
                <c:ptCount val="13"/>
                <c:pt idx="0">
                  <c:v>4.1148995121874705</c:v>
                </c:pt>
                <c:pt idx="1">
                  <c:v>4.2677631690239703</c:v>
                </c:pt>
                <c:pt idx="2">
                  <c:v>4.4366630691860998</c:v>
                </c:pt>
                <c:pt idx="3">
                  <c:v>4.75129418649286</c:v>
                </c:pt>
                <c:pt idx="4">
                  <c:v>4.8245898103185496</c:v>
                </c:pt>
                <c:pt idx="5">
                  <c:v>5.1649561525355896</c:v>
                </c:pt>
                <c:pt idx="6">
                  <c:v>5.4259253354582304</c:v>
                </c:pt>
                <c:pt idx="7">
                  <c:v>5.7497396764720401</c:v>
                </c:pt>
                <c:pt idx="8">
                  <c:v>5.9638819996373398</c:v>
                </c:pt>
                <c:pt idx="9">
                  <c:v>6.2830783132232693</c:v>
                </c:pt>
                <c:pt idx="10">
                  <c:v>6.5627895654926203</c:v>
                </c:pt>
                <c:pt idx="11">
                  <c:v>7.0008535493571697</c:v>
                </c:pt>
                <c:pt idx="12">
                  <c:v>7.30350899724586</c:v>
                </c:pt>
              </c:numCache>
            </c:numRef>
          </c:val>
        </c:ser>
        <c:dLbls>
          <c:showLegendKey val="0"/>
          <c:showVal val="0"/>
          <c:showCatName val="0"/>
          <c:showSerName val="0"/>
          <c:showPercent val="0"/>
          <c:showBubbleSize val="0"/>
        </c:dLbls>
        <c:gapWidth val="68"/>
        <c:axId val="309550080"/>
        <c:axId val="309568256"/>
      </c:barChart>
      <c:lineChart>
        <c:grouping val="stacked"/>
        <c:varyColors val="0"/>
        <c:ser>
          <c:idx val="1"/>
          <c:order val="1"/>
          <c:tx>
            <c:strRef>
              <c:f>Sheet1!$C$1</c:f>
              <c:strCache>
                <c:ptCount val="1"/>
                <c:pt idx="0">
                  <c:v>总资产增速</c:v>
                </c:pt>
              </c:strCache>
            </c:strRef>
          </c:tx>
          <c:marker>
            <c:symbol val="circle"/>
            <c:size val="7"/>
            <c:spPr>
              <a:solidFill>
                <a:schemeClr val="bg1"/>
              </a:solidFill>
            </c:spPr>
          </c:marker>
          <c:dLbls>
            <c:spPr>
              <a:noFill/>
              <a:ln>
                <a:noFill/>
              </a:ln>
              <a:effectLst/>
            </c:spPr>
            <c:txPr>
              <a:bodyPr/>
              <a:lstStyle/>
              <a:p>
                <a:pPr>
                  <a:defRPr b="1"/>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Sheet1!$C$2:$C$14</c:f>
              <c:numCache>
                <c:formatCode>0.0%</c:formatCode>
                <c:ptCount val="13"/>
                <c:pt idx="0">
                  <c:v>0.12725461784264702</c:v>
                </c:pt>
                <c:pt idx="1">
                  <c:v>0.12281703256517762</c:v>
                </c:pt>
                <c:pt idx="2">
                  <c:v>0.14128500623463536</c:v>
                </c:pt>
                <c:pt idx="3">
                  <c:v>0.13994156669674696</c:v>
                </c:pt>
                <c:pt idx="4">
                  <c:v>0.172468439637256</c:v>
                </c:pt>
                <c:pt idx="5">
                  <c:v>0.21022557906295569</c:v>
                </c:pt>
                <c:pt idx="6">
                  <c:v>0.22297439558636789</c:v>
                </c:pt>
                <c:pt idx="7">
                  <c:v>0.21014179522236165</c:v>
                </c:pt>
                <c:pt idx="8">
                  <c:v>0.23614280884193284</c:v>
                </c:pt>
                <c:pt idx="9">
                  <c:v>0.21648241101500321</c:v>
                </c:pt>
                <c:pt idx="10">
                  <c:v>0.20952448840477444</c:v>
                </c:pt>
                <c:pt idx="11">
                  <c:v>0.21759487268696587</c:v>
                </c:pt>
                <c:pt idx="12">
                  <c:v>0.22462332381659844</c:v>
                </c:pt>
              </c:numCache>
            </c:numRef>
          </c:val>
          <c:smooth val="0"/>
        </c:ser>
        <c:dLbls>
          <c:showLegendKey val="0"/>
          <c:showVal val="0"/>
          <c:showCatName val="0"/>
          <c:showSerName val="0"/>
          <c:showPercent val="0"/>
          <c:showBubbleSize val="0"/>
        </c:dLbls>
        <c:marker val="1"/>
        <c:smooth val="0"/>
        <c:axId val="309571584"/>
        <c:axId val="309569792"/>
      </c:lineChart>
      <c:catAx>
        <c:axId val="309550080"/>
        <c:scaling>
          <c:orientation val="minMax"/>
        </c:scaling>
        <c:delete val="0"/>
        <c:axPos val="b"/>
        <c:numFmt formatCode="General" sourceLinked="1"/>
        <c:majorTickMark val="out"/>
        <c:minorTickMark val="none"/>
        <c:tickLblPos val="nextTo"/>
        <c:txPr>
          <a:bodyPr/>
          <a:lstStyle/>
          <a:p>
            <a:pPr>
              <a:defRPr sz="1050" b="1"/>
            </a:pPr>
            <a:endParaRPr lang="zh-CN"/>
          </a:p>
        </c:txPr>
        <c:crossAx val="309568256"/>
        <c:crosses val="autoZero"/>
        <c:auto val="1"/>
        <c:lblAlgn val="ctr"/>
        <c:lblOffset val="100"/>
        <c:noMultiLvlLbl val="0"/>
      </c:catAx>
      <c:valAx>
        <c:axId val="309568256"/>
        <c:scaling>
          <c:orientation val="minMax"/>
        </c:scaling>
        <c:delete val="0"/>
        <c:axPos val="l"/>
        <c:numFmt formatCode="0.00" sourceLinked="1"/>
        <c:majorTickMark val="none"/>
        <c:minorTickMark val="none"/>
        <c:tickLblPos val="none"/>
        <c:spPr>
          <a:noFill/>
          <a:ln>
            <a:noFill/>
          </a:ln>
        </c:spPr>
        <c:crossAx val="309550080"/>
        <c:crosses val="autoZero"/>
        <c:crossBetween val="between"/>
        <c:minorUnit val="1"/>
      </c:valAx>
      <c:valAx>
        <c:axId val="309569792"/>
        <c:scaling>
          <c:orientation val="minMax"/>
          <c:max val="0.4"/>
          <c:min val="0"/>
        </c:scaling>
        <c:delete val="0"/>
        <c:axPos val="r"/>
        <c:numFmt formatCode="0.0%" sourceLinked="1"/>
        <c:majorTickMark val="out"/>
        <c:minorTickMark val="none"/>
        <c:tickLblPos val="nextTo"/>
        <c:spPr>
          <a:noFill/>
          <a:ln>
            <a:noFill/>
          </a:ln>
        </c:spPr>
        <c:txPr>
          <a:bodyPr/>
          <a:lstStyle/>
          <a:p>
            <a:pPr>
              <a:defRPr baseline="0">
                <a:solidFill>
                  <a:schemeClr val="bg1"/>
                </a:solidFill>
              </a:defRPr>
            </a:pPr>
            <a:endParaRPr lang="zh-CN"/>
          </a:p>
        </c:txPr>
        <c:crossAx val="309571584"/>
        <c:crosses val="max"/>
        <c:crossBetween val="between"/>
        <c:majorUnit val="0.1"/>
      </c:valAx>
      <c:catAx>
        <c:axId val="309571584"/>
        <c:scaling>
          <c:orientation val="minMax"/>
        </c:scaling>
        <c:delete val="1"/>
        <c:axPos val="b"/>
        <c:numFmt formatCode="General" sourceLinked="1"/>
        <c:majorTickMark val="out"/>
        <c:minorTickMark val="none"/>
        <c:tickLblPos val="nextTo"/>
        <c:crossAx val="309569792"/>
        <c:crosses val="autoZero"/>
        <c:auto val="1"/>
        <c:lblAlgn val="ctr"/>
        <c:lblOffset val="100"/>
        <c:noMultiLvlLbl val="0"/>
      </c:catAx>
    </c:plotArea>
    <c:legend>
      <c:legendPos val="r"/>
      <c:layout>
        <c:manualLayout>
          <c:xMode val="edge"/>
          <c:yMode val="edge"/>
          <c:x val="0.15740688663917013"/>
          <c:y val="4.7608132887498648E-2"/>
          <c:w val="0.62660683077558477"/>
          <c:h val="0.12194673582468857"/>
        </c:manualLayout>
      </c:layout>
      <c:overlay val="0"/>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792563750320525E-2"/>
          <c:y val="0.15121225323979651"/>
          <c:w val="0.94270833333333337"/>
          <c:h val="0.69800389085405468"/>
        </c:manualLayout>
      </c:layout>
      <c:lineChart>
        <c:grouping val="standard"/>
        <c:varyColors val="0"/>
        <c:ser>
          <c:idx val="0"/>
          <c:order val="0"/>
          <c:tx>
            <c:strRef>
              <c:f>Sheet1!$B$1</c:f>
              <c:strCache>
                <c:ptCount val="1"/>
                <c:pt idx="0">
                  <c:v>战略性新兴产业上市公司固定资产净值增速</c:v>
                </c:pt>
              </c:strCache>
            </c:strRef>
          </c:tx>
          <c:dLbls>
            <c:dLbl>
              <c:idx val="7"/>
              <c:layout>
                <c:manualLayout>
                  <c:x val="-4.9779922754355485E-2"/>
                  <c:y val="-4.46886628057842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762355117723456E-2"/>
                  <c:y val="-4.91121793342363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Sheet1!$B$2:$B$14</c:f>
              <c:numCache>
                <c:formatCode>0.0%</c:formatCode>
                <c:ptCount val="13"/>
                <c:pt idx="0">
                  <c:v>0.18374354688925942</c:v>
                </c:pt>
                <c:pt idx="1">
                  <c:v>0.14471777527582286</c:v>
                </c:pt>
                <c:pt idx="2">
                  <c:v>0.14802328140139775</c:v>
                </c:pt>
                <c:pt idx="3">
                  <c:v>0.15413668082118681</c:v>
                </c:pt>
                <c:pt idx="4">
                  <c:v>0.17344304421766221</c:v>
                </c:pt>
                <c:pt idx="5">
                  <c:v>0.21940297939139519</c:v>
                </c:pt>
                <c:pt idx="6">
                  <c:v>0.2207068574879596</c:v>
                </c:pt>
                <c:pt idx="7">
                  <c:v>0.20791135251737702</c:v>
                </c:pt>
                <c:pt idx="8">
                  <c:v>0.24510682321072053</c:v>
                </c:pt>
                <c:pt idx="9">
                  <c:v>0.19868239250895536</c:v>
                </c:pt>
                <c:pt idx="10">
                  <c:v>0.19888055875652655</c:v>
                </c:pt>
                <c:pt idx="11">
                  <c:v>0.1790648638570338</c:v>
                </c:pt>
                <c:pt idx="12">
                  <c:v>0.16566756632345747</c:v>
                </c:pt>
              </c:numCache>
            </c:numRef>
          </c:val>
          <c:smooth val="0"/>
        </c:ser>
        <c:ser>
          <c:idx val="1"/>
          <c:order val="1"/>
          <c:tx>
            <c:strRef>
              <c:f>Sheet1!$C$1</c:f>
              <c:strCache>
                <c:ptCount val="1"/>
                <c:pt idx="0">
                  <c:v>上市公司固定资产净值增速</c:v>
                </c:pt>
              </c:strCache>
            </c:strRef>
          </c:tx>
          <c:dLbls>
            <c:dLbl>
              <c:idx val="7"/>
              <c:layout>
                <c:manualLayout>
                  <c:x val="-5.1936294331476417E-2"/>
                  <c:y val="-6.147573387706594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Sheet1!$C$2:$C$14</c:f>
              <c:numCache>
                <c:formatCode>0.0%</c:formatCode>
                <c:ptCount val="13"/>
                <c:pt idx="0">
                  <c:v>0.13381998921300853</c:v>
                </c:pt>
                <c:pt idx="1">
                  <c:v>0.13169270264463306</c:v>
                </c:pt>
                <c:pt idx="2">
                  <c:v>0.12616501809836045</c:v>
                </c:pt>
                <c:pt idx="3">
                  <c:v>0.11313744516724933</c:v>
                </c:pt>
                <c:pt idx="4">
                  <c:v>0.12066464180544623</c:v>
                </c:pt>
                <c:pt idx="5">
                  <c:v>0.12180014881561974</c:v>
                </c:pt>
                <c:pt idx="6">
                  <c:v>0.10116738903327294</c:v>
                </c:pt>
                <c:pt idx="7">
                  <c:v>0.10667804569721895</c:v>
                </c:pt>
                <c:pt idx="8">
                  <c:v>0.11296242036688309</c:v>
                </c:pt>
                <c:pt idx="9">
                  <c:v>0.11270851455593967</c:v>
                </c:pt>
                <c:pt idx="10">
                  <c:v>0.14391349338555681</c:v>
                </c:pt>
                <c:pt idx="11">
                  <c:v>0.10550248216029989</c:v>
                </c:pt>
                <c:pt idx="12">
                  <c:v>0.10655474571571122</c:v>
                </c:pt>
              </c:numCache>
            </c:numRef>
          </c:val>
          <c:smooth val="0"/>
        </c:ser>
        <c:dLbls>
          <c:showLegendKey val="0"/>
          <c:showVal val="0"/>
          <c:showCatName val="0"/>
          <c:showSerName val="0"/>
          <c:showPercent val="0"/>
          <c:showBubbleSize val="0"/>
        </c:dLbls>
        <c:marker val="1"/>
        <c:smooth val="0"/>
        <c:axId val="166557184"/>
        <c:axId val="166558720"/>
      </c:lineChart>
      <c:catAx>
        <c:axId val="166557184"/>
        <c:scaling>
          <c:orientation val="minMax"/>
        </c:scaling>
        <c:delete val="0"/>
        <c:axPos val="b"/>
        <c:numFmt formatCode="General" sourceLinked="0"/>
        <c:majorTickMark val="out"/>
        <c:minorTickMark val="none"/>
        <c:tickLblPos val="low"/>
        <c:txPr>
          <a:bodyPr rot="0" vert="horz"/>
          <a:lstStyle/>
          <a:p>
            <a:pPr>
              <a:defRPr sz="1050" b="1"/>
            </a:pPr>
            <a:endParaRPr lang="zh-CN"/>
          </a:p>
        </c:txPr>
        <c:crossAx val="166558720"/>
        <c:crosses val="autoZero"/>
        <c:auto val="1"/>
        <c:lblAlgn val="ctr"/>
        <c:lblOffset val="100"/>
        <c:noMultiLvlLbl val="0"/>
      </c:catAx>
      <c:valAx>
        <c:axId val="166558720"/>
        <c:scaling>
          <c:orientation val="minMax"/>
        </c:scaling>
        <c:delete val="1"/>
        <c:axPos val="l"/>
        <c:numFmt formatCode="0.0%" sourceLinked="1"/>
        <c:majorTickMark val="out"/>
        <c:minorTickMark val="none"/>
        <c:tickLblPos val="nextTo"/>
        <c:crossAx val="166557184"/>
        <c:crosses val="autoZero"/>
        <c:crossBetween val="between"/>
      </c:valAx>
      <c:spPr>
        <a:noFill/>
        <a:ln w="25400">
          <a:noFill/>
        </a:ln>
      </c:spPr>
    </c:plotArea>
    <c:legend>
      <c:legendPos val="t"/>
      <c:layout>
        <c:manualLayout>
          <c:xMode val="edge"/>
          <c:yMode val="edge"/>
          <c:x val="6.7435863216064054E-2"/>
          <c:y val="8.4948804093582533E-2"/>
          <c:w val="0.53557317554803263"/>
          <c:h val="0.16846562143963523"/>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80111912323221E-2"/>
          <c:y val="3.51122510051457E-3"/>
          <c:w val="0.87183906498867181"/>
          <c:h val="0.71036452877407252"/>
        </c:manualLayout>
      </c:layout>
      <c:lineChart>
        <c:grouping val="standard"/>
        <c:varyColors val="0"/>
        <c:ser>
          <c:idx val="0"/>
          <c:order val="0"/>
          <c:tx>
            <c:strRef>
              <c:f>Sheet1!$B$1</c:f>
              <c:strCache>
                <c:ptCount val="1"/>
                <c:pt idx="0">
                  <c:v>战略性新兴产业上市公司</c:v>
                </c:pt>
              </c:strCache>
            </c:strRef>
          </c:tx>
          <c:marker>
            <c:symbol val="circle"/>
            <c:size val="5"/>
            <c:spPr>
              <a:solidFill>
                <a:schemeClr val="bg1"/>
              </a:solidFill>
            </c:spPr>
          </c:marker>
          <c:dLbls>
            <c:dLbl>
              <c:idx val="0"/>
              <c:layout>
                <c:manualLayout>
                  <c:x val="-6.501643258745933E-2"/>
                  <c:y val="3.75077059672494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8382507470608261E-2"/>
                  <c:y val="2.28324888080567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8082135651517172E-2"/>
                  <c:y val="-5.54503299624235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8382507470608282E-2"/>
                  <c:y val="-5.11012844751746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1586004211635507E-2"/>
                  <c:y val="-5.11012844751746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0532044213413346E-2"/>
                  <c:y val="-6.41484209369214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6712267304867987E-2"/>
                  <c:y val="-4.24031935006768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2593818232547875E-2"/>
                  <c:y val="1.4836795252225435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2">
                  <c:v>2013Q3</c:v>
                </c:pt>
                <c:pt idx="4">
                  <c:v>2014Q1</c:v>
                </c:pt>
                <c:pt idx="6">
                  <c:v>2014Q3</c:v>
                </c:pt>
                <c:pt idx="8">
                  <c:v>2015Q1</c:v>
                </c:pt>
                <c:pt idx="10">
                  <c:v>2015Q3</c:v>
                </c:pt>
                <c:pt idx="12">
                  <c:v>2016Q1</c:v>
                </c:pt>
              </c:strCache>
            </c:strRef>
          </c:cat>
          <c:val>
            <c:numRef>
              <c:f>Sheet1!$B$2:$B$14</c:f>
              <c:numCache>
                <c:formatCode>0.0%</c:formatCode>
                <c:ptCount val="13"/>
                <c:pt idx="0">
                  <c:v>7.5593038530664458E-2</c:v>
                </c:pt>
                <c:pt idx="1">
                  <c:v>0.10217191333501341</c:v>
                </c:pt>
                <c:pt idx="2">
                  <c:v>0.18698493847253217</c:v>
                </c:pt>
                <c:pt idx="3">
                  <c:v>0.20423116242113615</c:v>
                </c:pt>
                <c:pt idx="4">
                  <c:v>0.2331993397323191</c:v>
                </c:pt>
                <c:pt idx="5">
                  <c:v>0.29100320931905888</c:v>
                </c:pt>
                <c:pt idx="6">
                  <c:v>0.27547271498371995</c:v>
                </c:pt>
                <c:pt idx="7">
                  <c:v>0.28957503426006892</c:v>
                </c:pt>
                <c:pt idx="8">
                  <c:v>0.29730282776997785</c:v>
                </c:pt>
                <c:pt idx="9">
                  <c:v>0.29245832056502352</c:v>
                </c:pt>
                <c:pt idx="10">
                  <c:v>0.24919271358817974</c:v>
                </c:pt>
                <c:pt idx="11">
                  <c:v>0.12427433037915558</c:v>
                </c:pt>
                <c:pt idx="12">
                  <c:v>0.36410503172830144</c:v>
                </c:pt>
              </c:numCache>
            </c:numRef>
          </c:val>
          <c:smooth val="0"/>
        </c:ser>
        <c:ser>
          <c:idx val="1"/>
          <c:order val="1"/>
          <c:tx>
            <c:strRef>
              <c:f>Sheet1!$C$1</c:f>
              <c:strCache>
                <c:ptCount val="1"/>
                <c:pt idx="0">
                  <c:v>上市公司总体</c:v>
                </c:pt>
              </c:strCache>
            </c:strRef>
          </c:tx>
          <c:marker>
            <c:symbol val="circle"/>
            <c:size val="5"/>
            <c:spPr>
              <a:solidFill>
                <a:schemeClr val="bg1"/>
              </a:solidFill>
            </c:spPr>
          </c:marker>
          <c:dLbls>
            <c:dLbl>
              <c:idx val="0"/>
              <c:layout>
                <c:manualLayout>
                  <c:x val="-4.8803972731752687E-2"/>
                  <c:y val="-3.58203823667093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2532749505014407E-2"/>
                  <c:y val="-4.790148281904446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0727627997935433E-2"/>
                  <c:y val="5.59927620924868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4547404906480764E-2"/>
                  <c:y val="-3.82366709460817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049862277722086E-2"/>
                  <c:y val="4.1750795759066983E-2"/>
                </c:manualLayout>
              </c:layout>
              <c:tx>
                <c:rich>
                  <a:bodyPr/>
                  <a:lstStyle/>
                  <a:p>
                    <a:pPr>
                      <a:defRPr/>
                    </a:pPr>
                    <a:r>
                      <a:rPr lang="en-US" altLang="en-US"/>
                      <a:t>4.7%</a:t>
                    </a:r>
                  </a:p>
                </c:rich>
              </c:tx>
              <c:numFmt formatCode="0.00%" sourceLinked="0"/>
              <c:sp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0532044213413346E-2"/>
                  <c:y val="5.32758072187990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6712267304867987E-2"/>
                  <c:y val="3.58796252698034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0986896106466296E-2"/>
                  <c:y val="-3.538005021684546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2">
                  <c:v>2013Q3</c:v>
                </c:pt>
                <c:pt idx="4">
                  <c:v>2014Q1</c:v>
                </c:pt>
                <c:pt idx="6">
                  <c:v>2014Q3</c:v>
                </c:pt>
                <c:pt idx="8">
                  <c:v>2015Q1</c:v>
                </c:pt>
                <c:pt idx="10">
                  <c:v>2015Q3</c:v>
                </c:pt>
                <c:pt idx="12">
                  <c:v>2016Q1</c:v>
                </c:pt>
              </c:strCache>
            </c:strRef>
          </c:cat>
          <c:val>
            <c:numRef>
              <c:f>Sheet1!$C$2:$C$14</c:f>
              <c:numCache>
                <c:formatCode>0.0%</c:formatCode>
                <c:ptCount val="13"/>
                <c:pt idx="0">
                  <c:v>0.12108247696207708</c:v>
                </c:pt>
                <c:pt idx="1">
                  <c:v>0.13695573487824442</c:v>
                </c:pt>
                <c:pt idx="2">
                  <c:v>0.16010484447914908</c:v>
                </c:pt>
                <c:pt idx="3">
                  <c:v>0.14320529542980553</c:v>
                </c:pt>
                <c:pt idx="4">
                  <c:v>9.2976946589340637E-2</c:v>
                </c:pt>
                <c:pt idx="5">
                  <c:v>0.1089507919351187</c:v>
                </c:pt>
                <c:pt idx="6">
                  <c:v>0.10379566004346885</c:v>
                </c:pt>
                <c:pt idx="7">
                  <c:v>6.9488144408220487E-2</c:v>
                </c:pt>
                <c:pt idx="8">
                  <c:v>5.3679066375674322E-2</c:v>
                </c:pt>
                <c:pt idx="9">
                  <c:v>0.10756909841053197</c:v>
                </c:pt>
                <c:pt idx="10">
                  <c:v>3.8746624415065378E-2</c:v>
                </c:pt>
                <c:pt idx="11">
                  <c:v>2.1999999999999999E-2</c:v>
                </c:pt>
                <c:pt idx="12">
                  <c:v>-4.0000000000000001E-3</c:v>
                </c:pt>
              </c:numCache>
            </c:numRef>
          </c:val>
          <c:smooth val="0"/>
        </c:ser>
        <c:dLbls>
          <c:showLegendKey val="0"/>
          <c:showVal val="0"/>
          <c:showCatName val="0"/>
          <c:showSerName val="0"/>
          <c:showPercent val="0"/>
          <c:showBubbleSize val="0"/>
        </c:dLbls>
        <c:marker val="1"/>
        <c:smooth val="0"/>
        <c:axId val="312845440"/>
        <c:axId val="312846976"/>
      </c:lineChart>
      <c:catAx>
        <c:axId val="312845440"/>
        <c:scaling>
          <c:orientation val="minMax"/>
        </c:scaling>
        <c:delete val="0"/>
        <c:axPos val="b"/>
        <c:numFmt formatCode="General" sourceLinked="0"/>
        <c:majorTickMark val="out"/>
        <c:minorTickMark val="none"/>
        <c:tickLblPos val="nextTo"/>
        <c:crossAx val="312846976"/>
        <c:crosses val="autoZero"/>
        <c:auto val="1"/>
        <c:lblAlgn val="ctr"/>
        <c:lblOffset val="100"/>
        <c:tickLblSkip val="1"/>
        <c:tickMarkSkip val="1"/>
        <c:noMultiLvlLbl val="0"/>
      </c:catAx>
      <c:valAx>
        <c:axId val="312846976"/>
        <c:scaling>
          <c:orientation val="minMax"/>
          <c:max val="0.5"/>
        </c:scaling>
        <c:delete val="1"/>
        <c:axPos val="l"/>
        <c:majorGridlines>
          <c:spPr>
            <a:ln>
              <a:noFill/>
            </a:ln>
          </c:spPr>
        </c:majorGridlines>
        <c:numFmt formatCode="0.0%" sourceLinked="1"/>
        <c:majorTickMark val="out"/>
        <c:minorTickMark val="none"/>
        <c:tickLblPos val="nextTo"/>
        <c:crossAx val="312845440"/>
        <c:crosses val="autoZero"/>
        <c:crossBetween val="between"/>
      </c:valAx>
    </c:plotArea>
    <c:legend>
      <c:legendPos val="r"/>
      <c:layout>
        <c:manualLayout>
          <c:xMode val="edge"/>
          <c:yMode val="edge"/>
          <c:x val="6.5925010300782863E-2"/>
          <c:y val="2.5302532230264186E-3"/>
          <c:w val="0.79050957304308089"/>
          <c:h val="0.1780558579530972"/>
        </c:manualLayout>
      </c:layout>
      <c:overlay val="0"/>
    </c:legend>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310336945431989E-2"/>
          <c:y val="6.2884419240341077E-2"/>
          <c:w val="0.65655821668124814"/>
          <c:h val="0.86498742061387401"/>
        </c:manualLayout>
      </c:layout>
      <c:lineChart>
        <c:grouping val="standard"/>
        <c:varyColors val="0"/>
        <c:ser>
          <c:idx val="0"/>
          <c:order val="0"/>
          <c:tx>
            <c:strRef>
              <c:f>Sheet1!$A$2</c:f>
              <c:strCache>
                <c:ptCount val="1"/>
                <c:pt idx="0">
                  <c:v>高端装备</c:v>
                </c:pt>
              </c:strCache>
            </c:strRef>
          </c:tx>
          <c:spPr>
            <a:ln w="22225"/>
          </c:spPr>
          <c:cat>
            <c:strRef>
              <c:f>Sheet1!$B$1:$F$1</c:f>
              <c:strCache>
                <c:ptCount val="5"/>
                <c:pt idx="0">
                  <c:v>2015Q1</c:v>
                </c:pt>
                <c:pt idx="1">
                  <c:v>2015Q2</c:v>
                </c:pt>
                <c:pt idx="2">
                  <c:v>2015Q3</c:v>
                </c:pt>
                <c:pt idx="3">
                  <c:v>2015Q4</c:v>
                </c:pt>
                <c:pt idx="4">
                  <c:v>2016Q1</c:v>
                </c:pt>
              </c:strCache>
            </c:strRef>
          </c:cat>
          <c:val>
            <c:numRef>
              <c:f>Sheet1!$B$2:$F$2</c:f>
              <c:numCache>
                <c:formatCode>0.0%</c:formatCode>
                <c:ptCount val="5"/>
                <c:pt idx="0">
                  <c:v>0.1231659994913421</c:v>
                </c:pt>
                <c:pt idx="1">
                  <c:v>-3.8317947427782717E-2</c:v>
                </c:pt>
                <c:pt idx="2">
                  <c:v>-0.11682929616213866</c:v>
                </c:pt>
                <c:pt idx="3">
                  <c:v>-0.11215023855466011</c:v>
                </c:pt>
                <c:pt idx="4">
                  <c:v>0.22088461325306064</c:v>
                </c:pt>
              </c:numCache>
            </c:numRef>
          </c:val>
          <c:smooth val="0"/>
        </c:ser>
        <c:ser>
          <c:idx val="1"/>
          <c:order val="1"/>
          <c:tx>
            <c:strRef>
              <c:f>Sheet1!$A$3</c:f>
              <c:strCache>
                <c:ptCount val="1"/>
                <c:pt idx="0">
                  <c:v>节能环保</c:v>
                </c:pt>
              </c:strCache>
            </c:strRef>
          </c:tx>
          <c:spPr>
            <a:ln w="22225"/>
          </c:spPr>
          <c:marker>
            <c:symbol val="square"/>
            <c:size val="6"/>
          </c:marker>
          <c:cat>
            <c:strRef>
              <c:f>Sheet1!$B$1:$F$1</c:f>
              <c:strCache>
                <c:ptCount val="5"/>
                <c:pt idx="0">
                  <c:v>2015Q1</c:v>
                </c:pt>
                <c:pt idx="1">
                  <c:v>2015Q2</c:v>
                </c:pt>
                <c:pt idx="2">
                  <c:v>2015Q3</c:v>
                </c:pt>
                <c:pt idx="3">
                  <c:v>2015Q4</c:v>
                </c:pt>
                <c:pt idx="4">
                  <c:v>2016Q1</c:v>
                </c:pt>
              </c:strCache>
            </c:strRef>
          </c:cat>
          <c:val>
            <c:numRef>
              <c:f>Sheet1!$B$3:$F$3</c:f>
              <c:numCache>
                <c:formatCode>0.0%</c:formatCode>
                <c:ptCount val="5"/>
                <c:pt idx="0">
                  <c:v>0.28701074618890732</c:v>
                </c:pt>
                <c:pt idx="1">
                  <c:v>0.2093420363830909</c:v>
                </c:pt>
                <c:pt idx="2">
                  <c:v>0.18499172176830214</c:v>
                </c:pt>
                <c:pt idx="3">
                  <c:v>0.18343330336939445</c:v>
                </c:pt>
                <c:pt idx="4">
                  <c:v>0.14678514439609724</c:v>
                </c:pt>
              </c:numCache>
            </c:numRef>
          </c:val>
          <c:smooth val="0"/>
        </c:ser>
        <c:ser>
          <c:idx val="2"/>
          <c:order val="2"/>
          <c:tx>
            <c:strRef>
              <c:f>Sheet1!$A$4</c:f>
              <c:strCache>
                <c:ptCount val="1"/>
                <c:pt idx="0">
                  <c:v>生物</c:v>
                </c:pt>
              </c:strCache>
            </c:strRef>
          </c:tx>
          <c:spPr>
            <a:ln w="22225"/>
          </c:spPr>
          <c:marker>
            <c:symbol val="star"/>
            <c:size val="7"/>
          </c:marker>
          <c:cat>
            <c:strRef>
              <c:f>Sheet1!$B$1:$F$1</c:f>
              <c:strCache>
                <c:ptCount val="5"/>
                <c:pt idx="0">
                  <c:v>2015Q1</c:v>
                </c:pt>
                <c:pt idx="1">
                  <c:v>2015Q2</c:v>
                </c:pt>
                <c:pt idx="2">
                  <c:v>2015Q3</c:v>
                </c:pt>
                <c:pt idx="3">
                  <c:v>2015Q4</c:v>
                </c:pt>
                <c:pt idx="4">
                  <c:v>2016Q1</c:v>
                </c:pt>
              </c:strCache>
            </c:strRef>
          </c:cat>
          <c:val>
            <c:numRef>
              <c:f>Sheet1!$B$4:$F$4</c:f>
              <c:numCache>
                <c:formatCode>0.0%</c:formatCode>
                <c:ptCount val="5"/>
                <c:pt idx="0">
                  <c:v>0.27853302789849521</c:v>
                </c:pt>
                <c:pt idx="1">
                  <c:v>0.24516637678927733</c:v>
                </c:pt>
                <c:pt idx="2">
                  <c:v>0.26739920614790624</c:v>
                </c:pt>
                <c:pt idx="3">
                  <c:v>0.21060988664787272</c:v>
                </c:pt>
                <c:pt idx="4">
                  <c:v>0.31692979709163716</c:v>
                </c:pt>
              </c:numCache>
            </c:numRef>
          </c:val>
          <c:smooth val="0"/>
        </c:ser>
        <c:ser>
          <c:idx val="3"/>
          <c:order val="3"/>
          <c:tx>
            <c:strRef>
              <c:f>Sheet1!$A$5</c:f>
              <c:strCache>
                <c:ptCount val="1"/>
                <c:pt idx="0">
                  <c:v>新材料</c:v>
                </c:pt>
              </c:strCache>
            </c:strRef>
          </c:tx>
          <c:spPr>
            <a:ln w="22225"/>
          </c:spPr>
          <c:marker>
            <c:symbol val="triangle"/>
            <c:size val="7"/>
          </c:marker>
          <c:cat>
            <c:strRef>
              <c:f>Sheet1!$B$1:$F$1</c:f>
              <c:strCache>
                <c:ptCount val="5"/>
                <c:pt idx="0">
                  <c:v>2015Q1</c:v>
                </c:pt>
                <c:pt idx="1">
                  <c:v>2015Q2</c:v>
                </c:pt>
                <c:pt idx="2">
                  <c:v>2015Q3</c:v>
                </c:pt>
                <c:pt idx="3">
                  <c:v>2015Q4</c:v>
                </c:pt>
                <c:pt idx="4">
                  <c:v>2016Q1</c:v>
                </c:pt>
              </c:strCache>
            </c:strRef>
          </c:cat>
          <c:val>
            <c:numRef>
              <c:f>Sheet1!$B$5:$F$5</c:f>
              <c:numCache>
                <c:formatCode>0.0%</c:formatCode>
                <c:ptCount val="5"/>
                <c:pt idx="0">
                  <c:v>0.38194895218728231</c:v>
                </c:pt>
                <c:pt idx="1">
                  <c:v>0.2545219945222279</c:v>
                </c:pt>
                <c:pt idx="2">
                  <c:v>-2.3776023831762472E-2</c:v>
                </c:pt>
                <c:pt idx="3">
                  <c:v>-0.58579056402283758</c:v>
                </c:pt>
                <c:pt idx="4">
                  <c:v>0.15007515560904228</c:v>
                </c:pt>
              </c:numCache>
            </c:numRef>
          </c:val>
          <c:smooth val="0"/>
        </c:ser>
        <c:ser>
          <c:idx val="4"/>
          <c:order val="4"/>
          <c:tx>
            <c:strRef>
              <c:f>Sheet1!$A$6</c:f>
              <c:strCache>
                <c:ptCount val="1"/>
                <c:pt idx="0">
                  <c:v>新能源</c:v>
                </c:pt>
              </c:strCache>
            </c:strRef>
          </c:tx>
          <c:spPr>
            <a:ln w="22225"/>
          </c:spPr>
          <c:marker>
            <c:symbol val="circle"/>
            <c:size val="7"/>
          </c:marker>
          <c:cat>
            <c:strRef>
              <c:f>Sheet1!$B$1:$F$1</c:f>
              <c:strCache>
                <c:ptCount val="5"/>
                <c:pt idx="0">
                  <c:v>2015Q1</c:v>
                </c:pt>
                <c:pt idx="1">
                  <c:v>2015Q2</c:v>
                </c:pt>
                <c:pt idx="2">
                  <c:v>2015Q3</c:v>
                </c:pt>
                <c:pt idx="3">
                  <c:v>2015Q4</c:v>
                </c:pt>
                <c:pt idx="4">
                  <c:v>2016Q1</c:v>
                </c:pt>
              </c:strCache>
            </c:strRef>
          </c:cat>
          <c:val>
            <c:numRef>
              <c:f>Sheet1!$B$6:$F$6</c:f>
              <c:numCache>
                <c:formatCode>0.0%</c:formatCode>
                <c:ptCount val="5"/>
                <c:pt idx="0">
                  <c:v>0.21270413685040124</c:v>
                </c:pt>
                <c:pt idx="1">
                  <c:v>0.50672891601953141</c:v>
                </c:pt>
                <c:pt idx="2">
                  <c:v>0.32807256126187423</c:v>
                </c:pt>
                <c:pt idx="3">
                  <c:v>-9.0962633398765536E-2</c:v>
                </c:pt>
                <c:pt idx="4">
                  <c:v>0.26507859137090639</c:v>
                </c:pt>
              </c:numCache>
            </c:numRef>
          </c:val>
          <c:smooth val="0"/>
        </c:ser>
        <c:ser>
          <c:idx val="5"/>
          <c:order val="5"/>
          <c:tx>
            <c:strRef>
              <c:f>Sheet1!$A$7</c:f>
              <c:strCache>
                <c:ptCount val="1"/>
                <c:pt idx="0">
                  <c:v>新一代信息技术</c:v>
                </c:pt>
              </c:strCache>
            </c:strRef>
          </c:tx>
          <c:spPr>
            <a:ln w="22225"/>
          </c:spPr>
          <c:cat>
            <c:strRef>
              <c:f>Sheet1!$B$1:$F$1</c:f>
              <c:strCache>
                <c:ptCount val="5"/>
                <c:pt idx="0">
                  <c:v>2015Q1</c:v>
                </c:pt>
                <c:pt idx="1">
                  <c:v>2015Q2</c:v>
                </c:pt>
                <c:pt idx="2">
                  <c:v>2015Q3</c:v>
                </c:pt>
                <c:pt idx="3">
                  <c:v>2015Q4</c:v>
                </c:pt>
                <c:pt idx="4">
                  <c:v>2016Q1</c:v>
                </c:pt>
              </c:strCache>
            </c:strRef>
          </c:cat>
          <c:val>
            <c:numRef>
              <c:f>Sheet1!$B$7:$F$7</c:f>
              <c:numCache>
                <c:formatCode>0.0%</c:formatCode>
                <c:ptCount val="5"/>
                <c:pt idx="0">
                  <c:v>0.30146715568654026</c:v>
                </c:pt>
                <c:pt idx="1">
                  <c:v>0.26133377413316428</c:v>
                </c:pt>
                <c:pt idx="2">
                  <c:v>0.21952282861162686</c:v>
                </c:pt>
                <c:pt idx="3">
                  <c:v>0.16197835235176195</c:v>
                </c:pt>
                <c:pt idx="4">
                  <c:v>0.50112487148440987</c:v>
                </c:pt>
              </c:numCache>
            </c:numRef>
          </c:val>
          <c:smooth val="0"/>
        </c:ser>
        <c:dLbls>
          <c:showLegendKey val="0"/>
          <c:showVal val="0"/>
          <c:showCatName val="0"/>
          <c:showSerName val="0"/>
          <c:showPercent val="0"/>
          <c:showBubbleSize val="0"/>
        </c:dLbls>
        <c:marker val="1"/>
        <c:smooth val="0"/>
        <c:axId val="308898432"/>
        <c:axId val="166596992"/>
      </c:lineChart>
      <c:catAx>
        <c:axId val="308898432"/>
        <c:scaling>
          <c:orientation val="minMax"/>
        </c:scaling>
        <c:delete val="0"/>
        <c:axPos val="b"/>
        <c:numFmt formatCode="General" sourceLinked="0"/>
        <c:majorTickMark val="out"/>
        <c:minorTickMark val="none"/>
        <c:tickLblPos val="low"/>
        <c:txPr>
          <a:bodyPr/>
          <a:lstStyle/>
          <a:p>
            <a:pPr>
              <a:defRPr sz="900" b="1"/>
            </a:pPr>
            <a:endParaRPr lang="zh-CN"/>
          </a:p>
        </c:txPr>
        <c:crossAx val="166596992"/>
        <c:crosses val="autoZero"/>
        <c:auto val="1"/>
        <c:lblAlgn val="ctr"/>
        <c:lblOffset val="100"/>
        <c:noMultiLvlLbl val="0"/>
      </c:catAx>
      <c:valAx>
        <c:axId val="166596992"/>
        <c:scaling>
          <c:orientation val="minMax"/>
          <c:max val="0.70000000000000007"/>
          <c:min val="-0.60000000000000009"/>
        </c:scaling>
        <c:delete val="0"/>
        <c:axPos val="l"/>
        <c:majorGridlines>
          <c:spPr>
            <a:ln>
              <a:noFill/>
            </a:ln>
          </c:spPr>
        </c:majorGridlines>
        <c:numFmt formatCode="0.0%" sourceLinked="1"/>
        <c:majorTickMark val="out"/>
        <c:minorTickMark val="none"/>
        <c:tickLblPos val="nextTo"/>
        <c:crossAx val="308898432"/>
        <c:crosses val="autoZero"/>
        <c:crossBetween val="between"/>
        <c:majorUnit val="0.2"/>
      </c:valAx>
      <c:spPr>
        <a:noFill/>
      </c:spPr>
    </c:plotArea>
    <c:legend>
      <c:legendPos val="r"/>
      <c:layout>
        <c:manualLayout>
          <c:xMode val="edge"/>
          <c:yMode val="edge"/>
          <c:x val="0.75511537620297453"/>
          <c:y val="0.15028844192403409"/>
          <c:w val="0.2414070582825612"/>
          <c:h val="0.66973753280839898"/>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11420082269667392"/>
          <c:w val="1"/>
          <c:h val="0.80149736784124481"/>
        </c:manualLayout>
      </c:layout>
      <c:barChart>
        <c:barDir val="col"/>
        <c:grouping val="clustered"/>
        <c:varyColors val="0"/>
        <c:ser>
          <c:idx val="0"/>
          <c:order val="0"/>
          <c:tx>
            <c:strRef>
              <c:f>Sheet1!$B$1</c:f>
              <c:strCache>
                <c:ptCount val="1"/>
                <c:pt idx="0">
                  <c:v>2015Q1</c:v>
                </c:pt>
              </c:strCache>
            </c:strRef>
          </c:tx>
          <c:spPr>
            <a:solidFill>
              <a:schemeClr val="bg1">
                <a:lumMod val="85000"/>
              </a:schemeClr>
            </a:solidFill>
          </c:spPr>
          <c:invertIfNegative val="0"/>
          <c:dLbls>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新能源</c:v>
                </c:pt>
                <c:pt idx="1">
                  <c:v>新一代信息技术</c:v>
                </c:pt>
                <c:pt idx="2">
                  <c:v>节能环保</c:v>
                </c:pt>
                <c:pt idx="3">
                  <c:v>生物</c:v>
                </c:pt>
                <c:pt idx="4">
                  <c:v>新材料</c:v>
                </c:pt>
                <c:pt idx="5">
                  <c:v>高端装备</c:v>
                </c:pt>
              </c:strCache>
            </c:strRef>
          </c:cat>
          <c:val>
            <c:numRef>
              <c:f>Sheet1!$B$2:$B$7</c:f>
              <c:numCache>
                <c:formatCode>0.0%</c:formatCode>
                <c:ptCount val="6"/>
                <c:pt idx="0">
                  <c:v>0.15377816899956565</c:v>
                </c:pt>
                <c:pt idx="1">
                  <c:v>0.21360544018881922</c:v>
                </c:pt>
                <c:pt idx="2">
                  <c:v>0.27550067661093358</c:v>
                </c:pt>
                <c:pt idx="3">
                  <c:v>0.14196887559840921</c:v>
                </c:pt>
                <c:pt idx="4">
                  <c:v>7.0577042424551983E-2</c:v>
                </c:pt>
                <c:pt idx="5">
                  <c:v>0.16192406388927649</c:v>
                </c:pt>
              </c:numCache>
            </c:numRef>
          </c:val>
        </c:ser>
        <c:ser>
          <c:idx val="1"/>
          <c:order val="1"/>
          <c:tx>
            <c:strRef>
              <c:f>Sheet1!$C$1</c:f>
              <c:strCache>
                <c:ptCount val="1"/>
                <c:pt idx="0">
                  <c:v>2015Q2</c:v>
                </c:pt>
              </c:strCache>
            </c:strRef>
          </c:tx>
          <c:spPr>
            <a:solidFill>
              <a:schemeClr val="accent1"/>
            </a:solidFill>
          </c:spPr>
          <c:invertIfNegative val="0"/>
          <c:cat>
            <c:strRef>
              <c:f>Sheet1!$A$2:$A$7</c:f>
              <c:strCache>
                <c:ptCount val="6"/>
                <c:pt idx="0">
                  <c:v>新能源</c:v>
                </c:pt>
                <c:pt idx="1">
                  <c:v>新一代信息技术</c:v>
                </c:pt>
                <c:pt idx="2">
                  <c:v>节能环保</c:v>
                </c:pt>
                <c:pt idx="3">
                  <c:v>生物</c:v>
                </c:pt>
                <c:pt idx="4">
                  <c:v>新材料</c:v>
                </c:pt>
                <c:pt idx="5">
                  <c:v>高端装备</c:v>
                </c:pt>
              </c:strCache>
            </c:strRef>
          </c:cat>
          <c:val>
            <c:numRef>
              <c:f>Sheet1!$C$2:$C$7</c:f>
              <c:numCache>
                <c:formatCode>0.0%</c:formatCode>
                <c:ptCount val="6"/>
                <c:pt idx="0">
                  <c:v>0.2175502721917939</c:v>
                </c:pt>
                <c:pt idx="1">
                  <c:v>0.22728546463392707</c:v>
                </c:pt>
                <c:pt idx="2">
                  <c:v>0.222369063910973</c:v>
                </c:pt>
                <c:pt idx="3">
                  <c:v>0.12791169335116925</c:v>
                </c:pt>
                <c:pt idx="4">
                  <c:v>4.8500225176041578E-2</c:v>
                </c:pt>
                <c:pt idx="5">
                  <c:v>1.5937467940394745E-2</c:v>
                </c:pt>
              </c:numCache>
            </c:numRef>
          </c:val>
        </c:ser>
        <c:ser>
          <c:idx val="2"/>
          <c:order val="2"/>
          <c:tx>
            <c:strRef>
              <c:f>Sheet1!$D$1</c:f>
              <c:strCache>
                <c:ptCount val="1"/>
                <c:pt idx="0">
                  <c:v>2015Q3</c:v>
                </c:pt>
              </c:strCache>
            </c:strRef>
          </c:tx>
          <c:invertIfNegative val="0"/>
          <c:cat>
            <c:strRef>
              <c:f>Sheet1!$A$2:$A$7</c:f>
              <c:strCache>
                <c:ptCount val="6"/>
                <c:pt idx="0">
                  <c:v>新能源</c:v>
                </c:pt>
                <c:pt idx="1">
                  <c:v>新一代信息技术</c:v>
                </c:pt>
                <c:pt idx="2">
                  <c:v>节能环保</c:v>
                </c:pt>
                <c:pt idx="3">
                  <c:v>生物</c:v>
                </c:pt>
                <c:pt idx="4">
                  <c:v>新材料</c:v>
                </c:pt>
                <c:pt idx="5">
                  <c:v>高端装备</c:v>
                </c:pt>
              </c:strCache>
            </c:strRef>
          </c:cat>
          <c:val>
            <c:numRef>
              <c:f>Sheet1!$D$2:$D$7</c:f>
              <c:numCache>
                <c:formatCode>0.0%</c:formatCode>
                <c:ptCount val="6"/>
                <c:pt idx="0">
                  <c:v>0.23780097458548299</c:v>
                </c:pt>
                <c:pt idx="1">
                  <c:v>0.24859255493956267</c:v>
                </c:pt>
                <c:pt idx="2">
                  <c:v>0.23196901216777333</c:v>
                </c:pt>
                <c:pt idx="3">
                  <c:v>0.14792753425037652</c:v>
                </c:pt>
                <c:pt idx="4">
                  <c:v>3.7099994054515806E-2</c:v>
                </c:pt>
                <c:pt idx="5">
                  <c:v>-5.6380703396717857E-3</c:v>
                </c:pt>
              </c:numCache>
            </c:numRef>
          </c:val>
        </c:ser>
        <c:ser>
          <c:idx val="3"/>
          <c:order val="3"/>
          <c:tx>
            <c:strRef>
              <c:f>Sheet1!$E$1</c:f>
              <c:strCache>
                <c:ptCount val="1"/>
                <c:pt idx="0">
                  <c:v>2015Q4</c:v>
                </c:pt>
              </c:strCache>
            </c:strRef>
          </c:tx>
          <c:invertIfNegative val="0"/>
          <c:cat>
            <c:strRef>
              <c:f>Sheet1!$A$2:$A$7</c:f>
              <c:strCache>
                <c:ptCount val="6"/>
                <c:pt idx="0">
                  <c:v>新能源</c:v>
                </c:pt>
                <c:pt idx="1">
                  <c:v>新一代信息技术</c:v>
                </c:pt>
                <c:pt idx="2">
                  <c:v>节能环保</c:v>
                </c:pt>
                <c:pt idx="3">
                  <c:v>生物</c:v>
                </c:pt>
                <c:pt idx="4">
                  <c:v>新材料</c:v>
                </c:pt>
                <c:pt idx="5">
                  <c:v>高端装备</c:v>
                </c:pt>
              </c:strCache>
            </c:strRef>
          </c:cat>
          <c:val>
            <c:numRef>
              <c:f>Sheet1!$E$2:$E$7</c:f>
              <c:numCache>
                <c:formatCode>0.0%</c:formatCode>
                <c:ptCount val="6"/>
                <c:pt idx="0">
                  <c:v>0.25246604629801239</c:v>
                </c:pt>
                <c:pt idx="1">
                  <c:v>0.22543848048394199</c:v>
                </c:pt>
                <c:pt idx="2">
                  <c:v>0.23683379789415993</c:v>
                </c:pt>
                <c:pt idx="3">
                  <c:v>0.13982730305175162</c:v>
                </c:pt>
                <c:pt idx="4">
                  <c:v>3.7001762290456153E-3</c:v>
                </c:pt>
                <c:pt idx="5">
                  <c:v>4.3629854585395256E-2</c:v>
                </c:pt>
              </c:numCache>
            </c:numRef>
          </c:val>
        </c:ser>
        <c:ser>
          <c:idx val="4"/>
          <c:order val="4"/>
          <c:tx>
            <c:strRef>
              <c:f>Sheet1!$F$1</c:f>
              <c:strCache>
                <c:ptCount val="1"/>
                <c:pt idx="0">
                  <c:v>2016Q1</c:v>
                </c:pt>
              </c:strCache>
            </c:strRef>
          </c:tx>
          <c:invertIfNegative val="0"/>
          <c:dLbls>
            <c:dLbl>
              <c:idx val="4"/>
              <c:layout>
                <c:manualLayout>
                  <c:x val="6.4907873410225596E-3"/>
                  <c:y val="1.76944082590856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16356818478374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新能源</c:v>
                </c:pt>
                <c:pt idx="1">
                  <c:v>新一代信息技术</c:v>
                </c:pt>
                <c:pt idx="2">
                  <c:v>节能环保</c:v>
                </c:pt>
                <c:pt idx="3">
                  <c:v>生物</c:v>
                </c:pt>
                <c:pt idx="4">
                  <c:v>新材料</c:v>
                </c:pt>
                <c:pt idx="5">
                  <c:v>高端装备</c:v>
                </c:pt>
              </c:strCache>
            </c:strRef>
          </c:cat>
          <c:val>
            <c:numRef>
              <c:f>Sheet1!$F$2:$F$7</c:f>
              <c:numCache>
                <c:formatCode>0.0%</c:formatCode>
                <c:ptCount val="6"/>
                <c:pt idx="0">
                  <c:v>0.32919076555274684</c:v>
                </c:pt>
                <c:pt idx="1">
                  <c:v>0.22944224062104079</c:v>
                </c:pt>
                <c:pt idx="2">
                  <c:v>0.20863941024882293</c:v>
                </c:pt>
                <c:pt idx="3">
                  <c:v>0.1207749314042541</c:v>
                </c:pt>
                <c:pt idx="4">
                  <c:v>3.0628094232148628E-2</c:v>
                </c:pt>
                <c:pt idx="5">
                  <c:v>9.9608801856274631E-3</c:v>
                </c:pt>
              </c:numCache>
            </c:numRef>
          </c:val>
        </c:ser>
        <c:dLbls>
          <c:showLegendKey val="0"/>
          <c:showVal val="0"/>
          <c:showCatName val="0"/>
          <c:showSerName val="0"/>
          <c:showPercent val="0"/>
          <c:showBubbleSize val="0"/>
        </c:dLbls>
        <c:gapWidth val="150"/>
        <c:axId val="166634624"/>
        <c:axId val="166636160"/>
      </c:barChart>
      <c:catAx>
        <c:axId val="166634624"/>
        <c:scaling>
          <c:orientation val="minMax"/>
        </c:scaling>
        <c:delete val="0"/>
        <c:axPos val="b"/>
        <c:numFmt formatCode="General" sourceLinked="0"/>
        <c:majorTickMark val="out"/>
        <c:minorTickMark val="none"/>
        <c:tickLblPos val="nextTo"/>
        <c:txPr>
          <a:bodyPr/>
          <a:lstStyle/>
          <a:p>
            <a:pPr>
              <a:defRPr sz="900" b="1"/>
            </a:pPr>
            <a:endParaRPr lang="zh-CN"/>
          </a:p>
        </c:txPr>
        <c:crossAx val="166636160"/>
        <c:crosses val="autoZero"/>
        <c:auto val="1"/>
        <c:lblAlgn val="ctr"/>
        <c:lblOffset val="100"/>
        <c:noMultiLvlLbl val="0"/>
      </c:catAx>
      <c:valAx>
        <c:axId val="166636160"/>
        <c:scaling>
          <c:orientation val="minMax"/>
          <c:max val="0.4"/>
          <c:min val="-0.1"/>
        </c:scaling>
        <c:delete val="1"/>
        <c:axPos val="l"/>
        <c:majorGridlines>
          <c:spPr>
            <a:ln>
              <a:noFill/>
            </a:ln>
          </c:spPr>
        </c:majorGridlines>
        <c:numFmt formatCode="0.0%" sourceLinked="1"/>
        <c:majorTickMark val="out"/>
        <c:minorTickMark val="none"/>
        <c:tickLblPos val="nextTo"/>
        <c:crossAx val="166634624"/>
        <c:crosses val="autoZero"/>
        <c:crossBetween val="between"/>
        <c:majorUnit val="0.1"/>
      </c:valAx>
      <c:spPr>
        <a:noFill/>
      </c:spPr>
    </c:plotArea>
    <c:legend>
      <c:legendPos val="r"/>
      <c:layout>
        <c:manualLayout>
          <c:xMode val="edge"/>
          <c:yMode val="edge"/>
          <c:x val="0.14174165425037547"/>
          <c:y val="5.7111420523654054E-2"/>
          <c:w val="0.67097416133596743"/>
          <c:h val="0.10799820272934356"/>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028351540406089"/>
          <c:y val="0"/>
          <c:w val="0.70098796225916937"/>
          <c:h val="0.8300255953492186"/>
        </c:manualLayout>
      </c:layout>
      <c:lineChart>
        <c:grouping val="standard"/>
        <c:varyColors val="0"/>
        <c:ser>
          <c:idx val="0"/>
          <c:order val="0"/>
          <c:tx>
            <c:strRef>
              <c:f>Sheet1!$A$2</c:f>
              <c:strCache>
                <c:ptCount val="1"/>
                <c:pt idx="0">
                  <c:v>轨道交通装备</c:v>
                </c:pt>
              </c:strCache>
            </c:strRef>
          </c:tx>
          <c:dLbls>
            <c:dLbl>
              <c:idx val="3"/>
              <c:layout>
                <c:manualLayout>
                  <c:x val="-2.0826824950536289E-3"/>
                  <c:y val="2.21582096166629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271915606817061E-3"/>
                  <c:y val="4.67995208023869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Sheet1!$B$1:$F$1</c:f>
              <c:strCache>
                <c:ptCount val="5"/>
                <c:pt idx="0">
                  <c:v>2015Q1</c:v>
                </c:pt>
                <c:pt idx="1">
                  <c:v>2015Q2</c:v>
                </c:pt>
                <c:pt idx="2">
                  <c:v>2015Q3</c:v>
                </c:pt>
                <c:pt idx="3">
                  <c:v>2015Q4</c:v>
                </c:pt>
                <c:pt idx="4">
                  <c:v>2016Q1</c:v>
                </c:pt>
              </c:strCache>
            </c:strRef>
          </c:cat>
          <c:val>
            <c:numRef>
              <c:f>Sheet1!$B$2:$F$2</c:f>
              <c:numCache>
                <c:formatCode>0.0%</c:formatCode>
                <c:ptCount val="5"/>
                <c:pt idx="0">
                  <c:v>0.23192957198102238</c:v>
                </c:pt>
                <c:pt idx="1">
                  <c:v>4.480947286434267E-2</c:v>
                </c:pt>
                <c:pt idx="2">
                  <c:v>-2.7531705975608611E-3</c:v>
                </c:pt>
                <c:pt idx="3">
                  <c:v>7.7600999158127903E-2</c:v>
                </c:pt>
                <c:pt idx="4">
                  <c:v>-1.0480036522567904E-2</c:v>
                </c:pt>
              </c:numCache>
            </c:numRef>
          </c:val>
          <c:smooth val="0"/>
        </c:ser>
        <c:ser>
          <c:idx val="1"/>
          <c:order val="1"/>
          <c:tx>
            <c:strRef>
              <c:f>Sheet1!$A$3</c:f>
              <c:strCache>
                <c:ptCount val="1"/>
                <c:pt idx="0">
                  <c:v>海洋工程装备</c:v>
                </c:pt>
              </c:strCache>
            </c:strRef>
          </c:tx>
          <c:marker>
            <c:symbol val="square"/>
            <c:size val="6"/>
          </c:marker>
          <c:dLbls>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Sheet1!$B$1:$F$1</c:f>
              <c:strCache>
                <c:ptCount val="5"/>
                <c:pt idx="0">
                  <c:v>2015Q1</c:v>
                </c:pt>
                <c:pt idx="1">
                  <c:v>2015Q2</c:v>
                </c:pt>
                <c:pt idx="2">
                  <c:v>2015Q3</c:v>
                </c:pt>
                <c:pt idx="3">
                  <c:v>2015Q4</c:v>
                </c:pt>
                <c:pt idx="4">
                  <c:v>2016Q1</c:v>
                </c:pt>
              </c:strCache>
            </c:strRef>
          </c:cat>
          <c:val>
            <c:numRef>
              <c:f>Sheet1!$B$3:$F$3</c:f>
              <c:numCache>
                <c:formatCode>0.0%</c:formatCode>
                <c:ptCount val="5"/>
                <c:pt idx="0">
                  <c:v>-9.2145422557485479E-2</c:v>
                </c:pt>
                <c:pt idx="1">
                  <c:v>-0.12989143598389707</c:v>
                </c:pt>
                <c:pt idx="2">
                  <c:v>-0.19000831944404317</c:v>
                </c:pt>
                <c:pt idx="3">
                  <c:v>-0.1645123197396251</c:v>
                </c:pt>
                <c:pt idx="4">
                  <c:v>-0.12104415073930908</c:v>
                </c:pt>
              </c:numCache>
            </c:numRef>
          </c:val>
          <c:smooth val="0"/>
        </c:ser>
        <c:ser>
          <c:idx val="2"/>
          <c:order val="2"/>
          <c:tx>
            <c:strRef>
              <c:f>Sheet1!$A$4</c:f>
              <c:strCache>
                <c:ptCount val="1"/>
                <c:pt idx="0">
                  <c:v>航空装备</c:v>
                </c:pt>
              </c:strCache>
            </c:strRef>
          </c:tx>
          <c:marker>
            <c:symbol val="star"/>
            <c:size val="7"/>
          </c:marker>
          <c:dLbls>
            <c:dLbl>
              <c:idx val="3"/>
              <c:layout>
                <c:manualLayout>
                  <c:x val="-3.1240237425804437E-2"/>
                  <c:y val="4.87480611566585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07299802145157E-3"/>
                  <c:y val="-1.4039930140573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Sheet1!$B$1:$F$1</c:f>
              <c:strCache>
                <c:ptCount val="5"/>
                <c:pt idx="0">
                  <c:v>2015Q1</c:v>
                </c:pt>
                <c:pt idx="1">
                  <c:v>2015Q2</c:v>
                </c:pt>
                <c:pt idx="2">
                  <c:v>2015Q3</c:v>
                </c:pt>
                <c:pt idx="3">
                  <c:v>2015Q4</c:v>
                </c:pt>
                <c:pt idx="4">
                  <c:v>2016Q1</c:v>
                </c:pt>
              </c:strCache>
            </c:strRef>
          </c:cat>
          <c:val>
            <c:numRef>
              <c:f>Sheet1!$B$4:$F$4</c:f>
              <c:numCache>
                <c:formatCode>0.0%</c:formatCode>
                <c:ptCount val="5"/>
                <c:pt idx="0">
                  <c:v>0.13316519730214282</c:v>
                </c:pt>
                <c:pt idx="1">
                  <c:v>-1.2902938343920978E-2</c:v>
                </c:pt>
                <c:pt idx="2">
                  <c:v>1.6899305088221128E-2</c:v>
                </c:pt>
                <c:pt idx="3">
                  <c:v>1.0396525684307711E-2</c:v>
                </c:pt>
                <c:pt idx="4">
                  <c:v>3.7479872315520302E-2</c:v>
                </c:pt>
              </c:numCache>
            </c:numRef>
          </c:val>
          <c:smooth val="0"/>
        </c:ser>
        <c:ser>
          <c:idx val="3"/>
          <c:order val="3"/>
          <c:tx>
            <c:strRef>
              <c:f>Sheet1!$A$5</c:f>
              <c:strCache>
                <c:ptCount val="1"/>
                <c:pt idx="0">
                  <c:v>卫星及其应用</c:v>
                </c:pt>
              </c:strCache>
            </c:strRef>
          </c:tx>
          <c:marker>
            <c:symbol val="triangle"/>
            <c:size val="7"/>
          </c:marker>
          <c:dLbls>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Sheet1!$B$1:$F$1</c:f>
              <c:strCache>
                <c:ptCount val="5"/>
                <c:pt idx="0">
                  <c:v>2015Q1</c:v>
                </c:pt>
                <c:pt idx="1">
                  <c:v>2015Q2</c:v>
                </c:pt>
                <c:pt idx="2">
                  <c:v>2015Q3</c:v>
                </c:pt>
                <c:pt idx="3">
                  <c:v>2015Q4</c:v>
                </c:pt>
                <c:pt idx="4">
                  <c:v>2016Q1</c:v>
                </c:pt>
              </c:strCache>
            </c:strRef>
          </c:cat>
          <c:val>
            <c:numRef>
              <c:f>Sheet1!$B$5:$F$5</c:f>
              <c:numCache>
                <c:formatCode>0.0%</c:formatCode>
                <c:ptCount val="5"/>
                <c:pt idx="0">
                  <c:v>8.1966974075486476E-2</c:v>
                </c:pt>
                <c:pt idx="1">
                  <c:v>1.1574533322607827E-2</c:v>
                </c:pt>
                <c:pt idx="2">
                  <c:v>9.6505126610953118E-2</c:v>
                </c:pt>
                <c:pt idx="3">
                  <c:v>0.1688130706014459</c:v>
                </c:pt>
                <c:pt idx="4">
                  <c:v>0.25817389601474794</c:v>
                </c:pt>
              </c:numCache>
            </c:numRef>
          </c:val>
          <c:smooth val="0"/>
        </c:ser>
        <c:ser>
          <c:idx val="4"/>
          <c:order val="4"/>
          <c:tx>
            <c:strRef>
              <c:f>Sheet1!$A$6</c:f>
              <c:strCache>
                <c:ptCount val="1"/>
                <c:pt idx="0">
                  <c:v>智能制造</c:v>
                </c:pt>
              </c:strCache>
            </c:strRef>
          </c:tx>
          <c:marker>
            <c:symbol val="circle"/>
            <c:size val="7"/>
          </c:marker>
          <c:dLbls>
            <c:dLbl>
              <c:idx val="3"/>
              <c:layout>
                <c:manualLayout>
                  <c:x val="0"/>
                  <c:y val="-2.658985153999556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4907873410225596E-3"/>
                  <c:y val="-2.80797124814321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Sheet1!$B$1:$F$1</c:f>
              <c:strCache>
                <c:ptCount val="5"/>
                <c:pt idx="0">
                  <c:v>2015Q1</c:v>
                </c:pt>
                <c:pt idx="1">
                  <c:v>2015Q2</c:v>
                </c:pt>
                <c:pt idx="2">
                  <c:v>2015Q3</c:v>
                </c:pt>
                <c:pt idx="3">
                  <c:v>2015Q4</c:v>
                </c:pt>
                <c:pt idx="4">
                  <c:v>2016Q1</c:v>
                </c:pt>
              </c:strCache>
            </c:strRef>
          </c:cat>
          <c:val>
            <c:numRef>
              <c:f>Sheet1!$B$6:$F$6</c:f>
              <c:numCache>
                <c:formatCode>0.0%</c:formatCode>
                <c:ptCount val="5"/>
                <c:pt idx="0">
                  <c:v>6.7757009688498959E-2</c:v>
                </c:pt>
                <c:pt idx="1">
                  <c:v>6.2158840020405837E-2</c:v>
                </c:pt>
                <c:pt idx="2">
                  <c:v>0.12592218336795535</c:v>
                </c:pt>
                <c:pt idx="3">
                  <c:v>8.6537881594173305E-2</c:v>
                </c:pt>
                <c:pt idx="4">
                  <c:v>0.14011527092082909</c:v>
                </c:pt>
              </c:numCache>
            </c:numRef>
          </c:val>
          <c:smooth val="0"/>
        </c:ser>
        <c:dLbls>
          <c:showLegendKey val="0"/>
          <c:showVal val="0"/>
          <c:showCatName val="0"/>
          <c:showSerName val="0"/>
          <c:showPercent val="0"/>
          <c:showBubbleSize val="0"/>
        </c:dLbls>
        <c:marker val="1"/>
        <c:smooth val="0"/>
        <c:axId val="309247360"/>
        <c:axId val="309253248"/>
      </c:lineChart>
      <c:catAx>
        <c:axId val="309247360"/>
        <c:scaling>
          <c:orientation val="minMax"/>
        </c:scaling>
        <c:delete val="0"/>
        <c:axPos val="b"/>
        <c:numFmt formatCode="General" sourceLinked="0"/>
        <c:majorTickMark val="out"/>
        <c:minorTickMark val="none"/>
        <c:tickLblPos val="low"/>
        <c:txPr>
          <a:bodyPr/>
          <a:lstStyle/>
          <a:p>
            <a:pPr>
              <a:defRPr sz="900" b="1"/>
            </a:pPr>
            <a:endParaRPr lang="zh-CN"/>
          </a:p>
        </c:txPr>
        <c:crossAx val="309253248"/>
        <c:crosses val="autoZero"/>
        <c:auto val="1"/>
        <c:lblAlgn val="ctr"/>
        <c:lblOffset val="100"/>
        <c:noMultiLvlLbl val="0"/>
      </c:catAx>
      <c:valAx>
        <c:axId val="309253248"/>
        <c:scaling>
          <c:orientation val="minMax"/>
          <c:max val="0.4"/>
          <c:min val="-0.2"/>
        </c:scaling>
        <c:delete val="1"/>
        <c:axPos val="l"/>
        <c:majorGridlines>
          <c:spPr>
            <a:ln>
              <a:noFill/>
            </a:ln>
          </c:spPr>
        </c:majorGridlines>
        <c:numFmt formatCode="0.0%" sourceLinked="1"/>
        <c:majorTickMark val="out"/>
        <c:minorTickMark val="none"/>
        <c:tickLblPos val="nextTo"/>
        <c:crossAx val="309247360"/>
        <c:crosses val="autoZero"/>
        <c:crossBetween val="between"/>
        <c:majorUnit val="0.2"/>
      </c:valAx>
      <c:spPr>
        <a:noFill/>
      </c:spPr>
    </c:plotArea>
    <c:legend>
      <c:legendPos val="r"/>
      <c:layout>
        <c:manualLayout>
          <c:xMode val="edge"/>
          <c:yMode val="edge"/>
          <c:x val="0"/>
          <c:y val="0.19343137923345821"/>
          <c:w val="0.21073877011858994"/>
          <c:h val="0.48853762224257424"/>
        </c:manualLayout>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0.98773047351889032"/>
        </c:manualLayout>
      </c:layout>
      <c:barChart>
        <c:barDir val="col"/>
        <c:grouping val="clustered"/>
        <c:varyColors val="0"/>
        <c:ser>
          <c:idx val="0"/>
          <c:order val="0"/>
          <c:tx>
            <c:strRef>
              <c:f>Sheet1!$B$1</c:f>
              <c:strCache>
                <c:ptCount val="1"/>
                <c:pt idx="0">
                  <c:v>2015Q1</c:v>
                </c:pt>
              </c:strCache>
            </c:strRef>
          </c:tx>
          <c:spPr>
            <a:solidFill>
              <a:schemeClr val="bg1">
                <a:lumMod val="85000"/>
              </a:schemeClr>
            </a:solidFill>
          </c:spPr>
          <c:invertIfNegative val="0"/>
          <c:dLbls>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中部</c:v>
                </c:pt>
                <c:pt idx="1">
                  <c:v>东部</c:v>
                </c:pt>
                <c:pt idx="2">
                  <c:v>西部</c:v>
                </c:pt>
                <c:pt idx="3">
                  <c:v>东北</c:v>
                </c:pt>
                <c:pt idx="4">
                  <c:v>全国</c:v>
                </c:pt>
              </c:strCache>
            </c:strRef>
          </c:cat>
          <c:val>
            <c:numRef>
              <c:f>Sheet1!$B$2:$B$6</c:f>
              <c:numCache>
                <c:formatCode>0.0%</c:formatCode>
                <c:ptCount val="5"/>
                <c:pt idx="0">
                  <c:v>0.22571209518346036</c:v>
                </c:pt>
                <c:pt idx="1">
                  <c:v>0.17577380929841935</c:v>
                </c:pt>
                <c:pt idx="2">
                  <c:v>0.2212227108446263</c:v>
                </c:pt>
                <c:pt idx="3">
                  <c:v>4.1943143168792218E-2</c:v>
                </c:pt>
                <c:pt idx="4">
                  <c:v>0.1780695630224205</c:v>
                </c:pt>
              </c:numCache>
            </c:numRef>
          </c:val>
        </c:ser>
        <c:ser>
          <c:idx val="1"/>
          <c:order val="1"/>
          <c:tx>
            <c:strRef>
              <c:f>Sheet1!$C$1</c:f>
              <c:strCache>
                <c:ptCount val="1"/>
                <c:pt idx="0">
                  <c:v>2015Q2</c:v>
                </c:pt>
              </c:strCache>
            </c:strRef>
          </c:tx>
          <c:spPr>
            <a:solidFill>
              <a:schemeClr val="accent1"/>
            </a:solidFill>
          </c:spPr>
          <c:invertIfNegative val="0"/>
          <c:cat>
            <c:strRef>
              <c:f>Sheet1!$A$2:$A$6</c:f>
              <c:strCache>
                <c:ptCount val="5"/>
                <c:pt idx="0">
                  <c:v>中部</c:v>
                </c:pt>
                <c:pt idx="1">
                  <c:v>东部</c:v>
                </c:pt>
                <c:pt idx="2">
                  <c:v>西部</c:v>
                </c:pt>
                <c:pt idx="3">
                  <c:v>东北</c:v>
                </c:pt>
                <c:pt idx="4">
                  <c:v>全国</c:v>
                </c:pt>
              </c:strCache>
            </c:strRef>
          </c:cat>
          <c:val>
            <c:numRef>
              <c:f>Sheet1!$C$2:$C$6</c:f>
              <c:numCache>
                <c:formatCode>0.0%</c:formatCode>
                <c:ptCount val="5"/>
                <c:pt idx="0">
                  <c:v>0.21167550232295329</c:v>
                </c:pt>
                <c:pt idx="1">
                  <c:v>0.15707268650262218</c:v>
                </c:pt>
                <c:pt idx="2">
                  <c:v>0.15774572118141084</c:v>
                </c:pt>
                <c:pt idx="3">
                  <c:v>4.3429082100806982E-2</c:v>
                </c:pt>
                <c:pt idx="4">
                  <c:v>0.15696926515237797</c:v>
                </c:pt>
              </c:numCache>
            </c:numRef>
          </c:val>
        </c:ser>
        <c:ser>
          <c:idx val="2"/>
          <c:order val="2"/>
          <c:tx>
            <c:strRef>
              <c:f>Sheet1!$D$1</c:f>
              <c:strCache>
                <c:ptCount val="1"/>
                <c:pt idx="0">
                  <c:v>2015Q3</c:v>
                </c:pt>
              </c:strCache>
            </c:strRef>
          </c:tx>
          <c:invertIfNegative val="0"/>
          <c:cat>
            <c:strRef>
              <c:f>Sheet1!$A$2:$A$6</c:f>
              <c:strCache>
                <c:ptCount val="5"/>
                <c:pt idx="0">
                  <c:v>中部</c:v>
                </c:pt>
                <c:pt idx="1">
                  <c:v>东部</c:v>
                </c:pt>
                <c:pt idx="2">
                  <c:v>西部</c:v>
                </c:pt>
                <c:pt idx="3">
                  <c:v>东北</c:v>
                </c:pt>
                <c:pt idx="4">
                  <c:v>全国</c:v>
                </c:pt>
              </c:strCache>
            </c:strRef>
          </c:cat>
          <c:val>
            <c:numRef>
              <c:f>Sheet1!$D$2:$D$6</c:f>
              <c:numCache>
                <c:formatCode>0.0%</c:formatCode>
                <c:ptCount val="5"/>
                <c:pt idx="0">
                  <c:v>0.30860437170685873</c:v>
                </c:pt>
                <c:pt idx="1">
                  <c:v>0.1594241327832826</c:v>
                </c:pt>
                <c:pt idx="2">
                  <c:v>0.17691015234972896</c:v>
                </c:pt>
                <c:pt idx="3">
                  <c:v>3.9998208769930432E-2</c:v>
                </c:pt>
                <c:pt idx="4">
                  <c:v>0.16774663227452957</c:v>
                </c:pt>
              </c:numCache>
            </c:numRef>
          </c:val>
        </c:ser>
        <c:ser>
          <c:idx val="3"/>
          <c:order val="3"/>
          <c:tx>
            <c:strRef>
              <c:f>Sheet1!$E$1</c:f>
              <c:strCache>
                <c:ptCount val="1"/>
                <c:pt idx="0">
                  <c:v>2015Q4</c:v>
                </c:pt>
              </c:strCache>
            </c:strRef>
          </c:tx>
          <c:invertIfNegative val="0"/>
          <c:cat>
            <c:strRef>
              <c:f>Sheet1!$A$2:$A$6</c:f>
              <c:strCache>
                <c:ptCount val="5"/>
                <c:pt idx="0">
                  <c:v>中部</c:v>
                </c:pt>
                <c:pt idx="1">
                  <c:v>东部</c:v>
                </c:pt>
                <c:pt idx="2">
                  <c:v>西部</c:v>
                </c:pt>
                <c:pt idx="3">
                  <c:v>东北</c:v>
                </c:pt>
                <c:pt idx="4">
                  <c:v>全国</c:v>
                </c:pt>
              </c:strCache>
            </c:strRef>
          </c:cat>
          <c:val>
            <c:numRef>
              <c:f>Sheet1!$E$2:$E$6</c:f>
              <c:numCache>
                <c:formatCode>0.0%</c:formatCode>
                <c:ptCount val="5"/>
                <c:pt idx="0">
                  <c:v>0.15474822700276025</c:v>
                </c:pt>
                <c:pt idx="1">
                  <c:v>0.1692008128010789</c:v>
                </c:pt>
                <c:pt idx="2">
                  <c:v>0.18655964894196564</c:v>
                </c:pt>
                <c:pt idx="3">
                  <c:v>1.0349407565552138E-2</c:v>
                </c:pt>
                <c:pt idx="4">
                  <c:v>0.16376603386674082</c:v>
                </c:pt>
              </c:numCache>
            </c:numRef>
          </c:val>
        </c:ser>
        <c:ser>
          <c:idx val="4"/>
          <c:order val="4"/>
          <c:tx>
            <c:strRef>
              <c:f>Sheet1!$F$1</c:f>
              <c:strCache>
                <c:ptCount val="1"/>
                <c:pt idx="0">
                  <c:v>2016Q1</c:v>
                </c:pt>
              </c:strCache>
            </c:strRef>
          </c:tx>
          <c:invertIfNegative val="0"/>
          <c:dLbls>
            <c:dLbl>
              <c:idx val="1"/>
              <c:layout>
                <c:manualLayout>
                  <c:x val="1.4897579143389154E-2"/>
                  <c:y val="-5.8367149148515725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4487895716945085E-3"/>
                  <c:y val="5.15902423961710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4907873410225596E-3"/>
                  <c:y val="1.76944082590856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中部</c:v>
                </c:pt>
                <c:pt idx="1">
                  <c:v>东部</c:v>
                </c:pt>
                <c:pt idx="2">
                  <c:v>西部</c:v>
                </c:pt>
                <c:pt idx="3">
                  <c:v>东北</c:v>
                </c:pt>
                <c:pt idx="4">
                  <c:v>全国</c:v>
                </c:pt>
              </c:strCache>
            </c:strRef>
          </c:cat>
          <c:val>
            <c:numRef>
              <c:f>Sheet1!$F$2:$F$6</c:f>
              <c:numCache>
                <c:formatCode>0.0%</c:formatCode>
                <c:ptCount val="5"/>
                <c:pt idx="0">
                  <c:v>0.1854051624046793</c:v>
                </c:pt>
                <c:pt idx="1">
                  <c:v>0.1764647369160679</c:v>
                </c:pt>
                <c:pt idx="2">
                  <c:v>0.14682221378688154</c:v>
                </c:pt>
                <c:pt idx="3">
                  <c:v>-2.8121268079057016E-2</c:v>
                </c:pt>
                <c:pt idx="4">
                  <c:v>0.16637298655233157</c:v>
                </c:pt>
              </c:numCache>
            </c:numRef>
          </c:val>
        </c:ser>
        <c:dLbls>
          <c:showLegendKey val="0"/>
          <c:showVal val="0"/>
          <c:showCatName val="0"/>
          <c:showSerName val="0"/>
          <c:showPercent val="0"/>
          <c:showBubbleSize val="0"/>
        </c:dLbls>
        <c:gapWidth val="150"/>
        <c:axId val="308905088"/>
        <c:axId val="308906624"/>
      </c:barChart>
      <c:catAx>
        <c:axId val="308905088"/>
        <c:scaling>
          <c:orientation val="minMax"/>
        </c:scaling>
        <c:delete val="0"/>
        <c:axPos val="b"/>
        <c:numFmt formatCode="General" sourceLinked="0"/>
        <c:majorTickMark val="out"/>
        <c:minorTickMark val="none"/>
        <c:tickLblPos val="nextTo"/>
        <c:txPr>
          <a:bodyPr/>
          <a:lstStyle/>
          <a:p>
            <a:pPr>
              <a:defRPr sz="900" b="1"/>
            </a:pPr>
            <a:endParaRPr lang="zh-CN"/>
          </a:p>
        </c:txPr>
        <c:crossAx val="308906624"/>
        <c:crosses val="autoZero"/>
        <c:auto val="1"/>
        <c:lblAlgn val="ctr"/>
        <c:lblOffset val="100"/>
        <c:noMultiLvlLbl val="0"/>
      </c:catAx>
      <c:valAx>
        <c:axId val="308906624"/>
        <c:scaling>
          <c:orientation val="minMax"/>
          <c:max val="0.4"/>
        </c:scaling>
        <c:delete val="0"/>
        <c:axPos val="l"/>
        <c:majorGridlines>
          <c:spPr>
            <a:ln>
              <a:noFill/>
            </a:ln>
          </c:spPr>
        </c:majorGridlines>
        <c:numFmt formatCode="0.0%" sourceLinked="1"/>
        <c:majorTickMark val="none"/>
        <c:minorTickMark val="none"/>
        <c:tickLblPos val="none"/>
        <c:spPr>
          <a:ln>
            <a:noFill/>
          </a:ln>
        </c:spPr>
        <c:crossAx val="308905088"/>
        <c:crosses val="autoZero"/>
        <c:crossBetween val="between"/>
      </c:valAx>
      <c:spPr>
        <a:noFill/>
      </c:spPr>
    </c:plotArea>
    <c:legend>
      <c:legendPos val="r"/>
      <c:layout>
        <c:manualLayout>
          <c:xMode val="edge"/>
          <c:yMode val="edge"/>
          <c:x val="0.19053202148614101"/>
          <c:y val="6.828208078574706E-2"/>
          <c:w val="0.67097416133596743"/>
          <c:h val="0.10799820272934356"/>
        </c:manualLayout>
      </c:layout>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637221128608935E-2"/>
          <c:y val="0.11434094958435438"/>
          <c:w val="0.94270833333333381"/>
          <c:h val="0.66261349050015084"/>
        </c:manualLayout>
      </c:layout>
      <c:lineChart>
        <c:grouping val="standard"/>
        <c:varyColors val="0"/>
        <c:ser>
          <c:idx val="0"/>
          <c:order val="0"/>
          <c:tx>
            <c:strRef>
              <c:f>Sheet1!$B$1</c:f>
              <c:strCache>
                <c:ptCount val="1"/>
                <c:pt idx="0">
                  <c:v>战略性新兴产业上市公司股价涨幅</c:v>
                </c:pt>
              </c:strCache>
            </c:strRef>
          </c:tx>
          <c:dLbls>
            <c:dLbl>
              <c:idx val="7"/>
              <c:layout>
                <c:manualLayout>
                  <c:x val="-4.9779922754355492E-2"/>
                  <c:y val="-4.46886628057843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762355117723456E-2"/>
                  <c:y val="-4.91121793342364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1.800291730840093E-2"/>
                  <c:y val="6.147967403211958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Sheet1!$B$2:$B$14</c:f>
              <c:numCache>
                <c:formatCode>0.0%</c:formatCode>
                <c:ptCount val="13"/>
                <c:pt idx="0">
                  <c:v>0.12990000000000002</c:v>
                </c:pt>
                <c:pt idx="1">
                  <c:v>0.1341</c:v>
                </c:pt>
                <c:pt idx="2">
                  <c:v>0.4128</c:v>
                </c:pt>
                <c:pt idx="3">
                  <c:v>0.4012</c:v>
                </c:pt>
                <c:pt idx="4">
                  <c:v>-2.3E-3</c:v>
                </c:pt>
                <c:pt idx="5">
                  <c:v>5.8400000000000001E-2</c:v>
                </c:pt>
                <c:pt idx="6">
                  <c:v>0.27929999999999999</c:v>
                </c:pt>
                <c:pt idx="7">
                  <c:v>0.30030000000000001</c:v>
                </c:pt>
                <c:pt idx="8">
                  <c:v>0.4511</c:v>
                </c:pt>
                <c:pt idx="9">
                  <c:v>0.79579999999999995</c:v>
                </c:pt>
                <c:pt idx="10">
                  <c:v>0.27250000000000002</c:v>
                </c:pt>
                <c:pt idx="11">
                  <c:v>0.63880000000000003</c:v>
                </c:pt>
                <c:pt idx="12">
                  <c:v>-0.18710000000000002</c:v>
                </c:pt>
              </c:numCache>
            </c:numRef>
          </c:val>
          <c:smooth val="1"/>
        </c:ser>
        <c:ser>
          <c:idx val="1"/>
          <c:order val="1"/>
          <c:tx>
            <c:strRef>
              <c:f>Sheet1!$C$1</c:f>
              <c:strCache>
                <c:ptCount val="1"/>
                <c:pt idx="0">
                  <c:v>上市公司整体股价涨幅</c:v>
                </c:pt>
              </c:strCache>
            </c:strRef>
          </c:tx>
          <c:dLbls>
            <c:dLbl>
              <c:idx val="7"/>
              <c:layout>
                <c:manualLayout>
                  <c:x val="-5.1936294331476444E-2"/>
                  <c:y val="-6.14757338770659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6.1134252223216543E-2"/>
                  <c:y val="4.5352658721251239E-4"/>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strCache>
            </c:strRef>
          </c:cat>
          <c:val>
            <c:numRef>
              <c:f>Sheet1!$C$2:$C$14</c:f>
              <c:numCache>
                <c:formatCode>0.0%</c:formatCode>
                <c:ptCount val="13"/>
                <c:pt idx="0">
                  <c:v>2.3999999999999998E-3</c:v>
                </c:pt>
                <c:pt idx="1">
                  <c:v>-7.7100000000000002E-2</c:v>
                </c:pt>
                <c:pt idx="2">
                  <c:v>3.8300000000000001E-2</c:v>
                </c:pt>
                <c:pt idx="3">
                  <c:v>1.9299999999999998E-2</c:v>
                </c:pt>
                <c:pt idx="4">
                  <c:v>-3.1E-2</c:v>
                </c:pt>
                <c:pt idx="5">
                  <c:v>2.8999999999999998E-3</c:v>
                </c:pt>
                <c:pt idx="6">
                  <c:v>0.1797</c:v>
                </c:pt>
                <c:pt idx="7">
                  <c:v>0.52910000000000001</c:v>
                </c:pt>
                <c:pt idx="8">
                  <c:v>0.2152</c:v>
                </c:pt>
                <c:pt idx="9">
                  <c:v>0.43060000000000004</c:v>
                </c:pt>
                <c:pt idx="10">
                  <c:v>2.4399999999999998E-2</c:v>
                </c:pt>
                <c:pt idx="11">
                  <c:v>0.2412</c:v>
                </c:pt>
                <c:pt idx="12">
                  <c:v>-0.15720000000000001</c:v>
                </c:pt>
              </c:numCache>
            </c:numRef>
          </c:val>
          <c:smooth val="1"/>
        </c:ser>
        <c:dLbls>
          <c:showLegendKey val="0"/>
          <c:showVal val="0"/>
          <c:showCatName val="0"/>
          <c:showSerName val="0"/>
          <c:showPercent val="0"/>
          <c:showBubbleSize val="0"/>
        </c:dLbls>
        <c:marker val="1"/>
        <c:smooth val="0"/>
        <c:axId val="311730560"/>
        <c:axId val="311732096"/>
      </c:lineChart>
      <c:catAx>
        <c:axId val="311730560"/>
        <c:scaling>
          <c:orientation val="minMax"/>
        </c:scaling>
        <c:delete val="0"/>
        <c:axPos val="b"/>
        <c:numFmt formatCode="General" sourceLinked="0"/>
        <c:majorTickMark val="out"/>
        <c:minorTickMark val="none"/>
        <c:tickLblPos val="low"/>
        <c:txPr>
          <a:bodyPr rot="0" vert="horz"/>
          <a:lstStyle/>
          <a:p>
            <a:pPr>
              <a:defRPr sz="1050" b="1"/>
            </a:pPr>
            <a:endParaRPr lang="zh-CN"/>
          </a:p>
        </c:txPr>
        <c:crossAx val="311732096"/>
        <c:crosses val="autoZero"/>
        <c:auto val="1"/>
        <c:lblAlgn val="ctr"/>
        <c:lblOffset val="100"/>
        <c:noMultiLvlLbl val="0"/>
      </c:catAx>
      <c:valAx>
        <c:axId val="311732096"/>
        <c:scaling>
          <c:orientation val="minMax"/>
        </c:scaling>
        <c:delete val="1"/>
        <c:axPos val="l"/>
        <c:numFmt formatCode="0.0%" sourceLinked="1"/>
        <c:majorTickMark val="out"/>
        <c:minorTickMark val="none"/>
        <c:tickLblPos val="none"/>
        <c:crossAx val="311730560"/>
        <c:crosses val="autoZero"/>
        <c:crossBetween val="between"/>
      </c:valAx>
      <c:spPr>
        <a:noFill/>
        <a:ln w="25400">
          <a:noFill/>
        </a:ln>
      </c:spPr>
    </c:plotArea>
    <c:legend>
      <c:legendPos val="t"/>
      <c:layout>
        <c:manualLayout>
          <c:xMode val="edge"/>
          <c:yMode val="edge"/>
          <c:x val="3.0777559055118111E-2"/>
          <c:y val="4.0708180805985233E-2"/>
          <c:w val="0.9"/>
          <c:h val="7.9995193036172432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37191924257259"/>
          <c:y val="0.12284192480843271"/>
          <c:w val="0.60083860343467621"/>
          <c:h val="0.82820329277022187"/>
        </c:manualLayout>
      </c:layout>
      <c:barChart>
        <c:barDir val="bar"/>
        <c:grouping val="clustered"/>
        <c:varyColors val="0"/>
        <c:ser>
          <c:idx val="0"/>
          <c:order val="0"/>
          <c:tx>
            <c:strRef>
              <c:f>Sheet1!$B$1</c:f>
              <c:strCache>
                <c:ptCount val="1"/>
                <c:pt idx="0">
                  <c:v>股价</c:v>
                </c:pt>
              </c:strCache>
            </c:strRef>
          </c:tx>
          <c:spPr>
            <a:solidFill>
              <a:schemeClr val="tx2">
                <a:lumMod val="60000"/>
                <a:lumOff val="40000"/>
              </a:schemeClr>
            </a:solidFill>
            <a:ln>
              <a:solidFill>
                <a:schemeClr val="accent1"/>
              </a:solidFill>
            </a:ln>
          </c:spPr>
          <c:invertIfNegative val="0"/>
          <c:dLbls>
            <c:numFmt formatCode="0.0%" sourceLinked="0"/>
            <c:spPr>
              <a:noFill/>
              <a:ln>
                <a:noFill/>
              </a:ln>
              <a:effectLst/>
            </c:spPr>
            <c:txPr>
              <a:bodyPr/>
              <a:lstStyle/>
              <a:p>
                <a:pPr>
                  <a:defRPr sz="1000" b="1">
                    <a:solidFill>
                      <a:sysClr val="windowText" lastClr="000000"/>
                    </a:solidFill>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新材料</c:v>
                </c:pt>
                <c:pt idx="1">
                  <c:v>新一代信息技术</c:v>
                </c:pt>
                <c:pt idx="2">
                  <c:v>高端装备</c:v>
                </c:pt>
                <c:pt idx="3">
                  <c:v>新能源</c:v>
                </c:pt>
                <c:pt idx="4">
                  <c:v>生物</c:v>
                </c:pt>
                <c:pt idx="5">
                  <c:v>节能环保</c:v>
                </c:pt>
              </c:strCache>
            </c:strRef>
          </c:cat>
          <c:val>
            <c:numRef>
              <c:f>Sheet1!$B$2:$B$7</c:f>
              <c:numCache>
                <c:formatCode>0.0%</c:formatCode>
                <c:ptCount val="6"/>
                <c:pt idx="0">
                  <c:v>-0.15509634939759046</c:v>
                </c:pt>
                <c:pt idx="1">
                  <c:v>-0.16457173437499997</c:v>
                </c:pt>
                <c:pt idx="2">
                  <c:v>-0.17687284466019421</c:v>
                </c:pt>
                <c:pt idx="3">
                  <c:v>-0.18417847872340423</c:v>
                </c:pt>
                <c:pt idx="4">
                  <c:v>-0.18434088235294133</c:v>
                </c:pt>
                <c:pt idx="5">
                  <c:v>-0.1870729689922481</c:v>
                </c:pt>
              </c:numCache>
            </c:numRef>
          </c:val>
        </c:ser>
        <c:dLbls>
          <c:showLegendKey val="0"/>
          <c:showVal val="0"/>
          <c:showCatName val="0"/>
          <c:showSerName val="0"/>
          <c:showPercent val="0"/>
          <c:showBubbleSize val="0"/>
        </c:dLbls>
        <c:gapWidth val="75"/>
        <c:axId val="192284928"/>
        <c:axId val="192299008"/>
      </c:barChart>
      <c:catAx>
        <c:axId val="192284928"/>
        <c:scaling>
          <c:orientation val="maxMin"/>
        </c:scaling>
        <c:delete val="0"/>
        <c:axPos val="l"/>
        <c:numFmt formatCode="General" sourceLinked="1"/>
        <c:majorTickMark val="out"/>
        <c:minorTickMark val="none"/>
        <c:tickLblPos val="low"/>
        <c:txPr>
          <a:bodyPr/>
          <a:lstStyle/>
          <a:p>
            <a:pPr>
              <a:defRPr b="1"/>
            </a:pPr>
            <a:endParaRPr lang="zh-CN"/>
          </a:p>
        </c:txPr>
        <c:crossAx val="192299008"/>
        <c:crosses val="autoZero"/>
        <c:auto val="1"/>
        <c:lblAlgn val="ctr"/>
        <c:lblOffset val="100"/>
        <c:noMultiLvlLbl val="0"/>
      </c:catAx>
      <c:valAx>
        <c:axId val="192299008"/>
        <c:scaling>
          <c:orientation val="minMax"/>
          <c:max val="0"/>
          <c:min val="-0.25"/>
        </c:scaling>
        <c:delete val="0"/>
        <c:axPos val="t"/>
        <c:majorGridlines>
          <c:spPr>
            <a:ln>
              <a:noFill/>
            </a:ln>
          </c:spPr>
        </c:majorGridlines>
        <c:numFmt formatCode="0.0%" sourceLinked="1"/>
        <c:majorTickMark val="none"/>
        <c:minorTickMark val="none"/>
        <c:tickLblPos val="none"/>
        <c:spPr>
          <a:ln>
            <a:noFill/>
          </a:ln>
        </c:spPr>
        <c:crossAx val="192284928"/>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159733643904302"/>
          <c:y val="9.5583065762447239E-2"/>
          <c:w val="0.4587231621340494"/>
          <c:h val="0.81910690662600361"/>
        </c:manualLayout>
      </c:layout>
      <c:barChart>
        <c:barDir val="bar"/>
        <c:grouping val="clustered"/>
        <c:varyColors val="0"/>
        <c:ser>
          <c:idx val="0"/>
          <c:order val="0"/>
          <c:tx>
            <c:strRef>
              <c:f>Sheet1!$B$1</c:f>
              <c:strCache>
                <c:ptCount val="1"/>
                <c:pt idx="0">
                  <c:v>股价</c:v>
                </c:pt>
              </c:strCache>
            </c:strRef>
          </c:tx>
          <c:spPr>
            <a:solidFill>
              <a:schemeClr val="tx2">
                <a:lumMod val="60000"/>
                <a:lumOff val="40000"/>
              </a:schemeClr>
            </a:solidFill>
            <a:ln>
              <a:solidFill>
                <a:schemeClr val="accent1"/>
              </a:solidFill>
            </a:ln>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高性能复合材料</c:v>
                </c:pt>
                <c:pt idx="1">
                  <c:v>生物质能</c:v>
                </c:pt>
                <c:pt idx="2">
                  <c:v>下一代信息网络</c:v>
                </c:pt>
                <c:pt idx="3">
                  <c:v>先进结构材料</c:v>
                </c:pt>
                <c:pt idx="4">
                  <c:v>轨道交通装备</c:v>
                </c:pt>
                <c:pt idx="5">
                  <c:v>……</c:v>
                </c:pt>
                <c:pt idx="6">
                  <c:v>卫星及其应用</c:v>
                </c:pt>
                <c:pt idx="7">
                  <c:v>高效节能</c:v>
                </c:pt>
                <c:pt idx="8">
                  <c:v>核电技术</c:v>
                </c:pt>
                <c:pt idx="9">
                  <c:v>生物医学工程</c:v>
                </c:pt>
                <c:pt idx="10">
                  <c:v>资源循环利用</c:v>
                </c:pt>
              </c:strCache>
            </c:strRef>
          </c:cat>
          <c:val>
            <c:numRef>
              <c:f>Sheet1!$B$2:$B$12</c:f>
              <c:numCache>
                <c:formatCode>0.0%</c:formatCode>
                <c:ptCount val="11"/>
                <c:pt idx="0">
                  <c:v>-9.2853142857142842E-2</c:v>
                </c:pt>
                <c:pt idx="1">
                  <c:v>-0.113386</c:v>
                </c:pt>
                <c:pt idx="2">
                  <c:v>-0.13663879999999995</c:v>
                </c:pt>
                <c:pt idx="3">
                  <c:v>-0.13942416666666665</c:v>
                </c:pt>
                <c:pt idx="4">
                  <c:v>-0.15028135294117648</c:v>
                </c:pt>
                <c:pt idx="6">
                  <c:v>-0.19495099999999999</c:v>
                </c:pt>
                <c:pt idx="7">
                  <c:v>-0.20173355999999998</c:v>
                </c:pt>
                <c:pt idx="8">
                  <c:v>-0.203486</c:v>
                </c:pt>
                <c:pt idx="9">
                  <c:v>-0.22107375609756097</c:v>
                </c:pt>
                <c:pt idx="10">
                  <c:v>-0.22861979999999998</c:v>
                </c:pt>
              </c:numCache>
            </c:numRef>
          </c:val>
        </c:ser>
        <c:dLbls>
          <c:showLegendKey val="0"/>
          <c:showVal val="0"/>
          <c:showCatName val="0"/>
          <c:showSerName val="0"/>
          <c:showPercent val="0"/>
          <c:showBubbleSize val="0"/>
        </c:dLbls>
        <c:gapWidth val="75"/>
        <c:axId val="192314752"/>
        <c:axId val="311891072"/>
      </c:barChart>
      <c:catAx>
        <c:axId val="192314752"/>
        <c:scaling>
          <c:orientation val="maxMin"/>
        </c:scaling>
        <c:delete val="0"/>
        <c:axPos val="l"/>
        <c:numFmt formatCode="General" sourceLinked="1"/>
        <c:majorTickMark val="out"/>
        <c:minorTickMark val="none"/>
        <c:tickLblPos val="low"/>
        <c:crossAx val="311891072"/>
        <c:crosses val="autoZero"/>
        <c:auto val="1"/>
        <c:lblAlgn val="ctr"/>
        <c:lblOffset val="100"/>
        <c:noMultiLvlLbl val="0"/>
      </c:catAx>
      <c:valAx>
        <c:axId val="311891072"/>
        <c:scaling>
          <c:orientation val="minMax"/>
          <c:max val="0"/>
          <c:min val="-0.4"/>
        </c:scaling>
        <c:delete val="0"/>
        <c:axPos val="t"/>
        <c:majorGridlines>
          <c:spPr>
            <a:ln>
              <a:noFill/>
            </a:ln>
          </c:spPr>
        </c:majorGridlines>
        <c:numFmt formatCode="0.0%" sourceLinked="1"/>
        <c:majorTickMark val="none"/>
        <c:minorTickMark val="none"/>
        <c:tickLblPos val="none"/>
        <c:spPr>
          <a:ln>
            <a:noFill/>
          </a:ln>
        </c:spPr>
        <c:crossAx val="192314752"/>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490E-168C-4E57-9FA8-B515DF7C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501</Words>
  <Characters>2858</Characters>
  <Application>Microsoft Office Word</Application>
  <DocSecurity>0</DocSecurity>
  <Lines>23</Lines>
  <Paragraphs>6</Paragraphs>
  <ScaleCrop>false</ScaleCrop>
  <Company>Lenovo</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ll</cp:lastModifiedBy>
  <cp:revision>2</cp:revision>
  <cp:lastPrinted>2015-05-20T09:05:00Z</cp:lastPrinted>
  <dcterms:created xsi:type="dcterms:W3CDTF">2016-11-04T09:32:00Z</dcterms:created>
  <dcterms:modified xsi:type="dcterms:W3CDTF">2016-11-04T09:32:00Z</dcterms:modified>
</cp:coreProperties>
</file>