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F04" w:rsidRPr="00E14DDA" w:rsidRDefault="008566C1" w:rsidP="00D566A1">
      <w:pPr>
        <w:spacing w:beforeLines="100" w:before="312" w:line="360" w:lineRule="auto"/>
        <w:jc w:val="center"/>
        <w:rPr>
          <w:rFonts w:asciiTheme="majorEastAsia" w:eastAsiaTheme="majorEastAsia" w:hAnsiTheme="majorEastAsia" w:cs="宋体"/>
          <w:b/>
          <w:bCs/>
          <w:kern w:val="0"/>
          <w:sz w:val="44"/>
          <w:szCs w:val="44"/>
        </w:rPr>
      </w:pPr>
      <w:r w:rsidRPr="00E14DDA">
        <w:rPr>
          <w:rFonts w:asciiTheme="majorEastAsia" w:eastAsiaTheme="majorEastAsia" w:hAnsiTheme="majorEastAsia" w:cs="宋体" w:hint="eastAsia"/>
          <w:b/>
          <w:bCs/>
          <w:kern w:val="0"/>
          <w:sz w:val="44"/>
          <w:szCs w:val="44"/>
        </w:rPr>
        <w:t>201</w:t>
      </w:r>
      <w:r w:rsidR="00727771">
        <w:rPr>
          <w:rFonts w:asciiTheme="majorEastAsia" w:eastAsiaTheme="majorEastAsia" w:hAnsiTheme="majorEastAsia" w:cs="宋体"/>
          <w:b/>
          <w:bCs/>
          <w:kern w:val="0"/>
          <w:sz w:val="44"/>
          <w:szCs w:val="44"/>
        </w:rPr>
        <w:t>5</w:t>
      </w:r>
      <w:r w:rsidR="004B0789">
        <w:rPr>
          <w:rFonts w:asciiTheme="majorEastAsia" w:eastAsiaTheme="majorEastAsia" w:hAnsiTheme="majorEastAsia" w:cs="宋体" w:hint="eastAsia"/>
          <w:b/>
          <w:bCs/>
          <w:kern w:val="0"/>
          <w:sz w:val="44"/>
          <w:szCs w:val="44"/>
        </w:rPr>
        <w:t>年</w:t>
      </w:r>
      <w:r w:rsidR="006B16F7" w:rsidRPr="00E14DDA">
        <w:rPr>
          <w:rFonts w:asciiTheme="majorEastAsia" w:eastAsiaTheme="majorEastAsia" w:hAnsiTheme="majorEastAsia" w:cs="宋体" w:hint="eastAsia"/>
          <w:b/>
          <w:bCs/>
          <w:kern w:val="0"/>
          <w:sz w:val="44"/>
          <w:szCs w:val="44"/>
        </w:rPr>
        <w:t>战略性新兴产业A</w:t>
      </w:r>
      <w:r w:rsidRPr="00E14DDA">
        <w:rPr>
          <w:rFonts w:asciiTheme="majorEastAsia" w:eastAsiaTheme="majorEastAsia" w:hAnsiTheme="majorEastAsia" w:cs="宋体" w:hint="eastAsia"/>
          <w:b/>
          <w:bCs/>
          <w:kern w:val="0"/>
          <w:sz w:val="44"/>
          <w:szCs w:val="44"/>
        </w:rPr>
        <w:t>股上市公司发展</w:t>
      </w:r>
      <w:r w:rsidR="00686F64">
        <w:rPr>
          <w:rFonts w:asciiTheme="majorEastAsia" w:eastAsiaTheme="majorEastAsia" w:hAnsiTheme="majorEastAsia" w:cs="宋体" w:hint="eastAsia"/>
          <w:b/>
          <w:bCs/>
          <w:kern w:val="0"/>
          <w:sz w:val="44"/>
          <w:szCs w:val="44"/>
        </w:rPr>
        <w:t>报告</w:t>
      </w:r>
    </w:p>
    <w:p w:rsidR="00157AE9" w:rsidRPr="00157AE9" w:rsidRDefault="001E2292" w:rsidP="00FA0853">
      <w:pPr>
        <w:spacing w:beforeLines="100" w:before="312" w:line="360" w:lineRule="auto"/>
        <w:ind w:firstLineChars="200" w:firstLine="480"/>
        <w:rPr>
          <w:rFonts w:ascii="宋体" w:hAnsi="宋体"/>
          <w:sz w:val="24"/>
          <w:szCs w:val="24"/>
        </w:rPr>
      </w:pPr>
      <w:r w:rsidRPr="00157AE9">
        <w:rPr>
          <w:rFonts w:ascii="宋体" w:hAnsi="宋体" w:hint="eastAsia"/>
          <w:sz w:val="24"/>
          <w:szCs w:val="24"/>
        </w:rPr>
        <w:t>截止2015年</w:t>
      </w:r>
      <w:r>
        <w:rPr>
          <w:rFonts w:ascii="宋体" w:hAnsi="宋体" w:hint="eastAsia"/>
          <w:sz w:val="24"/>
          <w:szCs w:val="24"/>
        </w:rPr>
        <w:t>年</w:t>
      </w:r>
      <w:r w:rsidRPr="00157AE9">
        <w:rPr>
          <w:rFonts w:ascii="宋体" w:hAnsi="宋体" w:hint="eastAsia"/>
          <w:sz w:val="24"/>
          <w:szCs w:val="24"/>
        </w:rPr>
        <w:t>末，A股上市公司中共有10</w:t>
      </w:r>
      <w:r>
        <w:rPr>
          <w:rFonts w:ascii="宋体" w:hAnsi="宋体" w:hint="eastAsia"/>
          <w:sz w:val="24"/>
          <w:szCs w:val="24"/>
        </w:rPr>
        <w:t>3</w:t>
      </w:r>
      <w:r w:rsidR="008245D4">
        <w:rPr>
          <w:rFonts w:ascii="宋体" w:hAnsi="宋体" w:hint="eastAsia"/>
          <w:sz w:val="24"/>
          <w:szCs w:val="24"/>
        </w:rPr>
        <w:t>1</w:t>
      </w:r>
      <w:r w:rsidRPr="00157AE9">
        <w:rPr>
          <w:rFonts w:ascii="宋体" w:hAnsi="宋体" w:hint="eastAsia"/>
          <w:sz w:val="24"/>
          <w:szCs w:val="24"/>
        </w:rPr>
        <w:t>家战略性新兴产业企业，占上市公司（A股，下同）总体的36.</w:t>
      </w:r>
      <w:r w:rsidR="008245D4">
        <w:rPr>
          <w:rFonts w:ascii="宋体" w:hAnsi="宋体" w:hint="eastAsia"/>
          <w:sz w:val="24"/>
          <w:szCs w:val="24"/>
        </w:rPr>
        <w:t>6</w:t>
      </w:r>
      <w:r w:rsidRPr="00157AE9">
        <w:rPr>
          <w:rFonts w:ascii="宋体" w:hAnsi="宋体" w:hint="eastAsia"/>
          <w:sz w:val="24"/>
          <w:szCs w:val="24"/>
        </w:rPr>
        <w:t>%。战略性新兴产业上市公司在主板、创业板、中小板分别有</w:t>
      </w:r>
      <w:r w:rsidR="009C7877" w:rsidRPr="009C7877">
        <w:rPr>
          <w:rFonts w:ascii="宋体" w:hAnsi="宋体" w:hint="eastAsia"/>
          <w:sz w:val="24"/>
          <w:szCs w:val="24"/>
        </w:rPr>
        <w:t>401</w:t>
      </w:r>
      <w:r w:rsidRPr="009C7877">
        <w:rPr>
          <w:rFonts w:ascii="宋体" w:hAnsi="宋体" w:hint="eastAsia"/>
          <w:sz w:val="24"/>
          <w:szCs w:val="24"/>
        </w:rPr>
        <w:t>家、</w:t>
      </w:r>
      <w:r w:rsidR="009C7877" w:rsidRPr="009C7877">
        <w:rPr>
          <w:rFonts w:ascii="宋体" w:hAnsi="宋体" w:hint="eastAsia"/>
          <w:sz w:val="24"/>
          <w:szCs w:val="24"/>
        </w:rPr>
        <w:t>343</w:t>
      </w:r>
      <w:r w:rsidRPr="009C7877">
        <w:rPr>
          <w:rFonts w:ascii="宋体" w:hAnsi="宋体" w:hint="eastAsia"/>
          <w:sz w:val="24"/>
          <w:szCs w:val="24"/>
        </w:rPr>
        <w:t>家以及</w:t>
      </w:r>
      <w:r w:rsidR="009C7877" w:rsidRPr="009C7877">
        <w:rPr>
          <w:rFonts w:ascii="宋体" w:hAnsi="宋体" w:hint="eastAsia"/>
          <w:sz w:val="24"/>
          <w:szCs w:val="24"/>
        </w:rPr>
        <w:t>287</w:t>
      </w:r>
      <w:r w:rsidRPr="009C7877">
        <w:rPr>
          <w:rFonts w:ascii="宋体" w:hAnsi="宋体" w:hint="eastAsia"/>
          <w:sz w:val="24"/>
          <w:szCs w:val="24"/>
        </w:rPr>
        <w:t>家</w:t>
      </w:r>
      <w:r w:rsidRPr="00157AE9">
        <w:rPr>
          <w:rFonts w:ascii="宋体" w:hAnsi="宋体" w:hint="eastAsia"/>
          <w:sz w:val="24"/>
          <w:szCs w:val="24"/>
        </w:rPr>
        <w:t>，占比分别达到了</w:t>
      </w:r>
      <w:r w:rsidRPr="009C7877">
        <w:rPr>
          <w:rFonts w:ascii="宋体" w:hAnsi="宋体" w:hint="eastAsia"/>
          <w:sz w:val="24"/>
          <w:szCs w:val="24"/>
        </w:rPr>
        <w:t>26.0%、69.</w:t>
      </w:r>
      <w:r w:rsidR="009C7877">
        <w:rPr>
          <w:rFonts w:ascii="宋体" w:hAnsi="宋体" w:hint="eastAsia"/>
          <w:sz w:val="24"/>
          <w:szCs w:val="24"/>
        </w:rPr>
        <w:t>7</w:t>
      </w:r>
      <w:r w:rsidRPr="009C7877">
        <w:rPr>
          <w:rFonts w:ascii="宋体" w:hAnsi="宋体" w:hint="eastAsia"/>
          <w:sz w:val="24"/>
          <w:szCs w:val="24"/>
        </w:rPr>
        <w:t>%以及37.</w:t>
      </w:r>
      <w:r w:rsidR="00BC77A0">
        <w:rPr>
          <w:rFonts w:ascii="宋体" w:hAnsi="宋体" w:hint="eastAsia"/>
          <w:sz w:val="24"/>
          <w:szCs w:val="24"/>
        </w:rPr>
        <w:t>0</w:t>
      </w:r>
      <w:r w:rsidRPr="009C7877">
        <w:rPr>
          <w:rFonts w:ascii="宋体" w:hAnsi="宋体" w:hint="eastAsia"/>
          <w:sz w:val="24"/>
          <w:szCs w:val="24"/>
        </w:rPr>
        <w:t>%</w:t>
      </w:r>
      <w:r w:rsidRPr="00157AE9">
        <w:rPr>
          <w:rFonts w:ascii="宋体" w:hAnsi="宋体" w:hint="eastAsia"/>
          <w:sz w:val="24"/>
          <w:szCs w:val="24"/>
        </w:rPr>
        <w:t>。</w:t>
      </w:r>
      <w:r w:rsidR="002613D3">
        <w:rPr>
          <w:rFonts w:ascii="宋体" w:hAnsi="宋体" w:hint="eastAsia"/>
          <w:sz w:val="24"/>
          <w:szCs w:val="24"/>
        </w:rPr>
        <w:t>-</w:t>
      </w:r>
      <w:r w:rsidR="002613D3" w:rsidRPr="00157AE9">
        <w:rPr>
          <w:rFonts w:ascii="宋体" w:hAnsi="宋体" w:hint="eastAsia"/>
          <w:sz w:val="24"/>
          <w:szCs w:val="24"/>
        </w:rPr>
        <w:t>2015年</w:t>
      </w:r>
      <w:r w:rsidR="002613D3">
        <w:rPr>
          <w:rFonts w:ascii="宋体" w:hAnsi="宋体" w:hint="eastAsia"/>
          <w:sz w:val="24"/>
          <w:szCs w:val="24"/>
        </w:rPr>
        <w:t>，</w:t>
      </w:r>
      <w:r w:rsidR="00157AE9" w:rsidRPr="00157AE9">
        <w:rPr>
          <w:rFonts w:ascii="宋体" w:hAnsi="宋体" w:hint="eastAsia"/>
          <w:sz w:val="24"/>
          <w:szCs w:val="24"/>
        </w:rPr>
        <w:t>在经济趋势性、结构性、周期性因素的叠加影响下，我国经济增速</w:t>
      </w:r>
      <w:r w:rsidR="00157AE9">
        <w:rPr>
          <w:rFonts w:ascii="宋体" w:hAnsi="宋体" w:hint="eastAsia"/>
          <w:sz w:val="24"/>
          <w:szCs w:val="24"/>
        </w:rPr>
        <w:t>继续</w:t>
      </w:r>
      <w:r w:rsidR="00157AE9" w:rsidRPr="00157AE9">
        <w:rPr>
          <w:rFonts w:ascii="宋体" w:hAnsi="宋体" w:hint="eastAsia"/>
          <w:sz w:val="24"/>
          <w:szCs w:val="24"/>
        </w:rPr>
        <w:t>放缓</w:t>
      </w:r>
      <w:r w:rsidR="00157AE9">
        <w:rPr>
          <w:rFonts w:ascii="宋体" w:hAnsi="宋体" w:hint="eastAsia"/>
          <w:sz w:val="24"/>
          <w:szCs w:val="24"/>
        </w:rPr>
        <w:t>，全年</w:t>
      </w:r>
      <w:r w:rsidR="00157AE9" w:rsidRPr="00157AE9">
        <w:rPr>
          <w:rFonts w:ascii="宋体" w:hAnsi="宋体" w:hint="eastAsia"/>
          <w:sz w:val="24"/>
          <w:szCs w:val="24"/>
        </w:rPr>
        <w:t>GDP增长6.9%，GDP增速创25年新低</w:t>
      </w:r>
      <w:r w:rsidR="00157AE9">
        <w:rPr>
          <w:rFonts w:ascii="宋体" w:hAnsi="宋体" w:hint="eastAsia"/>
          <w:sz w:val="24"/>
          <w:szCs w:val="24"/>
        </w:rPr>
        <w:t>。</w:t>
      </w:r>
      <w:r w:rsidR="00157AE9" w:rsidRPr="00157AE9">
        <w:rPr>
          <w:rFonts w:ascii="宋体" w:hAnsi="宋体" w:hint="eastAsia"/>
          <w:sz w:val="24"/>
          <w:szCs w:val="24"/>
        </w:rPr>
        <w:t>在</w:t>
      </w:r>
      <w:r w:rsidR="00157AE9">
        <w:rPr>
          <w:rFonts w:ascii="宋体" w:hAnsi="宋体" w:hint="eastAsia"/>
          <w:sz w:val="24"/>
          <w:szCs w:val="24"/>
        </w:rPr>
        <w:t>总体形势下滑的不利环境下</w:t>
      </w:r>
      <w:r w:rsidR="00157AE9" w:rsidRPr="00157AE9">
        <w:rPr>
          <w:rFonts w:ascii="宋体" w:hAnsi="宋体" w:hint="eastAsia"/>
          <w:sz w:val="24"/>
          <w:szCs w:val="24"/>
        </w:rPr>
        <w:t>，战略性新兴产业上市公司逆行而上，业绩保持良好增长态势</w:t>
      </w:r>
      <w:r w:rsidR="00157AE9">
        <w:rPr>
          <w:rFonts w:ascii="宋体" w:hAnsi="宋体" w:hint="eastAsia"/>
          <w:sz w:val="24"/>
          <w:szCs w:val="24"/>
        </w:rPr>
        <w:t>，有效支撑上市公司整体业绩增长。</w:t>
      </w:r>
      <w:r w:rsidRPr="001E2292">
        <w:rPr>
          <w:rFonts w:ascii="宋体" w:hAnsi="宋体" w:hint="eastAsia"/>
          <w:sz w:val="24"/>
          <w:szCs w:val="24"/>
        </w:rPr>
        <w:t>本报告</w:t>
      </w:r>
      <w:r>
        <w:rPr>
          <w:rFonts w:ascii="宋体" w:hAnsi="宋体" w:hint="eastAsia"/>
          <w:sz w:val="24"/>
          <w:szCs w:val="24"/>
        </w:rPr>
        <w:t>通过对沪深战略性新兴产业上市公司</w:t>
      </w:r>
      <w:r w:rsidRPr="001E2292">
        <w:rPr>
          <w:rFonts w:ascii="宋体" w:hAnsi="宋体" w:hint="eastAsia"/>
          <w:sz w:val="24"/>
          <w:szCs w:val="24"/>
        </w:rPr>
        <w:t>统计和分析，归纳总结了</w:t>
      </w:r>
      <w:r>
        <w:rPr>
          <w:rFonts w:ascii="宋体" w:hAnsi="宋体" w:hint="eastAsia"/>
          <w:sz w:val="24"/>
          <w:szCs w:val="24"/>
        </w:rPr>
        <w:t>2015年战略性新兴产业上市公司</w:t>
      </w:r>
      <w:r w:rsidRPr="001E2292">
        <w:rPr>
          <w:rFonts w:ascii="宋体" w:hAnsi="宋体" w:hint="eastAsia"/>
          <w:sz w:val="24"/>
          <w:szCs w:val="24"/>
        </w:rPr>
        <w:t>的总体</w:t>
      </w:r>
      <w:r>
        <w:rPr>
          <w:rFonts w:ascii="宋体" w:hAnsi="宋体" w:hint="eastAsia"/>
          <w:sz w:val="24"/>
          <w:szCs w:val="24"/>
        </w:rPr>
        <w:t>运行</w:t>
      </w:r>
      <w:r w:rsidRPr="001E2292">
        <w:rPr>
          <w:rFonts w:ascii="宋体" w:hAnsi="宋体" w:hint="eastAsia"/>
          <w:sz w:val="24"/>
          <w:szCs w:val="24"/>
        </w:rPr>
        <w:t>情况</w:t>
      </w:r>
      <w:r>
        <w:rPr>
          <w:rFonts w:ascii="宋体" w:hAnsi="宋体" w:hint="eastAsia"/>
          <w:sz w:val="24"/>
          <w:szCs w:val="24"/>
        </w:rPr>
        <w:t>、</w:t>
      </w:r>
      <w:r w:rsidR="002613D3">
        <w:rPr>
          <w:rFonts w:ascii="宋体" w:hAnsi="宋体" w:hint="eastAsia"/>
          <w:sz w:val="24"/>
          <w:szCs w:val="24"/>
        </w:rPr>
        <w:t>特征及</w:t>
      </w:r>
      <w:r>
        <w:rPr>
          <w:rFonts w:ascii="宋体" w:hAnsi="宋体" w:hint="eastAsia"/>
          <w:sz w:val="24"/>
          <w:szCs w:val="24"/>
        </w:rPr>
        <w:t>发展趋势</w:t>
      </w:r>
      <w:r w:rsidRPr="001E2292">
        <w:rPr>
          <w:rFonts w:ascii="宋体" w:hAnsi="宋体" w:hint="eastAsia"/>
          <w:sz w:val="24"/>
          <w:szCs w:val="24"/>
        </w:rPr>
        <w:t>。</w:t>
      </w:r>
    </w:p>
    <w:p w:rsidR="008777ED" w:rsidRPr="00A37652" w:rsidRDefault="008777ED" w:rsidP="008777ED">
      <w:pPr>
        <w:spacing w:beforeLines="100" w:before="312" w:afterLines="50" w:after="156" w:line="360" w:lineRule="auto"/>
        <w:rPr>
          <w:rFonts w:ascii="黑体" w:eastAsia="黑体" w:hAnsi="黑体"/>
          <w:b/>
          <w:sz w:val="28"/>
          <w:szCs w:val="28"/>
        </w:rPr>
      </w:pPr>
      <w:r w:rsidRPr="00A37652">
        <w:rPr>
          <w:rFonts w:ascii="黑体" w:eastAsia="黑体" w:hAnsi="黑体" w:hint="eastAsia"/>
          <w:b/>
          <w:sz w:val="28"/>
          <w:szCs w:val="28"/>
        </w:rPr>
        <w:t>一、总体运行情况</w:t>
      </w:r>
      <w:bookmarkStart w:id="0" w:name="_GoBack"/>
      <w:bookmarkEnd w:id="0"/>
    </w:p>
    <w:p w:rsidR="008777ED" w:rsidRPr="00A37652" w:rsidRDefault="008777ED" w:rsidP="008777ED">
      <w:pPr>
        <w:spacing w:beforeLines="100" w:before="312" w:afterLines="50" w:after="156" w:line="360" w:lineRule="auto"/>
        <w:rPr>
          <w:rFonts w:ascii="黑体" w:eastAsia="黑体" w:hAnsi="黑体"/>
          <w:b/>
          <w:sz w:val="28"/>
          <w:szCs w:val="28"/>
        </w:rPr>
      </w:pPr>
      <w:r w:rsidRPr="00A37652">
        <w:rPr>
          <w:rFonts w:ascii="黑体" w:eastAsia="黑体" w:hAnsi="黑体" w:hint="eastAsia"/>
          <w:b/>
          <w:sz w:val="28"/>
          <w:szCs w:val="28"/>
        </w:rPr>
        <w:t>（一）战略性新兴产业上市公司业绩实现逆势上涨</w:t>
      </w:r>
    </w:p>
    <w:p w:rsidR="008777ED" w:rsidRPr="00B24B0B" w:rsidRDefault="008777ED" w:rsidP="008777ED">
      <w:pPr>
        <w:spacing w:beforeLines="100" w:before="312" w:afterLines="50" w:after="156" w:line="360" w:lineRule="auto"/>
        <w:ind w:firstLineChars="200" w:firstLine="480"/>
        <w:rPr>
          <w:rFonts w:ascii="仿宋_GB2312" w:eastAsia="仿宋_GB2312" w:hAnsi="宋体"/>
          <w:sz w:val="30"/>
          <w:szCs w:val="30"/>
        </w:rPr>
      </w:pPr>
      <w:r w:rsidRPr="00A37652">
        <w:rPr>
          <w:rFonts w:ascii="宋体" w:hAnsi="宋体" w:hint="eastAsia"/>
          <w:sz w:val="24"/>
          <w:szCs w:val="24"/>
        </w:rPr>
        <w:t>2015年，在我国经济增速换挡、结构调整阵痛、新旧动能转换相互交织的复杂背景下，战略性新兴产业逆流而上，以出色的业绩</w:t>
      </w:r>
      <w:r>
        <w:rPr>
          <w:rFonts w:ascii="宋体" w:hAnsi="宋体" w:hint="eastAsia"/>
          <w:sz w:val="24"/>
          <w:szCs w:val="24"/>
        </w:rPr>
        <w:t>继续</w:t>
      </w:r>
      <w:r w:rsidRPr="00A37652">
        <w:rPr>
          <w:rFonts w:ascii="宋体" w:hAnsi="宋体" w:hint="eastAsia"/>
          <w:sz w:val="24"/>
          <w:szCs w:val="24"/>
        </w:rPr>
        <w:t>领跑A股公司。2015年，战略性新兴产业上市公司营收总额达260</w:t>
      </w:r>
      <w:r w:rsidR="00675CDA">
        <w:rPr>
          <w:rFonts w:ascii="宋体" w:hAnsi="宋体" w:hint="eastAsia"/>
          <w:sz w:val="24"/>
          <w:szCs w:val="24"/>
        </w:rPr>
        <w:t>33.7</w:t>
      </w:r>
      <w:r w:rsidRPr="00A37652">
        <w:rPr>
          <w:rFonts w:ascii="宋体" w:hAnsi="宋体" w:hint="eastAsia"/>
          <w:sz w:val="24"/>
          <w:szCs w:val="24"/>
        </w:rPr>
        <w:t>亿元，同比增长16.4%，较</w:t>
      </w:r>
      <w:r w:rsidR="00DD29BC">
        <w:rPr>
          <w:rFonts w:ascii="宋体" w:hAnsi="宋体" w:hint="eastAsia"/>
          <w:sz w:val="24"/>
          <w:szCs w:val="24"/>
        </w:rPr>
        <w:t>2014</w:t>
      </w:r>
      <w:r w:rsidRPr="00A37652">
        <w:rPr>
          <w:rFonts w:ascii="宋体" w:hAnsi="宋体" w:hint="eastAsia"/>
          <w:sz w:val="24"/>
          <w:szCs w:val="24"/>
        </w:rPr>
        <w:t>年</w:t>
      </w:r>
      <w:r w:rsidR="00DD29BC">
        <w:rPr>
          <w:rFonts w:ascii="宋体" w:hAnsi="宋体" w:hint="eastAsia"/>
          <w:sz w:val="24"/>
          <w:szCs w:val="24"/>
        </w:rPr>
        <w:t>提高</w:t>
      </w:r>
      <w:r w:rsidRPr="00A37652">
        <w:rPr>
          <w:rFonts w:ascii="宋体" w:hAnsi="宋体" w:hint="eastAsia"/>
          <w:sz w:val="24"/>
          <w:szCs w:val="24"/>
        </w:rPr>
        <w:t>1.2个百分点，高于同期上市公司整体15.3个百分点（见图1）。全年战略性新兴产业上市公司实现利润总额</w:t>
      </w:r>
      <w:r w:rsidR="00E8701D">
        <w:rPr>
          <w:rFonts w:ascii="宋体" w:hAnsi="宋体" w:hint="eastAsia"/>
          <w:sz w:val="24"/>
          <w:szCs w:val="24"/>
        </w:rPr>
        <w:t>2365.9</w:t>
      </w:r>
      <w:r w:rsidRPr="00A37652">
        <w:rPr>
          <w:rFonts w:ascii="宋体" w:hAnsi="宋体" w:hint="eastAsia"/>
          <w:sz w:val="24"/>
          <w:szCs w:val="24"/>
        </w:rPr>
        <w:t>亿元，同比增长</w:t>
      </w:r>
      <w:r w:rsidR="00E8701D">
        <w:rPr>
          <w:rFonts w:ascii="宋体" w:hAnsi="宋体" w:hint="eastAsia"/>
          <w:sz w:val="24"/>
          <w:szCs w:val="24"/>
        </w:rPr>
        <w:t>12.5</w:t>
      </w:r>
      <w:r w:rsidRPr="00A37652">
        <w:rPr>
          <w:rFonts w:ascii="宋体" w:hAnsi="宋体" w:hint="eastAsia"/>
          <w:sz w:val="24"/>
          <w:szCs w:val="24"/>
        </w:rPr>
        <w:t>%，利润增速高于上市公司总体</w:t>
      </w:r>
      <w:r w:rsidR="009266D6">
        <w:rPr>
          <w:rFonts w:ascii="宋体" w:hAnsi="宋体" w:hint="eastAsia"/>
          <w:sz w:val="24"/>
          <w:szCs w:val="24"/>
        </w:rPr>
        <w:t>10.3</w:t>
      </w:r>
      <w:r w:rsidRPr="00A37652">
        <w:rPr>
          <w:rFonts w:ascii="宋体" w:hAnsi="宋体" w:hint="eastAsia"/>
          <w:sz w:val="24"/>
          <w:szCs w:val="24"/>
        </w:rPr>
        <w:t>个百分点。</w:t>
      </w:r>
      <w:r w:rsidR="00A903FD">
        <w:rPr>
          <w:rFonts w:ascii="宋体" w:hAnsi="宋体" w:hint="eastAsia"/>
          <w:sz w:val="24"/>
          <w:szCs w:val="24"/>
        </w:rPr>
        <w:t>到</w:t>
      </w:r>
      <w:r w:rsidR="00A903FD" w:rsidRPr="00A37652">
        <w:rPr>
          <w:rFonts w:ascii="宋体" w:hAnsi="宋体" w:hint="eastAsia"/>
          <w:noProof/>
          <w:sz w:val="24"/>
          <w:szCs w:val="24"/>
        </w:rPr>
        <w:t>2015年年末，战略性新兴产业上市公司营收总额占上市公司总营收比重达8.9%，较2014年</w:t>
      </w:r>
      <w:r w:rsidR="00A903FD">
        <w:rPr>
          <w:rFonts w:ascii="宋体" w:hAnsi="宋体" w:hint="eastAsia"/>
          <w:noProof/>
          <w:sz w:val="24"/>
          <w:szCs w:val="24"/>
        </w:rPr>
        <w:t>年末</w:t>
      </w:r>
      <w:r w:rsidR="00A903FD" w:rsidRPr="00A37652">
        <w:rPr>
          <w:rFonts w:ascii="宋体" w:hAnsi="宋体" w:hint="eastAsia"/>
          <w:noProof/>
          <w:sz w:val="24"/>
          <w:szCs w:val="24"/>
        </w:rPr>
        <w:t>提升了1.8个百分点。</w:t>
      </w:r>
    </w:p>
    <w:p w:rsidR="008777ED" w:rsidRPr="00B24B0B" w:rsidRDefault="00A903FD" w:rsidP="00A903FD">
      <w:pPr>
        <w:spacing w:beforeLines="100" w:before="312" w:afterLines="50" w:after="156" w:line="588" w:lineRule="exact"/>
        <w:ind w:firstLineChars="200" w:firstLine="480"/>
        <w:rPr>
          <w:rFonts w:ascii="仿宋_GB2312" w:eastAsia="仿宋_GB2312" w:hAnsi="宋体"/>
          <w:sz w:val="30"/>
          <w:szCs w:val="30"/>
        </w:rPr>
      </w:pPr>
      <w:r>
        <w:rPr>
          <w:rFonts w:ascii="宋体" w:hAnsi="宋体" w:hint="eastAsia"/>
          <w:noProof/>
          <w:sz w:val="24"/>
          <w:szCs w:val="24"/>
        </w:rPr>
        <w:drawing>
          <wp:anchor distT="0" distB="0" distL="114300" distR="114300" simplePos="0" relativeHeight="251719680" behindDoc="0" locked="0" layoutInCell="1" allowOverlap="1" wp14:anchorId="10C5B878" wp14:editId="0C428CB1">
            <wp:simplePos x="0" y="0"/>
            <wp:positionH relativeFrom="column">
              <wp:posOffset>614045</wp:posOffset>
            </wp:positionH>
            <wp:positionV relativeFrom="paragraph">
              <wp:posOffset>27305</wp:posOffset>
            </wp:positionV>
            <wp:extent cx="4457700" cy="1790700"/>
            <wp:effectExtent l="0" t="0" r="0" b="0"/>
            <wp:wrapNone/>
            <wp:docPr id="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8777ED" w:rsidRPr="00B24B0B" w:rsidRDefault="008777ED" w:rsidP="008777ED">
      <w:pPr>
        <w:spacing w:beforeLines="100" w:before="312" w:afterLines="50" w:after="156" w:line="588" w:lineRule="exact"/>
        <w:ind w:firstLineChars="200" w:firstLine="600"/>
        <w:rPr>
          <w:rFonts w:ascii="仿宋_GB2312" w:eastAsia="仿宋_GB2312" w:hAnsi="宋体"/>
          <w:sz w:val="30"/>
          <w:szCs w:val="30"/>
        </w:rPr>
      </w:pPr>
    </w:p>
    <w:p w:rsidR="008777ED" w:rsidRPr="00B24B0B" w:rsidRDefault="006658E2" w:rsidP="00A903FD">
      <w:pPr>
        <w:spacing w:beforeLines="100" w:before="312" w:afterLines="50" w:after="156" w:line="588" w:lineRule="exact"/>
        <w:ind w:firstLineChars="200" w:firstLine="600"/>
        <w:rPr>
          <w:rFonts w:ascii="仿宋_GB2312" w:eastAsia="仿宋_GB2312" w:hAnsi="宋体"/>
          <w:sz w:val="30"/>
          <w:szCs w:val="30"/>
        </w:rPr>
      </w:pPr>
      <w:r>
        <w:rPr>
          <w:rFonts w:ascii="仿宋" w:eastAsia="仿宋" w:hAnsi="仿宋"/>
          <w:noProof/>
          <w:color w:val="FF0000"/>
          <w:sz w:val="30"/>
          <w:szCs w:val="30"/>
        </w:rPr>
        <mc:AlternateContent>
          <mc:Choice Requires="wps">
            <w:drawing>
              <wp:anchor distT="0" distB="0" distL="114300" distR="114300" simplePos="0" relativeHeight="251740160" behindDoc="0" locked="0" layoutInCell="1" allowOverlap="1" wp14:anchorId="701C2582" wp14:editId="02D7E9CF">
                <wp:simplePos x="0" y="0"/>
                <wp:positionH relativeFrom="column">
                  <wp:posOffset>223520</wp:posOffset>
                </wp:positionH>
                <wp:positionV relativeFrom="paragraph">
                  <wp:posOffset>537845</wp:posOffset>
                </wp:positionV>
                <wp:extent cx="5247640" cy="281940"/>
                <wp:effectExtent l="0" t="0" r="0" b="3810"/>
                <wp:wrapNone/>
                <wp:docPr id="42"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7640" cy="281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73E6" w:rsidRPr="00F11A1B" w:rsidRDefault="004673E6" w:rsidP="008777ED">
                            <w:pPr>
                              <w:jc w:val="center"/>
                              <w:rPr>
                                <w:b/>
                              </w:rPr>
                            </w:pPr>
                            <w:r w:rsidRPr="00F11A1B">
                              <w:rPr>
                                <w:rFonts w:hint="eastAsia"/>
                                <w:b/>
                              </w:rPr>
                              <w:t>图</w:t>
                            </w:r>
                            <w:r>
                              <w:rPr>
                                <w:b/>
                              </w:rPr>
                              <w:t>1</w:t>
                            </w:r>
                            <w:r>
                              <w:rPr>
                                <w:rFonts w:hint="eastAsia"/>
                                <w:b/>
                              </w:rPr>
                              <w:t xml:space="preserve">  </w:t>
                            </w:r>
                            <w:r>
                              <w:rPr>
                                <w:b/>
                              </w:rPr>
                              <w:t>2015</w:t>
                            </w:r>
                            <w:r>
                              <w:rPr>
                                <w:b/>
                              </w:rPr>
                              <w:t>年</w:t>
                            </w:r>
                            <w:r w:rsidRPr="00AF5D38">
                              <w:rPr>
                                <w:rFonts w:hint="eastAsia"/>
                                <w:b/>
                              </w:rPr>
                              <w:t>战略性新兴产业上市公司</w:t>
                            </w:r>
                            <w:r>
                              <w:rPr>
                                <w:rFonts w:hint="eastAsia"/>
                                <w:b/>
                              </w:rPr>
                              <w:t>经营状况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17.6pt;margin-top:42.35pt;width:413.2pt;height:22.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" stroked="f">
                <v:textbox>
                  <w:txbxContent>
                    <w:p w:rsidR="004673E6" w:rsidRPr="00F11A1B" w:rsidRDefault="004673E6" w:rsidP="008777ED">
                      <w:pPr>
                        <w:jc w:val="center"/>
                        <w:rPr>
                          <w:b/>
                        </w:rPr>
                      </w:pPr>
                      <w:r w:rsidRPr="00F11A1B">
                        <w:rPr>
                          <w:rFonts w:hint="eastAsia"/>
                          <w:b/>
                        </w:rPr>
                        <w:t>图</w:t>
                      </w:r>
                      <w:r>
                        <w:rPr>
                          <w:b/>
                        </w:rPr>
                        <w:t>1</w:t>
                      </w:r>
                      <w:r>
                        <w:rPr>
                          <w:rFonts w:hint="eastAsia"/>
                          <w:b/>
                        </w:rPr>
                        <w:t xml:space="preserve">  </w:t>
                      </w:r>
                      <w:r>
                        <w:rPr>
                          <w:b/>
                        </w:rPr>
                        <w:t>2015</w:t>
                      </w:r>
                      <w:r>
                        <w:rPr>
                          <w:b/>
                        </w:rPr>
                        <w:t>年</w:t>
                      </w:r>
                      <w:r w:rsidRPr="00AF5D38">
                        <w:rPr>
                          <w:rFonts w:hint="eastAsia"/>
                          <w:b/>
                        </w:rPr>
                        <w:t>战略性新兴产业上市公司</w:t>
                      </w:r>
                      <w:r>
                        <w:rPr>
                          <w:rFonts w:hint="eastAsia"/>
                          <w:b/>
                        </w:rPr>
                        <w:t>经营状况</w:t>
                      </w:r>
                    </w:p>
                  </w:txbxContent>
                </v:textbox>
              </v:shape>
            </w:pict>
          </mc:Fallback>
        </mc:AlternateContent>
      </w:r>
    </w:p>
    <w:p w:rsidR="008777ED" w:rsidRDefault="008777ED" w:rsidP="008777ED">
      <w:pPr>
        <w:spacing w:beforeLines="100" w:before="312" w:afterLines="50" w:after="156" w:line="360" w:lineRule="auto"/>
        <w:ind w:left="281" w:hangingChars="100" w:hanging="281"/>
        <w:rPr>
          <w:rFonts w:ascii="宋体" w:hAnsi="宋体"/>
          <w:sz w:val="24"/>
          <w:szCs w:val="24"/>
        </w:rPr>
      </w:pPr>
      <w:r w:rsidRPr="00E97293">
        <w:rPr>
          <w:rFonts w:ascii="黑体" w:eastAsia="黑体" w:hAnsi="黑体" w:hint="eastAsia"/>
          <w:b/>
          <w:sz w:val="28"/>
          <w:szCs w:val="28"/>
        </w:rPr>
        <w:lastRenderedPageBreak/>
        <w:t>（二）重点领域表现优异，助力</w:t>
      </w:r>
      <w:r>
        <w:rPr>
          <w:rFonts w:ascii="黑体" w:eastAsia="黑体" w:hAnsi="黑体" w:hint="eastAsia"/>
          <w:b/>
          <w:sz w:val="28"/>
          <w:szCs w:val="28"/>
        </w:rPr>
        <w:t>转型升级</w:t>
      </w:r>
    </w:p>
    <w:p w:rsidR="008777ED" w:rsidRPr="00B24B0B" w:rsidRDefault="00A903FD" w:rsidP="008777ED">
      <w:pPr>
        <w:spacing w:beforeLines="100" w:before="312" w:afterLines="50" w:after="156" w:line="360" w:lineRule="auto"/>
        <w:ind w:firstLineChars="200" w:firstLine="480"/>
        <w:rPr>
          <w:rFonts w:ascii="仿宋_GB2312" w:eastAsia="仿宋_GB2312" w:hAnsi="宋体"/>
          <w:sz w:val="30"/>
          <w:szCs w:val="30"/>
        </w:rPr>
      </w:pPr>
      <w:r>
        <w:rPr>
          <w:rFonts w:ascii="宋体" w:hAnsi="宋体" w:hint="eastAsia"/>
          <w:noProof/>
          <w:sz w:val="24"/>
          <w:szCs w:val="24"/>
        </w:rPr>
        <w:t>代表经济新动力的战略行新兴产业快速发展直接带动经济转型升级。</w:t>
      </w:r>
      <w:r w:rsidR="008777ED" w:rsidRPr="00A37652">
        <w:rPr>
          <w:rFonts w:ascii="宋体" w:hAnsi="宋体" w:hint="eastAsia"/>
          <w:noProof/>
          <w:sz w:val="24"/>
          <w:szCs w:val="24"/>
        </w:rPr>
        <w:t>2015年，战略性新兴产业</w:t>
      </w:r>
      <w:r>
        <w:rPr>
          <w:rFonts w:ascii="宋体" w:hAnsi="宋体" w:hint="eastAsia"/>
          <w:noProof/>
          <w:sz w:val="24"/>
          <w:szCs w:val="24"/>
        </w:rPr>
        <w:t>一些</w:t>
      </w:r>
      <w:r w:rsidR="008777ED" w:rsidRPr="00A37652">
        <w:rPr>
          <w:rFonts w:ascii="宋体" w:hAnsi="宋体" w:hint="eastAsia"/>
          <w:noProof/>
          <w:sz w:val="24"/>
          <w:szCs w:val="24"/>
        </w:rPr>
        <w:t>重点领域营收</w:t>
      </w:r>
      <w:r w:rsidR="008777ED">
        <w:rPr>
          <w:rFonts w:ascii="宋体" w:hAnsi="宋体" w:hint="eastAsia"/>
          <w:noProof/>
          <w:sz w:val="24"/>
          <w:szCs w:val="24"/>
        </w:rPr>
        <w:t>同比</w:t>
      </w:r>
      <w:r w:rsidR="008777ED" w:rsidRPr="00A37652">
        <w:rPr>
          <w:rFonts w:ascii="宋体" w:hAnsi="宋体" w:hint="eastAsia"/>
          <w:noProof/>
          <w:sz w:val="24"/>
          <w:szCs w:val="24"/>
        </w:rPr>
        <w:t>增速</w:t>
      </w:r>
      <w:r w:rsidR="008777ED">
        <w:rPr>
          <w:rFonts w:ascii="宋体" w:hAnsi="宋体" w:hint="eastAsia"/>
          <w:noProof/>
          <w:sz w:val="24"/>
          <w:szCs w:val="24"/>
        </w:rPr>
        <w:t>表现优异，</w:t>
      </w:r>
      <w:r w:rsidR="008777ED" w:rsidRPr="00A37652">
        <w:rPr>
          <w:rFonts w:ascii="宋体" w:hAnsi="宋体" w:hint="eastAsia"/>
          <w:noProof/>
          <w:sz w:val="24"/>
          <w:szCs w:val="24"/>
        </w:rPr>
        <w:t>新能源、节能环保以及新一代信息技术</w:t>
      </w:r>
      <w:r w:rsidR="008777ED">
        <w:rPr>
          <w:rFonts w:ascii="宋体" w:hAnsi="宋体" w:hint="eastAsia"/>
          <w:noProof/>
          <w:sz w:val="24"/>
          <w:szCs w:val="24"/>
        </w:rPr>
        <w:t>领域营收增速位居前三，</w:t>
      </w:r>
      <w:r w:rsidR="008777ED" w:rsidRPr="00A37652">
        <w:rPr>
          <w:rFonts w:ascii="宋体" w:hAnsi="宋体" w:hint="eastAsia"/>
          <w:noProof/>
          <w:sz w:val="24"/>
          <w:szCs w:val="24"/>
        </w:rPr>
        <w:t>其中，以核电、风能以及光伏为代表的新能源产业继续位列七大产业之首，产业营收增长25.2%，较2014年提升5.6个百分点（见图2）；</w:t>
      </w:r>
      <w:r w:rsidRPr="00A37652">
        <w:rPr>
          <w:rFonts w:ascii="宋体" w:hAnsi="宋体" w:hint="eastAsia"/>
          <w:noProof/>
          <w:sz w:val="24"/>
          <w:szCs w:val="24"/>
        </w:rPr>
        <w:t>节能环保产业保持近几年的良好增长态势，</w:t>
      </w:r>
      <w:r w:rsidRPr="00367B70">
        <w:rPr>
          <w:rFonts w:ascii="宋体" w:hAnsi="宋体" w:hint="eastAsia"/>
          <w:noProof/>
          <w:sz w:val="24"/>
          <w:szCs w:val="24"/>
        </w:rPr>
        <w:t>2015年营收增长23.7%，较2014年提升0.7个百分点。</w:t>
      </w:r>
      <w:r w:rsidR="008777ED" w:rsidRPr="00A37652">
        <w:rPr>
          <w:rFonts w:ascii="宋体" w:hAnsi="宋体" w:hint="eastAsia"/>
          <w:noProof/>
          <w:sz w:val="24"/>
          <w:szCs w:val="24"/>
        </w:rPr>
        <w:t>新一代信息技术产业营收实现较快增长，增速达</w:t>
      </w:r>
      <w:r w:rsidR="007E2D11">
        <w:rPr>
          <w:rFonts w:ascii="宋体" w:hAnsi="宋体" w:hint="eastAsia"/>
          <w:noProof/>
          <w:sz w:val="24"/>
          <w:szCs w:val="24"/>
        </w:rPr>
        <w:t>22.6</w:t>
      </w:r>
      <w:r w:rsidR="008777ED" w:rsidRPr="00A37652">
        <w:rPr>
          <w:rFonts w:ascii="宋体" w:hAnsi="宋体" w:hint="eastAsia"/>
          <w:noProof/>
          <w:sz w:val="24"/>
          <w:szCs w:val="24"/>
        </w:rPr>
        <w:t>%，较2014年提升6.2个百分点；</w:t>
      </w:r>
      <w:r w:rsidR="008777ED">
        <w:rPr>
          <w:rFonts w:ascii="宋体" w:hAnsi="宋体" w:hint="eastAsia"/>
          <w:noProof/>
          <w:sz w:val="24"/>
          <w:szCs w:val="24"/>
        </w:rPr>
        <w:t>其次，</w:t>
      </w:r>
      <w:r w:rsidR="008777ED" w:rsidRPr="00A37652">
        <w:rPr>
          <w:rFonts w:ascii="宋体" w:hAnsi="宋体" w:hint="eastAsia"/>
          <w:noProof/>
          <w:sz w:val="24"/>
          <w:szCs w:val="24"/>
        </w:rPr>
        <w:t>生物</w:t>
      </w:r>
      <w:r w:rsidR="008777ED">
        <w:rPr>
          <w:rFonts w:ascii="宋体" w:hAnsi="宋体" w:hint="eastAsia"/>
          <w:noProof/>
          <w:sz w:val="24"/>
          <w:szCs w:val="24"/>
        </w:rPr>
        <w:t>领域</w:t>
      </w:r>
      <w:r w:rsidR="008777ED" w:rsidRPr="00A37652">
        <w:rPr>
          <w:rFonts w:ascii="宋体" w:hAnsi="宋体" w:hint="eastAsia"/>
          <w:noProof/>
          <w:sz w:val="24"/>
          <w:szCs w:val="24"/>
        </w:rPr>
        <w:t>保持平稳增长态势，2015年营收实现较快增长，高于2014年1.9个百分点。</w:t>
      </w:r>
      <w:r w:rsidR="008777ED">
        <w:rPr>
          <w:rFonts w:ascii="宋体" w:hAnsi="宋体" w:hint="eastAsia"/>
          <w:noProof/>
          <w:sz w:val="24"/>
          <w:szCs w:val="24"/>
        </w:rPr>
        <w:t>但是，</w:t>
      </w:r>
      <w:r w:rsidR="008777ED" w:rsidRPr="00A37652">
        <w:rPr>
          <w:rFonts w:ascii="宋体" w:hAnsi="宋体" w:hint="eastAsia"/>
          <w:noProof/>
          <w:sz w:val="24"/>
          <w:szCs w:val="24"/>
        </w:rPr>
        <w:t>高端装备</w:t>
      </w:r>
      <w:r w:rsidR="008777ED">
        <w:rPr>
          <w:rFonts w:ascii="宋体" w:hAnsi="宋体" w:hint="eastAsia"/>
          <w:noProof/>
          <w:sz w:val="24"/>
          <w:szCs w:val="24"/>
        </w:rPr>
        <w:t>与新材料领域</w:t>
      </w:r>
      <w:r w:rsidR="008777ED" w:rsidRPr="00A37652">
        <w:rPr>
          <w:rFonts w:ascii="宋体" w:hAnsi="宋体" w:hint="eastAsia"/>
          <w:noProof/>
          <w:sz w:val="24"/>
          <w:szCs w:val="24"/>
        </w:rPr>
        <w:t>营收增速</w:t>
      </w:r>
      <w:r w:rsidR="008777ED">
        <w:rPr>
          <w:rFonts w:ascii="宋体" w:hAnsi="宋体" w:hint="eastAsia"/>
          <w:noProof/>
          <w:sz w:val="24"/>
          <w:szCs w:val="24"/>
        </w:rPr>
        <w:t>出现较为</w:t>
      </w:r>
      <w:r w:rsidR="008777ED" w:rsidRPr="00A37652">
        <w:rPr>
          <w:rFonts w:ascii="宋体" w:hAnsi="宋体" w:hint="eastAsia"/>
          <w:noProof/>
          <w:sz w:val="24"/>
          <w:szCs w:val="24"/>
        </w:rPr>
        <w:t>明显下滑</w:t>
      </w:r>
      <w:r w:rsidR="008777ED">
        <w:rPr>
          <w:rFonts w:ascii="宋体" w:hAnsi="宋体" w:hint="eastAsia"/>
          <w:noProof/>
          <w:sz w:val="24"/>
          <w:szCs w:val="24"/>
        </w:rPr>
        <w:t>，</w:t>
      </w:r>
      <w:r w:rsidR="008777ED" w:rsidRPr="00A37652">
        <w:rPr>
          <w:rFonts w:ascii="宋体" w:hAnsi="宋体" w:hint="eastAsia"/>
          <w:noProof/>
          <w:sz w:val="24"/>
          <w:szCs w:val="24"/>
        </w:rPr>
        <w:t>新材料产业</w:t>
      </w:r>
      <w:r>
        <w:rPr>
          <w:rFonts w:ascii="宋体" w:hAnsi="宋体" w:hint="eastAsia"/>
          <w:noProof/>
          <w:sz w:val="24"/>
          <w:szCs w:val="24"/>
        </w:rPr>
        <w:t>一直</w:t>
      </w:r>
      <w:r w:rsidR="008777ED" w:rsidRPr="00A37652">
        <w:rPr>
          <w:rFonts w:ascii="宋体" w:hAnsi="宋体" w:hint="eastAsia"/>
          <w:noProof/>
          <w:sz w:val="24"/>
          <w:szCs w:val="24"/>
        </w:rPr>
        <w:t>低位运行，产业营收增速较去年下降1.1个百分点</w:t>
      </w:r>
      <w:r w:rsidR="00DA1103">
        <w:rPr>
          <w:rFonts w:ascii="宋体" w:hAnsi="宋体" w:hint="eastAsia"/>
          <w:noProof/>
          <w:sz w:val="24"/>
          <w:szCs w:val="24"/>
        </w:rPr>
        <w:t>，增速甚至低于上市公司总体</w:t>
      </w:r>
      <w:r w:rsidR="008777ED" w:rsidRPr="00A37652">
        <w:rPr>
          <w:rFonts w:ascii="宋体" w:hAnsi="宋体" w:hint="eastAsia"/>
          <w:noProof/>
          <w:sz w:val="24"/>
          <w:szCs w:val="24"/>
        </w:rPr>
        <w:t>；受海洋工程装备与航空装备</w:t>
      </w:r>
      <w:r w:rsidR="008777ED">
        <w:rPr>
          <w:rFonts w:ascii="宋体" w:hAnsi="宋体" w:hint="eastAsia"/>
          <w:noProof/>
          <w:sz w:val="24"/>
          <w:szCs w:val="24"/>
        </w:rPr>
        <w:t>制造业拖累，高端装备制造领域</w:t>
      </w:r>
      <w:r w:rsidR="008777ED" w:rsidRPr="00A37652">
        <w:rPr>
          <w:rFonts w:ascii="宋体" w:hAnsi="宋体" w:hint="eastAsia"/>
          <w:noProof/>
          <w:sz w:val="24"/>
          <w:szCs w:val="24"/>
        </w:rPr>
        <w:t>营收增速低于2014年14.5个百分点（见图3）。</w:t>
      </w:r>
    </w:p>
    <w:p w:rsidR="008777ED" w:rsidRDefault="00680800" w:rsidP="008777ED">
      <w:pPr>
        <w:spacing w:beforeLines="100" w:before="312" w:afterLines="50" w:after="156" w:line="588" w:lineRule="exact"/>
        <w:rPr>
          <w:rFonts w:ascii="仿宋_GB2312" w:eastAsia="仿宋_GB2312" w:hAnsi="宋体"/>
          <w:sz w:val="30"/>
          <w:szCs w:val="30"/>
        </w:rPr>
      </w:pPr>
      <w:r>
        <w:rPr>
          <w:rFonts w:ascii="宋体" w:hAnsi="宋体" w:hint="eastAsia"/>
          <w:noProof/>
          <w:sz w:val="24"/>
          <w:szCs w:val="24"/>
        </w:rPr>
        <w:drawing>
          <wp:anchor distT="0" distB="0" distL="114300" distR="114300" simplePos="0" relativeHeight="251720704" behindDoc="0" locked="0" layoutInCell="1" allowOverlap="1" wp14:anchorId="7DC6DF61" wp14:editId="51748911">
            <wp:simplePos x="0" y="0"/>
            <wp:positionH relativeFrom="column">
              <wp:posOffset>4445</wp:posOffset>
            </wp:positionH>
            <wp:positionV relativeFrom="paragraph">
              <wp:posOffset>212090</wp:posOffset>
            </wp:positionV>
            <wp:extent cx="5838825" cy="2047875"/>
            <wp:effectExtent l="0" t="0" r="0" b="0"/>
            <wp:wrapNone/>
            <wp:docPr id="10"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680800" w:rsidRDefault="00680800" w:rsidP="008777ED">
      <w:pPr>
        <w:spacing w:beforeLines="100" w:before="312" w:afterLines="50" w:after="156" w:line="588" w:lineRule="exact"/>
        <w:rPr>
          <w:rFonts w:ascii="仿宋_GB2312" w:eastAsia="仿宋_GB2312" w:hAnsi="宋体"/>
          <w:sz w:val="30"/>
          <w:szCs w:val="30"/>
        </w:rPr>
      </w:pPr>
    </w:p>
    <w:p w:rsidR="00680800" w:rsidRDefault="00680800" w:rsidP="008777ED">
      <w:pPr>
        <w:spacing w:beforeLines="100" w:before="312" w:afterLines="50" w:after="156" w:line="588" w:lineRule="exact"/>
        <w:rPr>
          <w:rFonts w:ascii="仿宋_GB2312" w:eastAsia="仿宋_GB2312" w:hAnsi="宋体"/>
          <w:sz w:val="30"/>
          <w:szCs w:val="30"/>
        </w:rPr>
      </w:pPr>
    </w:p>
    <w:p w:rsidR="00680800" w:rsidRPr="00B24B0B" w:rsidRDefault="00680800" w:rsidP="008777ED">
      <w:pPr>
        <w:spacing w:beforeLines="100" w:before="312" w:afterLines="50" w:after="156" w:line="588" w:lineRule="exact"/>
        <w:rPr>
          <w:rFonts w:ascii="仿宋_GB2312" w:eastAsia="仿宋_GB2312" w:hAnsi="宋体"/>
          <w:sz w:val="30"/>
          <w:szCs w:val="30"/>
        </w:rPr>
      </w:pPr>
    </w:p>
    <w:p w:rsidR="008777ED" w:rsidRDefault="006658E2" w:rsidP="008777ED">
      <w:pPr>
        <w:spacing w:beforeLines="100" w:before="312" w:afterLines="50" w:after="156" w:line="588" w:lineRule="exact"/>
        <w:rPr>
          <w:rFonts w:asciiTheme="minorEastAsia" w:eastAsiaTheme="minorEastAsia" w:hAnsiTheme="minorEastAsia"/>
          <w:b/>
          <w:szCs w:val="21"/>
        </w:rPr>
      </w:pPr>
      <w:r>
        <w:rPr>
          <w:rFonts w:ascii="仿宋" w:eastAsia="仿宋" w:hAnsi="仿宋"/>
          <w:noProof/>
          <w:color w:val="FF0000"/>
          <w:sz w:val="30"/>
          <w:szCs w:val="30"/>
        </w:rPr>
        <mc:AlternateContent>
          <mc:Choice Requires="wps">
            <w:drawing>
              <wp:anchor distT="0" distB="0" distL="114300" distR="114300" simplePos="0" relativeHeight="251741184" behindDoc="0" locked="0" layoutInCell="1" allowOverlap="1" wp14:anchorId="2855E9A8" wp14:editId="02F19CE3">
                <wp:simplePos x="0" y="0"/>
                <wp:positionH relativeFrom="column">
                  <wp:posOffset>309245</wp:posOffset>
                </wp:positionH>
                <wp:positionV relativeFrom="paragraph">
                  <wp:posOffset>206375</wp:posOffset>
                </wp:positionV>
                <wp:extent cx="5247640" cy="281940"/>
                <wp:effectExtent l="0" t="0" r="0" b="3810"/>
                <wp:wrapNone/>
                <wp:docPr id="41"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7640" cy="281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73E6" w:rsidRPr="00F11A1B" w:rsidRDefault="004673E6" w:rsidP="008777ED">
                            <w:pPr>
                              <w:jc w:val="center"/>
                              <w:rPr>
                                <w:b/>
                              </w:rPr>
                            </w:pPr>
                            <w:r w:rsidRPr="00F11A1B">
                              <w:rPr>
                                <w:rFonts w:hint="eastAsia"/>
                                <w:b/>
                              </w:rPr>
                              <w:t>图</w:t>
                            </w:r>
                            <w:r>
                              <w:rPr>
                                <w:b/>
                              </w:rPr>
                              <w:t>2</w:t>
                            </w:r>
                            <w:r>
                              <w:rPr>
                                <w:rFonts w:hint="eastAsia"/>
                                <w:b/>
                              </w:rPr>
                              <w:t xml:space="preserve">  </w:t>
                            </w:r>
                            <w:r>
                              <w:rPr>
                                <w:b/>
                              </w:rPr>
                              <w:t>2014</w:t>
                            </w:r>
                            <w:r>
                              <w:rPr>
                                <w:b/>
                              </w:rPr>
                              <w:t>及</w:t>
                            </w:r>
                            <w:r>
                              <w:rPr>
                                <w:b/>
                              </w:rPr>
                              <w:t>2015</w:t>
                            </w:r>
                            <w:r>
                              <w:rPr>
                                <w:b/>
                              </w:rPr>
                              <w:t>年</w:t>
                            </w:r>
                            <w:r w:rsidRPr="00AF5D38">
                              <w:rPr>
                                <w:rFonts w:hint="eastAsia"/>
                                <w:b/>
                              </w:rPr>
                              <w:t>战略性新兴产业</w:t>
                            </w:r>
                            <w:r>
                              <w:rPr>
                                <w:rFonts w:hint="eastAsia"/>
                                <w:b/>
                              </w:rPr>
                              <w:t>重点领域</w:t>
                            </w:r>
                            <w:r w:rsidRPr="00AF5D38">
                              <w:rPr>
                                <w:rFonts w:hint="eastAsia"/>
                                <w:b/>
                              </w:rPr>
                              <w:t>上市公司</w:t>
                            </w:r>
                            <w:r>
                              <w:rPr>
                                <w:rFonts w:hint="eastAsia"/>
                                <w:b/>
                              </w:rPr>
                              <w:t>营收</w:t>
                            </w:r>
                            <w:r>
                              <w:rPr>
                                <w:b/>
                              </w:rPr>
                              <w:t>增速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本框 22" o:spid="_x0000_s1027" type="#_x0000_t202" style="position:absolute;left:0;text-align:left;margin-left:24.35pt;margin-top:16.25pt;width:413.2pt;height:22.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" stroked="f">
                <v:textbox>
                  <w:txbxContent>
                    <w:p w:rsidR="004673E6" w:rsidRPr="00F11A1B" w:rsidRDefault="004673E6" w:rsidP="008777ED">
                      <w:pPr>
                        <w:jc w:val="center"/>
                        <w:rPr>
                          <w:b/>
                        </w:rPr>
                      </w:pPr>
                      <w:r w:rsidRPr="00F11A1B">
                        <w:rPr>
                          <w:rFonts w:hint="eastAsia"/>
                          <w:b/>
                        </w:rPr>
                        <w:t>图</w:t>
                      </w:r>
                      <w:r>
                        <w:rPr>
                          <w:b/>
                        </w:rPr>
                        <w:t>2</w:t>
                      </w:r>
                      <w:r>
                        <w:rPr>
                          <w:rFonts w:hint="eastAsia"/>
                          <w:b/>
                        </w:rPr>
                        <w:t xml:space="preserve">  </w:t>
                      </w:r>
                      <w:r>
                        <w:rPr>
                          <w:b/>
                        </w:rPr>
                        <w:t>2014</w:t>
                      </w:r>
                      <w:r>
                        <w:rPr>
                          <w:b/>
                        </w:rPr>
                        <w:t>及</w:t>
                      </w:r>
                      <w:r>
                        <w:rPr>
                          <w:b/>
                        </w:rPr>
                        <w:t>2015</w:t>
                      </w:r>
                      <w:r>
                        <w:rPr>
                          <w:b/>
                        </w:rPr>
                        <w:t>年</w:t>
                      </w:r>
                      <w:r w:rsidRPr="00AF5D38">
                        <w:rPr>
                          <w:rFonts w:hint="eastAsia"/>
                          <w:b/>
                        </w:rPr>
                        <w:t>战略性新兴产业</w:t>
                      </w:r>
                      <w:r>
                        <w:rPr>
                          <w:rFonts w:hint="eastAsia"/>
                          <w:b/>
                        </w:rPr>
                        <w:t>重点领域</w:t>
                      </w:r>
                      <w:r w:rsidRPr="00AF5D38">
                        <w:rPr>
                          <w:rFonts w:hint="eastAsia"/>
                          <w:b/>
                        </w:rPr>
                        <w:t>上市公司</w:t>
                      </w:r>
                      <w:r>
                        <w:rPr>
                          <w:rFonts w:hint="eastAsia"/>
                          <w:b/>
                        </w:rPr>
                        <w:t>营收</w:t>
                      </w:r>
                      <w:r>
                        <w:rPr>
                          <w:b/>
                        </w:rPr>
                        <w:t>增速</w:t>
                      </w:r>
                    </w:p>
                  </w:txbxContent>
                </v:textbox>
              </v:shape>
            </w:pict>
          </mc:Fallback>
        </mc:AlternateContent>
      </w:r>
      <w:r w:rsidR="008777ED">
        <w:rPr>
          <w:rFonts w:ascii="仿宋" w:eastAsia="仿宋" w:hAnsi="仿宋"/>
          <w:noProof/>
          <w:color w:val="FF0000"/>
          <w:sz w:val="30"/>
          <w:szCs w:val="30"/>
        </w:rPr>
        <w:drawing>
          <wp:anchor distT="0" distB="0" distL="114300" distR="114300" simplePos="0" relativeHeight="251721728" behindDoc="0" locked="0" layoutInCell="1" allowOverlap="1" wp14:anchorId="0A1C758D" wp14:editId="00D667D6">
            <wp:simplePos x="0" y="0"/>
            <wp:positionH relativeFrom="column">
              <wp:posOffset>566420</wp:posOffset>
            </wp:positionH>
            <wp:positionV relativeFrom="paragraph">
              <wp:posOffset>486410</wp:posOffset>
            </wp:positionV>
            <wp:extent cx="4743450" cy="1809750"/>
            <wp:effectExtent l="0" t="0" r="0" b="0"/>
            <wp:wrapNone/>
            <wp:docPr id="1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V relativeFrom="margin">
              <wp14:pctHeight>0</wp14:pctHeight>
            </wp14:sizeRelV>
          </wp:anchor>
        </w:drawing>
      </w:r>
      <w:r w:rsidR="008777ED">
        <w:rPr>
          <w:rFonts w:asciiTheme="minorEastAsia" w:eastAsiaTheme="minorEastAsia" w:hAnsiTheme="minorEastAsia"/>
          <w:b/>
          <w:szCs w:val="21"/>
        </w:rPr>
        <w:t xml:space="preserve"> </w:t>
      </w:r>
    </w:p>
    <w:p w:rsidR="008777ED" w:rsidRDefault="008777ED" w:rsidP="008777ED">
      <w:pPr>
        <w:spacing w:beforeLines="100" w:before="312" w:afterLines="50" w:after="156" w:line="588" w:lineRule="exact"/>
        <w:ind w:firstLineChars="200" w:firstLine="422"/>
        <w:jc w:val="left"/>
        <w:rPr>
          <w:rFonts w:asciiTheme="minorEastAsia" w:eastAsiaTheme="minorEastAsia" w:hAnsiTheme="minorEastAsia"/>
          <w:b/>
          <w:szCs w:val="21"/>
        </w:rPr>
      </w:pPr>
    </w:p>
    <w:p w:rsidR="008777ED" w:rsidRDefault="008777ED" w:rsidP="008777ED">
      <w:pPr>
        <w:spacing w:beforeLines="100" w:before="312" w:afterLines="50" w:after="156" w:line="588" w:lineRule="exact"/>
        <w:ind w:firstLineChars="200" w:firstLine="422"/>
        <w:jc w:val="left"/>
        <w:rPr>
          <w:rFonts w:asciiTheme="minorEastAsia" w:eastAsiaTheme="minorEastAsia" w:hAnsiTheme="minorEastAsia"/>
          <w:b/>
          <w:szCs w:val="21"/>
        </w:rPr>
      </w:pPr>
    </w:p>
    <w:p w:rsidR="008777ED" w:rsidRDefault="006658E2" w:rsidP="008777ED">
      <w:pPr>
        <w:spacing w:beforeLines="100" w:before="312" w:afterLines="50" w:after="156" w:line="588" w:lineRule="exact"/>
        <w:ind w:firstLineChars="200" w:firstLine="600"/>
        <w:jc w:val="left"/>
        <w:rPr>
          <w:rFonts w:asciiTheme="minorEastAsia" w:eastAsiaTheme="minorEastAsia" w:hAnsiTheme="minorEastAsia"/>
          <w:b/>
          <w:szCs w:val="21"/>
        </w:rPr>
      </w:pPr>
      <w:r>
        <w:rPr>
          <w:rFonts w:ascii="仿宋" w:eastAsia="仿宋" w:hAnsi="仿宋"/>
          <w:noProof/>
          <w:color w:val="FF0000"/>
          <w:sz w:val="30"/>
          <w:szCs w:val="30"/>
        </w:rPr>
        <mc:AlternateContent>
          <mc:Choice Requires="wps">
            <w:drawing>
              <wp:anchor distT="0" distB="0" distL="114300" distR="114300" simplePos="0" relativeHeight="251742208" behindDoc="0" locked="0" layoutInCell="1" allowOverlap="1" wp14:anchorId="3C5A3D66" wp14:editId="6CF23345">
                <wp:simplePos x="0" y="0"/>
                <wp:positionH relativeFrom="column">
                  <wp:posOffset>309245</wp:posOffset>
                </wp:positionH>
                <wp:positionV relativeFrom="paragraph">
                  <wp:posOffset>362585</wp:posOffset>
                </wp:positionV>
                <wp:extent cx="5247640" cy="281940"/>
                <wp:effectExtent l="0" t="0" r="0" b="3810"/>
                <wp:wrapNone/>
                <wp:docPr id="40" name="文本框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7640" cy="281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73E6" w:rsidRPr="00F11A1B" w:rsidRDefault="004673E6" w:rsidP="008777ED">
                            <w:pPr>
                              <w:jc w:val="center"/>
                              <w:rPr>
                                <w:b/>
                              </w:rPr>
                            </w:pPr>
                            <w:r w:rsidRPr="00F11A1B">
                              <w:rPr>
                                <w:rFonts w:hint="eastAsia"/>
                                <w:b/>
                              </w:rPr>
                              <w:t>图</w:t>
                            </w:r>
                            <w:r>
                              <w:rPr>
                                <w:b/>
                              </w:rPr>
                              <w:t>3</w:t>
                            </w:r>
                            <w:r>
                              <w:rPr>
                                <w:rFonts w:hint="eastAsia"/>
                                <w:b/>
                              </w:rPr>
                              <w:t xml:space="preserve">  </w:t>
                            </w:r>
                            <w:r>
                              <w:rPr>
                                <w:b/>
                              </w:rPr>
                              <w:t>高端装备制造</w:t>
                            </w:r>
                            <w:r w:rsidRPr="00AF5D38">
                              <w:rPr>
                                <w:rFonts w:hint="eastAsia"/>
                                <w:b/>
                              </w:rPr>
                              <w:t>上市公司</w:t>
                            </w:r>
                            <w:r>
                              <w:rPr>
                                <w:rFonts w:hint="eastAsia"/>
                                <w:b/>
                              </w:rPr>
                              <w:t>营收</w:t>
                            </w:r>
                            <w:r>
                              <w:rPr>
                                <w:b/>
                              </w:rPr>
                              <w:t>增速</w:t>
                            </w:r>
                            <w:r>
                              <w:rPr>
                                <w:rFonts w:hint="eastAsia"/>
                                <w:b/>
                              </w:rPr>
                              <w:t>对比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本框 23" o:spid="_x0000_s1028" type="#_x0000_t202" style="position:absolute;left:0;text-align:left;margin-left:24.35pt;margin-top:28.55pt;width:413.2pt;height:22.2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" stroked="f">
                <v:textbox>
                  <w:txbxContent>
                    <w:p w:rsidR="004673E6" w:rsidRPr="00F11A1B" w:rsidRDefault="004673E6" w:rsidP="008777ED">
                      <w:pPr>
                        <w:jc w:val="center"/>
                        <w:rPr>
                          <w:b/>
                        </w:rPr>
                      </w:pPr>
                      <w:r w:rsidRPr="00F11A1B">
                        <w:rPr>
                          <w:rFonts w:hint="eastAsia"/>
                          <w:b/>
                        </w:rPr>
                        <w:t>图</w:t>
                      </w:r>
                      <w:r>
                        <w:rPr>
                          <w:b/>
                        </w:rPr>
                        <w:t>3</w:t>
                      </w:r>
                      <w:r>
                        <w:rPr>
                          <w:rFonts w:hint="eastAsia"/>
                          <w:b/>
                        </w:rPr>
                        <w:t xml:space="preserve">  </w:t>
                      </w:r>
                      <w:r>
                        <w:rPr>
                          <w:b/>
                        </w:rPr>
                        <w:t>高端装备制造</w:t>
                      </w:r>
                      <w:r w:rsidRPr="00AF5D38">
                        <w:rPr>
                          <w:rFonts w:hint="eastAsia"/>
                          <w:b/>
                        </w:rPr>
                        <w:t>上市公司</w:t>
                      </w:r>
                      <w:r>
                        <w:rPr>
                          <w:rFonts w:hint="eastAsia"/>
                          <w:b/>
                        </w:rPr>
                        <w:t>营收</w:t>
                      </w:r>
                      <w:r>
                        <w:rPr>
                          <w:b/>
                        </w:rPr>
                        <w:t>增速</w:t>
                      </w:r>
                      <w:r>
                        <w:rPr>
                          <w:rFonts w:hint="eastAsia"/>
                          <w:b/>
                        </w:rPr>
                        <w:t>对比</w:t>
                      </w:r>
                    </w:p>
                  </w:txbxContent>
                </v:textbox>
              </v:shape>
            </w:pict>
          </mc:Fallback>
        </mc:AlternateContent>
      </w:r>
    </w:p>
    <w:p w:rsidR="00DA1103" w:rsidRPr="00DA1103" w:rsidRDefault="00DA1103" w:rsidP="00680800">
      <w:pPr>
        <w:spacing w:beforeLines="100" w:before="312" w:afterLines="50" w:after="156" w:line="360" w:lineRule="auto"/>
        <w:ind w:left="281" w:hangingChars="100" w:hanging="281"/>
        <w:rPr>
          <w:rFonts w:ascii="宋体" w:hAnsi="宋体"/>
          <w:sz w:val="24"/>
          <w:szCs w:val="24"/>
        </w:rPr>
      </w:pPr>
      <w:r w:rsidRPr="00E97293">
        <w:rPr>
          <w:rFonts w:ascii="黑体" w:eastAsia="黑体" w:hAnsi="黑体" w:hint="eastAsia"/>
          <w:b/>
          <w:sz w:val="28"/>
          <w:szCs w:val="28"/>
        </w:rPr>
        <w:lastRenderedPageBreak/>
        <w:t>（</w:t>
      </w:r>
      <w:r>
        <w:rPr>
          <w:rFonts w:ascii="黑体" w:eastAsia="黑体" w:hAnsi="黑体" w:hint="eastAsia"/>
          <w:b/>
          <w:sz w:val="28"/>
          <w:szCs w:val="28"/>
        </w:rPr>
        <w:t>三</w:t>
      </w:r>
      <w:r w:rsidRPr="00E97293">
        <w:rPr>
          <w:rFonts w:ascii="黑体" w:eastAsia="黑体" w:hAnsi="黑体" w:hint="eastAsia"/>
          <w:b/>
          <w:sz w:val="28"/>
          <w:szCs w:val="28"/>
        </w:rPr>
        <w:t>）</w:t>
      </w:r>
      <w:r>
        <w:rPr>
          <w:rFonts w:ascii="黑体" w:eastAsia="黑体" w:hAnsi="黑体" w:hint="eastAsia"/>
          <w:b/>
          <w:sz w:val="28"/>
          <w:szCs w:val="28"/>
        </w:rPr>
        <w:t>东中西部地区齐头并进，东北增长乏力</w:t>
      </w:r>
    </w:p>
    <w:p w:rsidR="008777ED" w:rsidRPr="00815584" w:rsidRDefault="008777ED" w:rsidP="008777ED">
      <w:pPr>
        <w:spacing w:beforeLines="100" w:before="312" w:line="360" w:lineRule="auto"/>
        <w:ind w:firstLineChars="200" w:firstLine="480"/>
        <w:rPr>
          <w:rFonts w:ascii="宋体" w:hAnsi="宋体"/>
          <w:sz w:val="24"/>
          <w:szCs w:val="24"/>
        </w:rPr>
      </w:pPr>
      <w:r w:rsidRPr="00815584">
        <w:rPr>
          <w:rFonts w:ascii="宋体" w:hAnsi="宋体" w:hint="eastAsia"/>
          <w:sz w:val="24"/>
          <w:szCs w:val="24"/>
        </w:rPr>
        <w:t>2015年</w:t>
      </w:r>
      <w:r w:rsidR="001466AC">
        <w:rPr>
          <w:rFonts w:ascii="宋体" w:hAnsi="宋体" w:hint="eastAsia"/>
          <w:sz w:val="24"/>
          <w:szCs w:val="24"/>
        </w:rPr>
        <w:t>东、中、西部</w:t>
      </w:r>
      <w:r w:rsidR="004353CC">
        <w:rPr>
          <w:rFonts w:ascii="宋体" w:hAnsi="宋体" w:hint="eastAsia"/>
          <w:sz w:val="24"/>
          <w:szCs w:val="24"/>
        </w:rPr>
        <w:t>地区战略性新兴产业上市公司营收增速</w:t>
      </w:r>
      <w:r w:rsidR="001466AC">
        <w:rPr>
          <w:rFonts w:ascii="宋体" w:hAnsi="宋体" w:hint="eastAsia"/>
          <w:sz w:val="24"/>
          <w:szCs w:val="24"/>
        </w:rPr>
        <w:t>继续</w:t>
      </w:r>
      <w:r w:rsidR="004353CC">
        <w:rPr>
          <w:rFonts w:ascii="宋体" w:hAnsi="宋体" w:hint="eastAsia"/>
          <w:sz w:val="24"/>
          <w:szCs w:val="24"/>
        </w:rPr>
        <w:t>保持平稳增长</w:t>
      </w:r>
      <w:r w:rsidR="001466AC">
        <w:rPr>
          <w:rFonts w:ascii="宋体" w:hAnsi="宋体" w:hint="eastAsia"/>
          <w:sz w:val="24"/>
          <w:szCs w:val="24"/>
        </w:rPr>
        <w:t>，</w:t>
      </w:r>
      <w:r w:rsidR="0089072E" w:rsidRPr="00815584">
        <w:rPr>
          <w:rFonts w:ascii="宋体" w:hAnsi="宋体" w:hint="eastAsia"/>
          <w:sz w:val="24"/>
          <w:szCs w:val="24"/>
        </w:rPr>
        <w:t>西部地区</w:t>
      </w:r>
      <w:r w:rsidR="001466AC">
        <w:rPr>
          <w:rFonts w:ascii="宋体" w:hAnsi="宋体" w:hint="eastAsia"/>
          <w:sz w:val="24"/>
          <w:szCs w:val="24"/>
        </w:rPr>
        <w:t>-</w:t>
      </w:r>
      <w:r w:rsidR="0089072E" w:rsidRPr="00815584">
        <w:rPr>
          <w:rFonts w:ascii="宋体" w:hAnsi="宋体" w:hint="eastAsia"/>
          <w:sz w:val="24"/>
          <w:szCs w:val="24"/>
        </w:rPr>
        <w:t>增速</w:t>
      </w:r>
      <w:r w:rsidR="001466AC">
        <w:rPr>
          <w:rFonts w:ascii="宋体" w:hAnsi="宋体" w:hint="eastAsia"/>
          <w:sz w:val="24"/>
          <w:szCs w:val="24"/>
        </w:rPr>
        <w:t>虽</w:t>
      </w:r>
      <w:r w:rsidR="0089072E" w:rsidRPr="00815584">
        <w:rPr>
          <w:rFonts w:ascii="宋体" w:hAnsi="宋体" w:hint="eastAsia"/>
          <w:sz w:val="24"/>
          <w:szCs w:val="24"/>
        </w:rPr>
        <w:t>较2014年小幅下滑，但</w:t>
      </w:r>
      <w:r w:rsidR="001466AC">
        <w:rPr>
          <w:rFonts w:ascii="宋体" w:hAnsi="宋体" w:hint="eastAsia"/>
          <w:sz w:val="24"/>
          <w:szCs w:val="24"/>
        </w:rPr>
        <w:t>仍</w:t>
      </w:r>
      <w:r w:rsidR="0089072E" w:rsidRPr="00815584">
        <w:rPr>
          <w:rFonts w:ascii="宋体" w:hAnsi="宋体" w:hint="eastAsia"/>
          <w:sz w:val="24"/>
          <w:szCs w:val="24"/>
        </w:rPr>
        <w:t>位列四大区之首</w:t>
      </w:r>
      <w:r w:rsidR="0089072E">
        <w:rPr>
          <w:rFonts w:ascii="宋体" w:hAnsi="宋体" w:hint="eastAsia"/>
          <w:sz w:val="24"/>
          <w:szCs w:val="24"/>
        </w:rPr>
        <w:t>，</w:t>
      </w:r>
      <w:r w:rsidR="001466AC">
        <w:rPr>
          <w:rFonts w:ascii="宋体" w:hAnsi="宋体" w:hint="eastAsia"/>
          <w:sz w:val="24"/>
          <w:szCs w:val="24"/>
        </w:rPr>
        <w:t>增速为18.7%，三年均维持在较高的增长速度，说明西部的战略性新兴产业已进入快速健康的发展轨道</w:t>
      </w:r>
      <w:r w:rsidR="001466AC" w:rsidRPr="00815584">
        <w:rPr>
          <w:rFonts w:ascii="宋体" w:hAnsi="宋体" w:hint="eastAsia"/>
          <w:sz w:val="24"/>
          <w:szCs w:val="24"/>
        </w:rPr>
        <w:t>（见图4）</w:t>
      </w:r>
      <w:r w:rsidR="001466AC">
        <w:rPr>
          <w:rFonts w:ascii="宋体" w:hAnsi="宋体" w:hint="eastAsia"/>
          <w:sz w:val="24"/>
          <w:szCs w:val="24"/>
        </w:rPr>
        <w:t>；</w:t>
      </w:r>
      <w:r w:rsidRPr="00815584">
        <w:rPr>
          <w:rFonts w:ascii="宋体" w:hAnsi="宋体" w:hint="eastAsia"/>
          <w:sz w:val="24"/>
          <w:szCs w:val="24"/>
        </w:rPr>
        <w:t>东部和</w:t>
      </w:r>
      <w:r w:rsidR="00A8769F" w:rsidRPr="00815584">
        <w:rPr>
          <w:rFonts w:ascii="宋体" w:hAnsi="宋体" w:hint="eastAsia"/>
          <w:sz w:val="24"/>
          <w:szCs w:val="24"/>
        </w:rPr>
        <w:t>中</w:t>
      </w:r>
      <w:r w:rsidRPr="00815584">
        <w:rPr>
          <w:rFonts w:ascii="宋体" w:hAnsi="宋体" w:hint="eastAsia"/>
          <w:sz w:val="24"/>
          <w:szCs w:val="24"/>
        </w:rPr>
        <w:t>部地区战略性新兴产业</w:t>
      </w:r>
      <w:r w:rsidR="001466AC">
        <w:rPr>
          <w:rFonts w:ascii="宋体" w:hAnsi="宋体" w:hint="eastAsia"/>
          <w:sz w:val="24"/>
          <w:szCs w:val="24"/>
        </w:rPr>
        <w:t>发展更加稳健，三年波动不大，均保持在15%左右的增</w:t>
      </w:r>
      <w:r w:rsidR="004673E6">
        <w:rPr>
          <w:rFonts w:ascii="宋体" w:hAnsi="宋体" w:hint="eastAsia"/>
          <w:sz w:val="24"/>
          <w:szCs w:val="24"/>
        </w:rPr>
        <w:t>幅；-</w:t>
      </w:r>
      <w:r w:rsidR="006E444A">
        <w:rPr>
          <w:rFonts w:ascii="宋体" w:hAnsi="宋体" w:hint="eastAsia"/>
          <w:sz w:val="24"/>
          <w:szCs w:val="24"/>
        </w:rPr>
        <w:t>东北地区战略性新兴产业营收增速连续三年大幅下滑，位列全国末位</w:t>
      </w:r>
      <w:r w:rsidR="00E30C34">
        <w:rPr>
          <w:rFonts w:ascii="宋体" w:hAnsi="宋体" w:hint="eastAsia"/>
          <w:sz w:val="24"/>
          <w:szCs w:val="24"/>
        </w:rPr>
        <w:t>，东北地区传统产业发展受阻，新兴产业动力不足，经济状况堪忧。</w:t>
      </w:r>
    </w:p>
    <w:p w:rsidR="008777ED" w:rsidRDefault="00DA1103" w:rsidP="00DA1103">
      <w:pPr>
        <w:spacing w:beforeLines="100" w:before="312" w:line="360" w:lineRule="auto"/>
        <w:ind w:firstLineChars="200" w:firstLine="602"/>
        <w:rPr>
          <w:rFonts w:ascii="仿宋" w:eastAsia="仿宋" w:hAnsi="仿宋"/>
          <w:sz w:val="30"/>
          <w:szCs w:val="30"/>
        </w:rPr>
      </w:pPr>
      <w:r w:rsidRPr="00B24B0B">
        <w:rPr>
          <w:rFonts w:ascii="仿宋_GB2312" w:eastAsia="仿宋_GB2312" w:hAnsi="黑体" w:hint="eastAsia"/>
          <w:b/>
          <w:noProof/>
          <w:sz w:val="30"/>
          <w:szCs w:val="30"/>
        </w:rPr>
        <w:drawing>
          <wp:anchor distT="0" distB="0" distL="114300" distR="114300" simplePos="0" relativeHeight="251723776" behindDoc="0" locked="0" layoutInCell="1" allowOverlap="1" wp14:anchorId="22A5CBD7" wp14:editId="4D89AEA0">
            <wp:simplePos x="0" y="0"/>
            <wp:positionH relativeFrom="column">
              <wp:posOffset>290195</wp:posOffset>
            </wp:positionH>
            <wp:positionV relativeFrom="paragraph">
              <wp:posOffset>-22225</wp:posOffset>
            </wp:positionV>
            <wp:extent cx="5295900" cy="1619250"/>
            <wp:effectExtent l="0" t="0" r="0" b="0"/>
            <wp:wrapNone/>
            <wp:docPr id="13"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V relativeFrom="margin">
              <wp14:pctHeight>0</wp14:pctHeight>
            </wp14:sizeRelV>
          </wp:anchor>
        </w:drawing>
      </w:r>
    </w:p>
    <w:p w:rsidR="008777ED" w:rsidRPr="004673E6" w:rsidRDefault="008777ED" w:rsidP="008777ED">
      <w:pPr>
        <w:spacing w:beforeLines="100" w:before="312" w:line="360" w:lineRule="auto"/>
        <w:ind w:firstLineChars="200" w:firstLine="602"/>
        <w:rPr>
          <w:rFonts w:ascii="仿宋" w:eastAsia="仿宋" w:hAnsi="仿宋"/>
          <w:b/>
          <w:sz w:val="30"/>
          <w:szCs w:val="30"/>
        </w:rPr>
      </w:pPr>
    </w:p>
    <w:p w:rsidR="008777ED" w:rsidRDefault="00AA5F33" w:rsidP="008777ED">
      <w:pPr>
        <w:spacing w:beforeLines="100" w:before="312" w:line="360" w:lineRule="auto"/>
        <w:rPr>
          <w:rFonts w:ascii="仿宋" w:eastAsia="仿宋" w:hAnsi="仿宋"/>
          <w:b/>
          <w:sz w:val="30"/>
          <w:szCs w:val="30"/>
        </w:rPr>
      </w:pPr>
      <w:r>
        <w:rPr>
          <w:rFonts w:ascii="仿宋" w:eastAsia="仿宋" w:hAnsi="仿宋"/>
          <w:noProof/>
          <w:color w:val="FF0000"/>
          <w:sz w:val="30"/>
          <w:szCs w:val="30"/>
        </w:rPr>
        <mc:AlternateContent>
          <mc:Choice Requires="wps">
            <w:drawing>
              <wp:anchor distT="0" distB="0" distL="114300" distR="114300" simplePos="0" relativeHeight="251722752" behindDoc="0" locked="0" layoutInCell="1" allowOverlap="1" wp14:anchorId="35FD20D1" wp14:editId="4AE0D2F5">
                <wp:simplePos x="0" y="0"/>
                <wp:positionH relativeFrom="margin">
                  <wp:posOffset>294005</wp:posOffset>
                </wp:positionH>
                <wp:positionV relativeFrom="paragraph">
                  <wp:posOffset>444500</wp:posOffset>
                </wp:positionV>
                <wp:extent cx="5247640" cy="281940"/>
                <wp:effectExtent l="0" t="0" r="0" b="3810"/>
                <wp:wrapNone/>
                <wp:docPr id="38"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7640" cy="281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73E6" w:rsidRPr="00F11A1B" w:rsidRDefault="004673E6" w:rsidP="008777ED">
                            <w:pPr>
                              <w:jc w:val="center"/>
                              <w:rPr>
                                <w:b/>
                              </w:rPr>
                            </w:pPr>
                            <w:r w:rsidRPr="00F11A1B">
                              <w:rPr>
                                <w:rFonts w:hint="eastAsia"/>
                                <w:b/>
                              </w:rPr>
                              <w:t>图</w:t>
                            </w:r>
                            <w:r>
                              <w:rPr>
                                <w:b/>
                              </w:rPr>
                              <w:t>4</w:t>
                            </w:r>
                            <w:r>
                              <w:rPr>
                                <w:rFonts w:hint="eastAsia"/>
                                <w:b/>
                              </w:rPr>
                              <w:t xml:space="preserve">  </w:t>
                            </w:r>
                            <w:r>
                              <w:rPr>
                                <w:b/>
                              </w:rPr>
                              <w:t>2015</w:t>
                            </w:r>
                            <w:r>
                              <w:rPr>
                                <w:b/>
                              </w:rPr>
                              <w:t>年</w:t>
                            </w:r>
                            <w:r>
                              <w:rPr>
                                <w:rFonts w:hint="eastAsia"/>
                                <w:b/>
                              </w:rPr>
                              <w:t>各地区</w:t>
                            </w:r>
                            <w:r w:rsidRPr="00AF5D38">
                              <w:rPr>
                                <w:rFonts w:hint="eastAsia"/>
                                <w:b/>
                              </w:rPr>
                              <w:t>战略性新兴产业上市公司</w:t>
                            </w:r>
                            <w:r>
                              <w:rPr>
                                <w:rFonts w:hint="eastAsia"/>
                                <w:b/>
                              </w:rPr>
                              <w:t>分季度营收累计增速对比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本框 17" o:spid="_x0000_s1029" type="#_x0000_t202" style="position:absolute;left:0;text-align:left;margin-left:23.15pt;margin-top:35pt;width:413.2pt;height:22.2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" stroked="f">
                <v:textbox>
                  <w:txbxContent>
                    <w:p w:rsidR="004673E6" w:rsidRPr="00F11A1B" w:rsidRDefault="004673E6" w:rsidP="008777ED">
                      <w:pPr>
                        <w:jc w:val="center"/>
                        <w:rPr>
                          <w:b/>
                        </w:rPr>
                      </w:pPr>
                      <w:r w:rsidRPr="00F11A1B">
                        <w:rPr>
                          <w:rFonts w:hint="eastAsia"/>
                          <w:b/>
                        </w:rPr>
                        <w:t>图</w:t>
                      </w:r>
                      <w:r>
                        <w:rPr>
                          <w:b/>
                        </w:rPr>
                        <w:t>4</w:t>
                      </w:r>
                      <w:r>
                        <w:rPr>
                          <w:rFonts w:hint="eastAsia"/>
                          <w:b/>
                        </w:rPr>
                        <w:t xml:space="preserve">  </w:t>
                      </w:r>
                      <w:r>
                        <w:rPr>
                          <w:b/>
                        </w:rPr>
                        <w:t>2015</w:t>
                      </w:r>
                      <w:r>
                        <w:rPr>
                          <w:b/>
                        </w:rPr>
                        <w:t>年</w:t>
                      </w:r>
                      <w:r>
                        <w:rPr>
                          <w:rFonts w:hint="eastAsia"/>
                          <w:b/>
                        </w:rPr>
                        <w:t>各地区</w:t>
                      </w:r>
                      <w:r w:rsidRPr="00AF5D38">
                        <w:rPr>
                          <w:rFonts w:hint="eastAsia"/>
                          <w:b/>
                        </w:rPr>
                        <w:t>战略性新兴产业上市公司</w:t>
                      </w:r>
                      <w:r>
                        <w:rPr>
                          <w:rFonts w:hint="eastAsia"/>
                          <w:b/>
                        </w:rPr>
                        <w:t>分季度营收累计增速对比</w:t>
                      </w:r>
                    </w:p>
                  </w:txbxContent>
                </v:textbox>
                <w10:wrap anchorx="margin"/>
              </v:shape>
            </w:pict>
          </mc:Fallback>
        </mc:AlternateContent>
      </w:r>
    </w:p>
    <w:p w:rsidR="00680800" w:rsidRPr="00680800" w:rsidRDefault="00680800" w:rsidP="00680800">
      <w:pPr>
        <w:spacing w:beforeLines="100" w:before="312" w:line="360" w:lineRule="auto"/>
        <w:rPr>
          <w:rFonts w:ascii="黑体" w:eastAsia="黑体" w:hAnsi="黑体"/>
          <w:b/>
          <w:sz w:val="28"/>
          <w:szCs w:val="28"/>
        </w:rPr>
      </w:pPr>
      <w:r w:rsidRPr="00E97293">
        <w:rPr>
          <w:rFonts w:ascii="黑体" w:eastAsia="黑体" w:hAnsi="黑体" w:hint="eastAsia"/>
          <w:b/>
          <w:sz w:val="28"/>
          <w:szCs w:val="28"/>
        </w:rPr>
        <w:t>（</w:t>
      </w:r>
      <w:r>
        <w:rPr>
          <w:rFonts w:ascii="黑体" w:eastAsia="黑体" w:hAnsi="黑体" w:hint="eastAsia"/>
          <w:b/>
          <w:sz w:val="28"/>
          <w:szCs w:val="28"/>
        </w:rPr>
        <w:t>四</w:t>
      </w:r>
      <w:r w:rsidRPr="00E97293">
        <w:rPr>
          <w:rFonts w:ascii="黑体" w:eastAsia="黑体" w:hAnsi="黑体" w:hint="eastAsia"/>
          <w:b/>
          <w:sz w:val="28"/>
          <w:szCs w:val="28"/>
        </w:rPr>
        <w:t>）</w:t>
      </w:r>
      <w:r>
        <w:rPr>
          <w:rFonts w:ascii="黑体" w:eastAsia="黑体" w:hAnsi="黑体" w:hint="eastAsia"/>
          <w:b/>
          <w:sz w:val="28"/>
          <w:szCs w:val="28"/>
        </w:rPr>
        <w:t>民营企业成为我国战略性新兴产业的主力军</w:t>
      </w:r>
    </w:p>
    <w:p w:rsidR="00680800" w:rsidRDefault="00680800" w:rsidP="00680800">
      <w:pPr>
        <w:spacing w:beforeLines="100" w:before="312" w:afterLines="50" w:after="156" w:line="588" w:lineRule="exact"/>
        <w:ind w:firstLineChars="200" w:firstLine="480"/>
        <w:rPr>
          <w:rFonts w:ascii="宋体" w:hAnsi="宋体"/>
          <w:sz w:val="24"/>
          <w:szCs w:val="24"/>
        </w:rPr>
      </w:pPr>
      <w:r w:rsidRPr="00A37652">
        <w:rPr>
          <w:rFonts w:ascii="宋体" w:hAnsi="宋体" w:hint="eastAsia"/>
          <w:sz w:val="24"/>
          <w:szCs w:val="24"/>
        </w:rPr>
        <w:t>战略性新兴产业上市公司中，民营企业继续迸发活力，形成数量多、规模大、业绩好的特征。</w:t>
      </w:r>
      <w:r w:rsidRPr="00F41A56">
        <w:rPr>
          <w:rFonts w:ascii="宋体" w:hAnsi="宋体" w:hint="eastAsia"/>
          <w:sz w:val="24"/>
          <w:szCs w:val="24"/>
        </w:rPr>
        <w:t>在1031家战略性新兴产业上市公司中，民营企业共有728家，占总体70.6%，企业数量不容小觑；本年度，民营企业的营收达10554.8亿元，占战略性新兴产业上市公司总体营收的40.6%，成为</w:t>
      </w:r>
      <w:r>
        <w:rPr>
          <w:rFonts w:ascii="宋体" w:hAnsi="宋体" w:hint="eastAsia"/>
          <w:sz w:val="24"/>
          <w:szCs w:val="24"/>
        </w:rPr>
        <w:t>战略性新兴产业</w:t>
      </w:r>
      <w:r>
        <w:rPr>
          <w:rFonts w:ascii="宋体" w:hAnsi="宋体"/>
          <w:sz w:val="24"/>
          <w:szCs w:val="24"/>
        </w:rPr>
        <w:t>上市公司第二大发展群体</w:t>
      </w:r>
      <w:r w:rsidRPr="00F41A56">
        <w:rPr>
          <w:rFonts w:ascii="宋体" w:hAnsi="宋体" w:hint="eastAsia"/>
          <w:sz w:val="24"/>
          <w:szCs w:val="24"/>
        </w:rPr>
        <w:t>（见图6）；2015年民营企业利润高达1863.2亿元，战略性新兴产业上市公司的利润有超过五成由其贡献，贡献率超过国有企业21.1个百分点（见图7）。</w:t>
      </w:r>
      <w:r w:rsidRPr="00A37652">
        <w:rPr>
          <w:rFonts w:ascii="宋体" w:hAnsi="宋体"/>
          <w:sz w:val="24"/>
          <w:szCs w:val="24"/>
        </w:rPr>
        <w:t xml:space="preserve"> </w:t>
      </w:r>
    </w:p>
    <w:p w:rsidR="00680800" w:rsidRDefault="00680800" w:rsidP="00680800">
      <w:pPr>
        <w:spacing w:beforeLines="100" w:before="312" w:afterLines="50" w:after="156" w:line="588" w:lineRule="exact"/>
        <w:ind w:firstLineChars="200" w:firstLine="480"/>
        <w:rPr>
          <w:rFonts w:ascii="宋体" w:hAnsi="宋体"/>
          <w:sz w:val="24"/>
          <w:szCs w:val="24"/>
        </w:rPr>
      </w:pPr>
    </w:p>
    <w:p w:rsidR="00680800" w:rsidRDefault="00680800" w:rsidP="00680800">
      <w:pPr>
        <w:spacing w:beforeLines="100" w:before="312" w:afterLines="50" w:after="156" w:line="588" w:lineRule="exact"/>
        <w:ind w:firstLineChars="200" w:firstLine="602"/>
        <w:rPr>
          <w:rFonts w:ascii="仿宋_GB2312" w:eastAsia="仿宋_GB2312" w:hAnsi="黑体"/>
          <w:b/>
          <w:sz w:val="30"/>
          <w:szCs w:val="30"/>
        </w:rPr>
      </w:pPr>
    </w:p>
    <w:p w:rsidR="00680800" w:rsidRDefault="00680800" w:rsidP="00680800">
      <w:pPr>
        <w:spacing w:beforeLines="100" w:before="312" w:afterLines="50" w:after="156" w:line="588" w:lineRule="exact"/>
        <w:rPr>
          <w:rFonts w:ascii="仿宋_GB2312" w:eastAsia="仿宋_GB2312" w:hAnsi="黑体"/>
          <w:b/>
          <w:sz w:val="30"/>
          <w:szCs w:val="30"/>
        </w:rPr>
      </w:pPr>
      <w:r>
        <w:rPr>
          <w:rFonts w:ascii="仿宋_GB2312" w:eastAsia="仿宋_GB2312" w:hAnsi="黑体" w:hint="eastAsia"/>
          <w:b/>
          <w:noProof/>
          <w:sz w:val="30"/>
          <w:szCs w:val="30"/>
        </w:rPr>
        <w:lastRenderedPageBreak/>
        <w:drawing>
          <wp:anchor distT="0" distB="0" distL="114300" distR="114300" simplePos="0" relativeHeight="251750400" behindDoc="0" locked="0" layoutInCell="1" allowOverlap="1" wp14:anchorId="2E09E376" wp14:editId="4C67F345">
            <wp:simplePos x="0" y="0"/>
            <wp:positionH relativeFrom="column">
              <wp:posOffset>2995295</wp:posOffset>
            </wp:positionH>
            <wp:positionV relativeFrom="paragraph">
              <wp:posOffset>51435</wp:posOffset>
            </wp:positionV>
            <wp:extent cx="2466975" cy="2238375"/>
            <wp:effectExtent l="0" t="0" r="0" b="0"/>
            <wp:wrapNone/>
            <wp:docPr id="39" name="图表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Pr>
          <w:rFonts w:ascii="仿宋_GB2312" w:eastAsia="仿宋_GB2312" w:hAnsi="黑体" w:hint="eastAsia"/>
          <w:b/>
          <w:noProof/>
          <w:sz w:val="30"/>
          <w:szCs w:val="30"/>
        </w:rPr>
        <w:drawing>
          <wp:anchor distT="0" distB="0" distL="114300" distR="114300" simplePos="0" relativeHeight="251749376" behindDoc="0" locked="0" layoutInCell="1" allowOverlap="1" wp14:anchorId="4AEC69E5" wp14:editId="6AA74922">
            <wp:simplePos x="0" y="0"/>
            <wp:positionH relativeFrom="column">
              <wp:posOffset>271145</wp:posOffset>
            </wp:positionH>
            <wp:positionV relativeFrom="paragraph">
              <wp:posOffset>-62230</wp:posOffset>
            </wp:positionV>
            <wp:extent cx="2533650" cy="2266950"/>
            <wp:effectExtent l="0" t="0" r="0" b="0"/>
            <wp:wrapNone/>
            <wp:docPr id="43"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rsidR="00680800" w:rsidRDefault="00680800" w:rsidP="00680800">
      <w:pPr>
        <w:spacing w:beforeLines="100" w:before="312" w:afterLines="50" w:after="156" w:line="588" w:lineRule="exact"/>
        <w:rPr>
          <w:rFonts w:ascii="仿宋_GB2312" w:eastAsia="仿宋_GB2312" w:hAnsi="黑体"/>
          <w:b/>
          <w:sz w:val="30"/>
          <w:szCs w:val="30"/>
        </w:rPr>
      </w:pPr>
    </w:p>
    <w:p w:rsidR="00680800" w:rsidRDefault="00680800" w:rsidP="00680800">
      <w:pPr>
        <w:spacing w:beforeLines="100" w:before="312" w:afterLines="50" w:after="156" w:line="588" w:lineRule="exact"/>
        <w:rPr>
          <w:rFonts w:ascii="仿宋_GB2312" w:eastAsia="仿宋_GB2312" w:hAnsi="黑体"/>
          <w:b/>
          <w:sz w:val="30"/>
          <w:szCs w:val="30"/>
        </w:rPr>
      </w:pPr>
    </w:p>
    <w:p w:rsidR="00680800" w:rsidRDefault="00680800" w:rsidP="00680800">
      <w:pPr>
        <w:spacing w:beforeLines="100" w:before="312" w:afterLines="50" w:after="156" w:line="588" w:lineRule="exact"/>
        <w:rPr>
          <w:rFonts w:ascii="仿宋_GB2312" w:eastAsia="仿宋_GB2312" w:hAnsi="黑体"/>
          <w:b/>
          <w:sz w:val="30"/>
          <w:szCs w:val="30"/>
        </w:rPr>
      </w:pPr>
    </w:p>
    <w:p w:rsidR="00680800" w:rsidRDefault="00680800" w:rsidP="00680800">
      <w:pPr>
        <w:spacing w:beforeLines="100" w:before="312" w:afterLines="50" w:after="156" w:line="588" w:lineRule="exact"/>
        <w:rPr>
          <w:rFonts w:ascii="仿宋_GB2312" w:eastAsia="仿宋_GB2312" w:hAnsi="黑体"/>
          <w:b/>
          <w:sz w:val="30"/>
          <w:szCs w:val="30"/>
        </w:rPr>
      </w:pPr>
      <w:r>
        <w:rPr>
          <w:rFonts w:ascii="仿宋" w:eastAsia="仿宋" w:hAnsi="仿宋"/>
          <w:noProof/>
          <w:color w:val="FF0000"/>
          <w:sz w:val="30"/>
          <w:szCs w:val="30"/>
        </w:rPr>
        <mc:AlternateContent>
          <mc:Choice Requires="wps">
            <w:drawing>
              <wp:anchor distT="0" distB="0" distL="114300" distR="114300" simplePos="0" relativeHeight="251752448" behindDoc="0" locked="0" layoutInCell="1" allowOverlap="1" wp14:anchorId="2EADA07A" wp14:editId="55F23D37">
                <wp:simplePos x="0" y="0"/>
                <wp:positionH relativeFrom="column">
                  <wp:posOffset>3100071</wp:posOffset>
                </wp:positionH>
                <wp:positionV relativeFrom="paragraph">
                  <wp:posOffset>34925</wp:posOffset>
                </wp:positionV>
                <wp:extent cx="2324100" cy="476250"/>
                <wp:effectExtent l="0" t="0" r="0" b="0"/>
                <wp:wrapNone/>
                <wp:docPr id="14" name="文本框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0800" w:rsidRPr="00F11A1B" w:rsidRDefault="00680800" w:rsidP="00680800">
                            <w:pPr>
                              <w:jc w:val="center"/>
                              <w:rPr>
                                <w:b/>
                              </w:rPr>
                            </w:pPr>
                            <w:r w:rsidRPr="00F11A1B">
                              <w:rPr>
                                <w:rFonts w:hint="eastAsia"/>
                                <w:b/>
                              </w:rPr>
                              <w:t>图</w:t>
                            </w:r>
                            <w:r>
                              <w:rPr>
                                <w:b/>
                              </w:rPr>
                              <w:t>7</w:t>
                            </w:r>
                            <w:r>
                              <w:rPr>
                                <w:rFonts w:hint="eastAsia"/>
                                <w:b/>
                              </w:rPr>
                              <w:t xml:space="preserve"> </w:t>
                            </w:r>
                            <w:r>
                              <w:rPr>
                                <w:b/>
                              </w:rPr>
                              <w:t xml:space="preserve"> 2015</w:t>
                            </w:r>
                            <w:r>
                              <w:rPr>
                                <w:b/>
                              </w:rPr>
                              <w:t>年</w:t>
                            </w:r>
                            <w:r w:rsidRPr="00AF5D38">
                              <w:rPr>
                                <w:rFonts w:hint="eastAsia"/>
                                <w:b/>
                              </w:rPr>
                              <w:t>战略性新兴产业上市公司</w:t>
                            </w:r>
                            <w:r>
                              <w:rPr>
                                <w:rFonts w:hint="eastAsia"/>
                                <w:b/>
                              </w:rPr>
                              <w:t>利润</w:t>
                            </w:r>
                            <w:r>
                              <w:rPr>
                                <w:b/>
                              </w:rPr>
                              <w:t>构成</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7" o:spid="_x0000_s1030" type="#_x0000_t202" style="position:absolute;left:0;text-align:left;margin-left:244.1pt;margin-top:2.75pt;width:183pt;height:3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" stroked="f">
                <v:textbox>
                  <w:txbxContent>
                    <w:p w:rsidR="00680800" w:rsidRPr="00F11A1B" w:rsidRDefault="00680800" w:rsidP="00680800">
                      <w:pPr>
                        <w:jc w:val="center"/>
                        <w:rPr>
                          <w:b/>
                        </w:rPr>
                      </w:pPr>
                      <w:r w:rsidRPr="00F11A1B">
                        <w:rPr>
                          <w:rFonts w:hint="eastAsia"/>
                          <w:b/>
                        </w:rPr>
                        <w:t>图</w:t>
                      </w:r>
                      <w:r>
                        <w:rPr>
                          <w:b/>
                        </w:rPr>
                        <w:t>7</w:t>
                      </w:r>
                      <w:r>
                        <w:rPr>
                          <w:rFonts w:hint="eastAsia"/>
                          <w:b/>
                        </w:rPr>
                        <w:t xml:space="preserve"> </w:t>
                      </w:r>
                      <w:r>
                        <w:rPr>
                          <w:b/>
                        </w:rPr>
                        <w:t xml:space="preserve"> 2015</w:t>
                      </w:r>
                      <w:r>
                        <w:rPr>
                          <w:b/>
                        </w:rPr>
                        <w:t>年</w:t>
                      </w:r>
                      <w:r w:rsidRPr="00AF5D38">
                        <w:rPr>
                          <w:rFonts w:hint="eastAsia"/>
                          <w:b/>
                        </w:rPr>
                        <w:t>战略性新兴产业上市公司</w:t>
                      </w:r>
                      <w:r>
                        <w:rPr>
                          <w:rFonts w:hint="eastAsia"/>
                          <w:b/>
                        </w:rPr>
                        <w:t>利润</w:t>
                      </w:r>
                      <w:r>
                        <w:rPr>
                          <w:b/>
                        </w:rPr>
                        <w:t>构成</w:t>
                      </w:r>
                    </w:p>
                  </w:txbxContent>
                </v:textbox>
              </v:shape>
            </w:pict>
          </mc:Fallback>
        </mc:AlternateContent>
      </w:r>
      <w:r>
        <w:rPr>
          <w:rFonts w:ascii="仿宋" w:eastAsia="仿宋" w:hAnsi="仿宋"/>
          <w:noProof/>
          <w:color w:val="FF0000"/>
          <w:sz w:val="30"/>
          <w:szCs w:val="30"/>
        </w:rPr>
        <mc:AlternateContent>
          <mc:Choice Requires="wps">
            <w:drawing>
              <wp:anchor distT="0" distB="0" distL="114300" distR="114300" simplePos="0" relativeHeight="251751424" behindDoc="0" locked="0" layoutInCell="1" allowOverlap="1" wp14:anchorId="4923391A" wp14:editId="67527748">
                <wp:simplePos x="0" y="0"/>
                <wp:positionH relativeFrom="column">
                  <wp:posOffset>385446</wp:posOffset>
                </wp:positionH>
                <wp:positionV relativeFrom="paragraph">
                  <wp:posOffset>44450</wp:posOffset>
                </wp:positionV>
                <wp:extent cx="2286000" cy="476250"/>
                <wp:effectExtent l="0" t="0" r="0" b="0"/>
                <wp:wrapNone/>
                <wp:docPr id="37" name="文本框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0800" w:rsidRPr="00F11A1B" w:rsidRDefault="00680800" w:rsidP="00680800">
                            <w:pPr>
                              <w:jc w:val="center"/>
                              <w:rPr>
                                <w:b/>
                              </w:rPr>
                            </w:pPr>
                            <w:r w:rsidRPr="00F11A1B">
                              <w:rPr>
                                <w:rFonts w:hint="eastAsia"/>
                                <w:b/>
                              </w:rPr>
                              <w:t>图</w:t>
                            </w:r>
                            <w:r>
                              <w:rPr>
                                <w:b/>
                              </w:rPr>
                              <w:t xml:space="preserve">6 </w:t>
                            </w:r>
                            <w:r>
                              <w:rPr>
                                <w:rFonts w:hint="eastAsia"/>
                                <w:b/>
                              </w:rPr>
                              <w:t xml:space="preserve"> </w:t>
                            </w:r>
                            <w:r>
                              <w:rPr>
                                <w:b/>
                              </w:rPr>
                              <w:t>2015</w:t>
                            </w:r>
                            <w:r>
                              <w:rPr>
                                <w:b/>
                              </w:rPr>
                              <w:t>年</w:t>
                            </w:r>
                            <w:r w:rsidRPr="00AF5D38">
                              <w:rPr>
                                <w:rFonts w:hint="eastAsia"/>
                                <w:b/>
                              </w:rPr>
                              <w:t>战略性新兴产业上市公司</w:t>
                            </w:r>
                            <w:r>
                              <w:rPr>
                                <w:rFonts w:hint="eastAsia"/>
                                <w:b/>
                              </w:rPr>
                              <w:t>营收构成</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本框 25" o:spid="_x0000_s1031" type="#_x0000_t202" style="position:absolute;left:0;text-align:left;margin-left:30.35pt;margin-top:3.5pt;width:180pt;height:3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" stroked="f">
                <v:textbox>
                  <w:txbxContent>
                    <w:p w:rsidR="00680800" w:rsidRPr="00F11A1B" w:rsidRDefault="00680800" w:rsidP="00680800">
                      <w:pPr>
                        <w:jc w:val="center"/>
                        <w:rPr>
                          <w:b/>
                        </w:rPr>
                      </w:pPr>
                      <w:r w:rsidRPr="00F11A1B">
                        <w:rPr>
                          <w:rFonts w:hint="eastAsia"/>
                          <w:b/>
                        </w:rPr>
                        <w:t>图</w:t>
                      </w:r>
                      <w:r>
                        <w:rPr>
                          <w:b/>
                        </w:rPr>
                        <w:t xml:space="preserve">6 </w:t>
                      </w:r>
                      <w:r>
                        <w:rPr>
                          <w:rFonts w:hint="eastAsia"/>
                          <w:b/>
                        </w:rPr>
                        <w:t xml:space="preserve"> </w:t>
                      </w:r>
                      <w:r>
                        <w:rPr>
                          <w:b/>
                        </w:rPr>
                        <w:t>2015</w:t>
                      </w:r>
                      <w:r>
                        <w:rPr>
                          <w:b/>
                        </w:rPr>
                        <w:t>年</w:t>
                      </w:r>
                      <w:r w:rsidRPr="00AF5D38">
                        <w:rPr>
                          <w:rFonts w:hint="eastAsia"/>
                          <w:b/>
                        </w:rPr>
                        <w:t>战略性新兴产业上市公司</w:t>
                      </w:r>
                      <w:r>
                        <w:rPr>
                          <w:rFonts w:hint="eastAsia"/>
                          <w:b/>
                        </w:rPr>
                        <w:t>营收构成</w:t>
                      </w:r>
                    </w:p>
                  </w:txbxContent>
                </v:textbox>
              </v:shape>
            </w:pict>
          </mc:Fallback>
        </mc:AlternateContent>
      </w:r>
    </w:p>
    <w:p w:rsidR="008777ED" w:rsidRPr="00E97293" w:rsidRDefault="008777ED" w:rsidP="00AA5F33">
      <w:pPr>
        <w:spacing w:beforeLines="100" w:before="312" w:line="360" w:lineRule="auto"/>
        <w:rPr>
          <w:rFonts w:ascii="黑体" w:eastAsia="黑体" w:hAnsi="黑体"/>
          <w:b/>
          <w:sz w:val="28"/>
          <w:szCs w:val="28"/>
        </w:rPr>
      </w:pPr>
      <w:r w:rsidRPr="00E97293">
        <w:rPr>
          <w:rFonts w:ascii="黑体" w:eastAsia="黑体" w:hAnsi="黑体" w:hint="eastAsia"/>
          <w:b/>
          <w:sz w:val="28"/>
          <w:szCs w:val="28"/>
        </w:rPr>
        <w:t>（</w:t>
      </w:r>
      <w:r w:rsidR="00AA0920">
        <w:rPr>
          <w:rFonts w:ascii="黑体" w:eastAsia="黑体" w:hAnsi="黑体" w:hint="eastAsia"/>
          <w:b/>
          <w:sz w:val="28"/>
          <w:szCs w:val="28"/>
        </w:rPr>
        <w:t>五</w:t>
      </w:r>
      <w:r w:rsidRPr="00E97293">
        <w:rPr>
          <w:rFonts w:ascii="黑体" w:eastAsia="黑体" w:hAnsi="黑体" w:hint="eastAsia"/>
          <w:b/>
          <w:sz w:val="28"/>
          <w:szCs w:val="28"/>
        </w:rPr>
        <w:t>）</w:t>
      </w:r>
      <w:r w:rsidR="00D4525F">
        <w:rPr>
          <w:rFonts w:ascii="黑体" w:eastAsia="黑体" w:hAnsi="黑体" w:hint="eastAsia"/>
          <w:b/>
          <w:sz w:val="28"/>
          <w:szCs w:val="28"/>
        </w:rPr>
        <w:t>降</w:t>
      </w:r>
      <w:r>
        <w:rPr>
          <w:rFonts w:ascii="黑体" w:eastAsia="黑体" w:hAnsi="黑体" w:hint="eastAsia"/>
          <w:b/>
          <w:sz w:val="28"/>
          <w:szCs w:val="28"/>
        </w:rPr>
        <w:t>杠杆</w:t>
      </w:r>
      <w:r w:rsidR="00D4525F">
        <w:rPr>
          <w:rFonts w:ascii="黑体" w:eastAsia="黑体" w:hAnsi="黑体" w:hint="eastAsia"/>
          <w:b/>
          <w:sz w:val="28"/>
          <w:szCs w:val="28"/>
        </w:rPr>
        <w:t>卓有成效</w:t>
      </w:r>
      <w:r>
        <w:rPr>
          <w:rFonts w:ascii="黑体" w:eastAsia="黑体" w:hAnsi="黑体" w:hint="eastAsia"/>
          <w:b/>
          <w:sz w:val="28"/>
          <w:szCs w:val="28"/>
        </w:rPr>
        <w:t>，</w:t>
      </w:r>
      <w:r w:rsidRPr="00E97293">
        <w:rPr>
          <w:rFonts w:ascii="黑体" w:eastAsia="黑体" w:hAnsi="黑体" w:hint="eastAsia"/>
          <w:b/>
          <w:sz w:val="28"/>
          <w:szCs w:val="28"/>
        </w:rPr>
        <w:t>产业发展质量</w:t>
      </w:r>
      <w:r>
        <w:rPr>
          <w:rFonts w:ascii="黑体" w:eastAsia="黑体" w:hAnsi="黑体" w:hint="eastAsia"/>
          <w:b/>
          <w:sz w:val="28"/>
          <w:szCs w:val="28"/>
        </w:rPr>
        <w:t>持续</w:t>
      </w:r>
      <w:r w:rsidRPr="00E97293">
        <w:rPr>
          <w:rFonts w:ascii="黑体" w:eastAsia="黑体" w:hAnsi="黑体" w:hint="eastAsia"/>
          <w:b/>
          <w:sz w:val="28"/>
          <w:szCs w:val="28"/>
        </w:rPr>
        <w:t>提升</w:t>
      </w:r>
    </w:p>
    <w:p w:rsidR="008777ED" w:rsidRDefault="008777ED" w:rsidP="007E4D2C">
      <w:pPr>
        <w:spacing w:beforeLines="100" w:before="312" w:afterLines="50" w:after="156" w:line="588" w:lineRule="exact"/>
        <w:ind w:firstLineChars="200" w:firstLine="480"/>
        <w:rPr>
          <w:rFonts w:ascii="宋体" w:hAnsi="宋体"/>
          <w:sz w:val="24"/>
          <w:szCs w:val="24"/>
        </w:rPr>
      </w:pPr>
      <w:r w:rsidRPr="00A37652">
        <w:rPr>
          <w:rFonts w:ascii="宋体" w:hAnsi="宋体" w:hint="eastAsia"/>
          <w:sz w:val="24"/>
          <w:szCs w:val="24"/>
        </w:rPr>
        <w:t>2015年，战略性新兴产业上市公司资产负债率平稳下降，较去年同期下滑1.36个百分点，</w:t>
      </w:r>
      <w:r>
        <w:rPr>
          <w:rFonts w:ascii="宋体" w:hAnsi="宋体" w:hint="eastAsia"/>
          <w:sz w:val="24"/>
          <w:szCs w:val="24"/>
        </w:rPr>
        <w:t>企业负债水平和风险程度得到较好地控制，</w:t>
      </w:r>
      <w:r w:rsidRPr="00A37652">
        <w:rPr>
          <w:rFonts w:ascii="宋体" w:hAnsi="宋体" w:hint="eastAsia"/>
          <w:sz w:val="24"/>
          <w:szCs w:val="24"/>
        </w:rPr>
        <w:t>战略性新兴产业</w:t>
      </w:r>
      <w:r w:rsidR="00D4525F" w:rsidRPr="00D4525F">
        <w:rPr>
          <w:rFonts w:ascii="宋体" w:hAnsi="宋体" w:hint="eastAsia"/>
          <w:sz w:val="24"/>
          <w:szCs w:val="24"/>
        </w:rPr>
        <w:t>降杠杆</w:t>
      </w:r>
      <w:r w:rsidRPr="00A37652">
        <w:rPr>
          <w:rFonts w:ascii="宋体" w:hAnsi="宋体" w:hint="eastAsia"/>
          <w:sz w:val="24"/>
          <w:szCs w:val="24"/>
        </w:rPr>
        <w:t>成效显著。</w:t>
      </w:r>
      <w:r>
        <w:rPr>
          <w:rFonts w:ascii="宋体" w:hAnsi="宋体" w:hint="eastAsia"/>
          <w:sz w:val="24"/>
          <w:szCs w:val="24"/>
        </w:rPr>
        <w:t>与此同时，</w:t>
      </w:r>
      <w:r w:rsidRPr="00A37652">
        <w:rPr>
          <w:rFonts w:ascii="宋体" w:hAnsi="宋体" w:hint="eastAsia"/>
          <w:sz w:val="24"/>
          <w:szCs w:val="24"/>
        </w:rPr>
        <w:t>战略性新兴产业上市公司的企业成本</w:t>
      </w:r>
      <w:r>
        <w:rPr>
          <w:rFonts w:ascii="宋体" w:hAnsi="宋体" w:hint="eastAsia"/>
          <w:sz w:val="24"/>
          <w:szCs w:val="24"/>
        </w:rPr>
        <w:t>控制</w:t>
      </w:r>
      <w:r w:rsidR="00D4525F">
        <w:rPr>
          <w:rFonts w:ascii="宋体" w:hAnsi="宋体" w:hint="eastAsia"/>
          <w:sz w:val="24"/>
          <w:szCs w:val="24"/>
        </w:rPr>
        <w:t>取得</w:t>
      </w:r>
      <w:r w:rsidR="00D4525F">
        <w:rPr>
          <w:rFonts w:ascii="宋体" w:hAnsi="宋体"/>
          <w:sz w:val="24"/>
          <w:szCs w:val="24"/>
        </w:rPr>
        <w:t>积极</w:t>
      </w:r>
      <w:r>
        <w:rPr>
          <w:rFonts w:ascii="宋体" w:hAnsi="宋体" w:hint="eastAsia"/>
          <w:sz w:val="24"/>
          <w:szCs w:val="24"/>
        </w:rPr>
        <w:t>成</w:t>
      </w:r>
      <w:r w:rsidR="00D4525F">
        <w:rPr>
          <w:rFonts w:ascii="宋体" w:hAnsi="宋体" w:hint="eastAsia"/>
          <w:sz w:val="24"/>
          <w:szCs w:val="24"/>
        </w:rPr>
        <w:t>效</w:t>
      </w:r>
      <w:r>
        <w:rPr>
          <w:rFonts w:ascii="宋体" w:hAnsi="宋体" w:hint="eastAsia"/>
          <w:sz w:val="24"/>
          <w:szCs w:val="24"/>
        </w:rPr>
        <w:t>，</w:t>
      </w:r>
      <w:r w:rsidRPr="00A37652">
        <w:rPr>
          <w:rFonts w:ascii="宋体" w:hAnsi="宋体" w:hint="eastAsia"/>
          <w:sz w:val="24"/>
          <w:szCs w:val="24"/>
        </w:rPr>
        <w:t>以“三费”为例，2015年战略性新兴产业的财务费用增速大幅下降，低于2014年13</w:t>
      </w:r>
      <w:r>
        <w:rPr>
          <w:rFonts w:ascii="宋体" w:hAnsi="宋体" w:hint="eastAsia"/>
          <w:sz w:val="24"/>
          <w:szCs w:val="24"/>
        </w:rPr>
        <w:t>个百分点，财务费用快速增长势头得到有效控制</w:t>
      </w:r>
      <w:r w:rsidRPr="00A37652">
        <w:rPr>
          <w:rFonts w:ascii="宋体" w:hAnsi="宋体" w:hint="eastAsia"/>
          <w:sz w:val="24"/>
          <w:szCs w:val="24"/>
        </w:rPr>
        <w:t>。同期，管理费用出现小幅回落，较2014年下降0.3个百分点。销售费用增速虽较2014年有小幅度回升，但不影响“三费”整体增速回落。“三费”增速放缓显示出战略性新兴产业“降成本”卓有成效。（见图</w:t>
      </w:r>
      <w:r w:rsidR="00C63149">
        <w:rPr>
          <w:rFonts w:ascii="宋体" w:hAnsi="宋体" w:hint="eastAsia"/>
          <w:sz w:val="24"/>
          <w:szCs w:val="24"/>
        </w:rPr>
        <w:t>5</w:t>
      </w:r>
      <w:r w:rsidRPr="00A37652">
        <w:rPr>
          <w:rFonts w:ascii="宋体" w:hAnsi="宋体" w:hint="eastAsia"/>
          <w:sz w:val="24"/>
          <w:szCs w:val="24"/>
        </w:rPr>
        <w:t>）</w:t>
      </w:r>
    </w:p>
    <w:p w:rsidR="00A04547" w:rsidRDefault="00A04547" w:rsidP="007E4D2C">
      <w:pPr>
        <w:spacing w:beforeLines="100" w:before="312" w:afterLines="50" w:after="156" w:line="588" w:lineRule="exact"/>
        <w:ind w:firstLineChars="200" w:firstLine="480"/>
        <w:rPr>
          <w:rFonts w:ascii="宋体" w:hAnsi="宋体"/>
          <w:sz w:val="24"/>
          <w:szCs w:val="24"/>
        </w:rPr>
      </w:pPr>
    </w:p>
    <w:p w:rsidR="007E4D2C" w:rsidRPr="00CF431F" w:rsidRDefault="00C63149" w:rsidP="007E4D2C">
      <w:pPr>
        <w:spacing w:beforeLines="100" w:before="312" w:afterLines="50" w:after="156" w:line="588" w:lineRule="exact"/>
        <w:ind w:firstLineChars="200" w:firstLine="602"/>
        <w:rPr>
          <w:rFonts w:ascii="仿宋_GB2312" w:eastAsia="仿宋_GB2312" w:hAnsi="黑体"/>
          <w:sz w:val="30"/>
          <w:szCs w:val="30"/>
        </w:rPr>
      </w:pPr>
      <w:r>
        <w:rPr>
          <w:rFonts w:ascii="仿宋_GB2312" w:eastAsia="仿宋_GB2312" w:hAnsi="黑体"/>
          <w:b/>
          <w:noProof/>
          <w:sz w:val="30"/>
          <w:szCs w:val="30"/>
        </w:rPr>
        <mc:AlternateContent>
          <mc:Choice Requires="wps">
            <w:drawing>
              <wp:anchor distT="0" distB="0" distL="114300" distR="114300" simplePos="0" relativeHeight="251747328" behindDoc="0" locked="0" layoutInCell="1" allowOverlap="1" wp14:anchorId="61B6E104" wp14:editId="3FE34AD1">
                <wp:simplePos x="0" y="0"/>
                <wp:positionH relativeFrom="column">
                  <wp:posOffset>4986020</wp:posOffset>
                </wp:positionH>
                <wp:positionV relativeFrom="paragraph">
                  <wp:posOffset>12065</wp:posOffset>
                </wp:positionV>
                <wp:extent cx="371475" cy="466725"/>
                <wp:effectExtent l="0" t="0" r="66675" b="47625"/>
                <wp:wrapNone/>
                <wp:docPr id="36" name="直接箭头连接符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1475" cy="466725"/>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AA7BEEC" id="_x0000_t32" coordsize="21600,21600" o:spt="32" o:oned="t" path="m,l21600,21600e" filled="f">
                <v:path arrowok="t" fillok="f" o:connecttype="none"/>
                <o:lock v:ext="edit" shapetype="t"/>
              </v:shapetype>
              <v:shape id="直接箭头连接符 34" o:spid="_x0000_s1026" type="#_x0000_t32" style="position:absolute;left:0;text-align:left;margin-left:392.6pt;margin-top:.95pt;width:29.25pt;height:36.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" strokecolor="#c00000">
                <v:stroke endarrow="block"/>
                <o:lock v:ext="edit" shapetype="f"/>
              </v:shape>
            </w:pict>
          </mc:Fallback>
        </mc:AlternateContent>
      </w:r>
      <w:r>
        <w:rPr>
          <w:rFonts w:ascii="仿宋_GB2312" w:eastAsia="仿宋_GB2312" w:hAnsi="黑体"/>
          <w:noProof/>
          <w:sz w:val="30"/>
          <w:szCs w:val="30"/>
        </w:rPr>
        <w:drawing>
          <wp:anchor distT="0" distB="0" distL="114300" distR="114300" simplePos="0" relativeHeight="251653632" behindDoc="0" locked="0" layoutInCell="1" allowOverlap="1" wp14:anchorId="0DBA1124" wp14:editId="3630440E">
            <wp:simplePos x="0" y="0"/>
            <wp:positionH relativeFrom="column">
              <wp:posOffset>4014470</wp:posOffset>
            </wp:positionH>
            <wp:positionV relativeFrom="paragraph">
              <wp:posOffset>10160</wp:posOffset>
            </wp:positionV>
            <wp:extent cx="1762125" cy="1419225"/>
            <wp:effectExtent l="0" t="0" r="0" b="0"/>
            <wp:wrapNone/>
            <wp:docPr id="24" name="图表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rFonts w:ascii="仿宋_GB2312" w:eastAsia="仿宋_GB2312" w:hAnsi="黑体"/>
          <w:noProof/>
          <w:sz w:val="30"/>
          <w:szCs w:val="30"/>
        </w:rPr>
        <w:drawing>
          <wp:anchor distT="0" distB="0" distL="114300" distR="114300" simplePos="0" relativeHeight="251652608" behindDoc="0" locked="0" layoutInCell="1" allowOverlap="1" wp14:anchorId="74AFACD7" wp14:editId="1286B98E">
            <wp:simplePos x="0" y="0"/>
            <wp:positionH relativeFrom="column">
              <wp:posOffset>1985645</wp:posOffset>
            </wp:positionH>
            <wp:positionV relativeFrom="paragraph">
              <wp:posOffset>-94615</wp:posOffset>
            </wp:positionV>
            <wp:extent cx="1819275" cy="1571625"/>
            <wp:effectExtent l="0" t="0" r="0" b="0"/>
            <wp:wrapNone/>
            <wp:docPr id="21"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rFonts w:ascii="仿宋_GB2312" w:eastAsia="仿宋_GB2312" w:hAnsi="黑体"/>
          <w:noProof/>
          <w:sz w:val="30"/>
          <w:szCs w:val="30"/>
        </w:rPr>
        <w:drawing>
          <wp:anchor distT="0" distB="0" distL="114300" distR="114300" simplePos="0" relativeHeight="251651584" behindDoc="0" locked="0" layoutInCell="1" allowOverlap="1" wp14:anchorId="55894364" wp14:editId="0DEB461F">
            <wp:simplePos x="0" y="0"/>
            <wp:positionH relativeFrom="column">
              <wp:posOffset>-52705</wp:posOffset>
            </wp:positionH>
            <wp:positionV relativeFrom="paragraph">
              <wp:posOffset>-37465</wp:posOffset>
            </wp:positionV>
            <wp:extent cx="1905000" cy="1457325"/>
            <wp:effectExtent l="0" t="0" r="0" b="0"/>
            <wp:wrapNone/>
            <wp:docPr id="15"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8777ED" w:rsidRDefault="008777ED" w:rsidP="008777ED">
      <w:pPr>
        <w:spacing w:beforeLines="100" w:before="312" w:afterLines="50" w:after="156" w:line="588" w:lineRule="exact"/>
        <w:rPr>
          <w:rFonts w:ascii="仿宋_GB2312" w:eastAsia="仿宋_GB2312" w:hAnsi="黑体"/>
          <w:b/>
          <w:sz w:val="30"/>
          <w:szCs w:val="30"/>
        </w:rPr>
      </w:pPr>
    </w:p>
    <w:p w:rsidR="008777ED" w:rsidRDefault="00C63149" w:rsidP="008777ED">
      <w:pPr>
        <w:spacing w:beforeLines="100" w:before="312" w:afterLines="50" w:after="156" w:line="588" w:lineRule="exact"/>
        <w:rPr>
          <w:rFonts w:ascii="仿宋_GB2312" w:eastAsia="仿宋_GB2312" w:hAnsi="黑体"/>
          <w:b/>
          <w:sz w:val="30"/>
          <w:szCs w:val="30"/>
        </w:rPr>
      </w:pPr>
      <w:r>
        <w:rPr>
          <w:rFonts w:ascii="仿宋" w:eastAsia="仿宋" w:hAnsi="仿宋"/>
          <w:noProof/>
          <w:color w:val="FF0000"/>
          <w:sz w:val="30"/>
          <w:szCs w:val="30"/>
        </w:rPr>
        <mc:AlternateContent>
          <mc:Choice Requires="wps">
            <w:drawing>
              <wp:anchor distT="0" distB="0" distL="114300" distR="114300" simplePos="0" relativeHeight="251728896" behindDoc="0" locked="0" layoutInCell="1" allowOverlap="1" wp14:anchorId="15EDD13B" wp14:editId="5F80803A">
                <wp:simplePos x="0" y="0"/>
                <wp:positionH relativeFrom="column">
                  <wp:posOffset>385445</wp:posOffset>
                </wp:positionH>
                <wp:positionV relativeFrom="paragraph">
                  <wp:posOffset>400685</wp:posOffset>
                </wp:positionV>
                <wp:extent cx="4972050" cy="266700"/>
                <wp:effectExtent l="0" t="0" r="0" b="0"/>
                <wp:wrapNone/>
                <wp:docPr id="35"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73E6" w:rsidRPr="00F11A1B" w:rsidRDefault="004673E6" w:rsidP="008777ED">
                            <w:pPr>
                              <w:jc w:val="center"/>
                              <w:rPr>
                                <w:b/>
                              </w:rPr>
                            </w:pPr>
                            <w:r w:rsidRPr="00F11A1B">
                              <w:rPr>
                                <w:rFonts w:hint="eastAsia"/>
                                <w:b/>
                              </w:rPr>
                              <w:t>图</w:t>
                            </w:r>
                            <w:r>
                              <w:rPr>
                                <w:b/>
                              </w:rPr>
                              <w:t xml:space="preserve">5 </w:t>
                            </w:r>
                            <w:r>
                              <w:rPr>
                                <w:rFonts w:hint="eastAsia"/>
                                <w:b/>
                              </w:rPr>
                              <w:t xml:space="preserve"> </w:t>
                            </w:r>
                            <w:r>
                              <w:rPr>
                                <w:b/>
                              </w:rPr>
                              <w:t>2013-2015</w:t>
                            </w:r>
                            <w:r>
                              <w:rPr>
                                <w:b/>
                              </w:rPr>
                              <w:t>年</w:t>
                            </w:r>
                            <w:r w:rsidRPr="00AF5D38">
                              <w:rPr>
                                <w:rFonts w:hint="eastAsia"/>
                                <w:b/>
                              </w:rPr>
                              <w:t>战略性新兴产业上市公司</w:t>
                            </w:r>
                            <w:r>
                              <w:rPr>
                                <w:rFonts w:hint="eastAsia"/>
                                <w:b/>
                              </w:rPr>
                              <w:t>“三费”增速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本框 20" o:spid="_x0000_s1030" type="#_x0000_t202" style="position:absolute;left:0;text-align:left;margin-left:30.35pt;margin-top:31.55pt;width:391.5pt;height:2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" stroked="f">
                <v:textbox>
                  <w:txbxContent>
                    <w:p w:rsidR="004673E6" w:rsidRPr="00F11A1B" w:rsidRDefault="004673E6" w:rsidP="008777ED">
                      <w:pPr>
                        <w:jc w:val="center"/>
                        <w:rPr>
                          <w:b/>
                        </w:rPr>
                      </w:pPr>
                      <w:r w:rsidRPr="00F11A1B">
                        <w:rPr>
                          <w:rFonts w:hint="eastAsia"/>
                          <w:b/>
                        </w:rPr>
                        <w:t>图</w:t>
                      </w:r>
                      <w:r>
                        <w:rPr>
                          <w:b/>
                        </w:rPr>
                        <w:t xml:space="preserve">5 </w:t>
                      </w:r>
                      <w:r>
                        <w:rPr>
                          <w:rFonts w:hint="eastAsia"/>
                          <w:b/>
                        </w:rPr>
                        <w:t xml:space="preserve"> </w:t>
                      </w:r>
                      <w:r>
                        <w:rPr>
                          <w:b/>
                        </w:rPr>
                        <w:t>2013-2015</w:t>
                      </w:r>
                      <w:r>
                        <w:rPr>
                          <w:b/>
                        </w:rPr>
                        <w:t>年</w:t>
                      </w:r>
                      <w:r w:rsidRPr="00AF5D38">
                        <w:rPr>
                          <w:rFonts w:hint="eastAsia"/>
                          <w:b/>
                        </w:rPr>
                        <w:t>战略性新兴产业上市公司</w:t>
                      </w:r>
                      <w:r>
                        <w:rPr>
                          <w:rFonts w:hint="eastAsia"/>
                          <w:b/>
                        </w:rPr>
                        <w:t>“三费”增速</w:t>
                      </w:r>
                    </w:p>
                  </w:txbxContent>
                </v:textbox>
              </v:shape>
            </w:pict>
          </mc:Fallback>
        </mc:AlternateContent>
      </w:r>
    </w:p>
    <w:p w:rsidR="00AA0920" w:rsidRDefault="008777ED" w:rsidP="00AA0920">
      <w:pPr>
        <w:spacing w:beforeLines="100" w:before="312" w:line="360" w:lineRule="auto"/>
        <w:rPr>
          <w:rFonts w:ascii="仿宋_GB2312" w:eastAsia="仿宋_GB2312" w:hAnsi="黑体"/>
          <w:b/>
          <w:sz w:val="30"/>
          <w:szCs w:val="30"/>
        </w:rPr>
      </w:pPr>
      <w:r>
        <w:rPr>
          <w:rFonts w:ascii="仿宋_GB2312" w:eastAsia="仿宋_GB2312" w:hAnsi="黑体" w:hint="eastAsia"/>
          <w:b/>
          <w:sz w:val="30"/>
          <w:szCs w:val="30"/>
        </w:rPr>
        <w:lastRenderedPageBreak/>
        <w:t xml:space="preserve">    </w:t>
      </w:r>
    </w:p>
    <w:p w:rsidR="008777ED" w:rsidRPr="00E97293" w:rsidRDefault="008777ED" w:rsidP="008777ED">
      <w:pPr>
        <w:spacing w:beforeLines="100" w:before="312" w:afterLines="50" w:after="156" w:line="360" w:lineRule="auto"/>
        <w:rPr>
          <w:rFonts w:ascii="黑体" w:eastAsia="黑体" w:hAnsi="黑体"/>
          <w:b/>
          <w:sz w:val="28"/>
          <w:szCs w:val="28"/>
        </w:rPr>
      </w:pPr>
      <w:r>
        <w:rPr>
          <w:rFonts w:ascii="黑体" w:eastAsia="黑体" w:hAnsi="黑体" w:hint="eastAsia"/>
          <w:b/>
          <w:sz w:val="28"/>
          <w:szCs w:val="28"/>
        </w:rPr>
        <w:t>（</w:t>
      </w:r>
      <w:r w:rsidR="00B74093">
        <w:rPr>
          <w:rFonts w:ascii="黑体" w:eastAsia="黑体" w:hAnsi="黑体" w:hint="eastAsia"/>
          <w:b/>
          <w:sz w:val="28"/>
          <w:szCs w:val="28"/>
        </w:rPr>
        <w:t>六</w:t>
      </w:r>
      <w:r>
        <w:rPr>
          <w:rFonts w:ascii="黑体" w:eastAsia="黑体" w:hAnsi="黑体" w:hint="eastAsia"/>
          <w:b/>
          <w:sz w:val="28"/>
          <w:szCs w:val="28"/>
        </w:rPr>
        <w:t>）估值整体实现大幅</w:t>
      </w:r>
      <w:r w:rsidRPr="00E97293">
        <w:rPr>
          <w:rFonts w:ascii="黑体" w:eastAsia="黑体" w:hAnsi="黑体" w:hint="eastAsia"/>
          <w:b/>
          <w:sz w:val="28"/>
          <w:szCs w:val="28"/>
        </w:rPr>
        <w:t>提升</w:t>
      </w:r>
    </w:p>
    <w:p w:rsidR="008777ED" w:rsidRDefault="008777ED" w:rsidP="008777ED">
      <w:pPr>
        <w:spacing w:beforeLines="100" w:before="312" w:afterLines="50" w:after="156" w:line="588" w:lineRule="exact"/>
        <w:ind w:firstLineChars="250" w:firstLine="600"/>
        <w:rPr>
          <w:rFonts w:ascii="宋体" w:hAnsi="宋体"/>
          <w:sz w:val="24"/>
          <w:szCs w:val="24"/>
        </w:rPr>
      </w:pPr>
      <w:r w:rsidRPr="00A37652">
        <w:rPr>
          <w:rFonts w:ascii="宋体" w:hAnsi="宋体" w:hint="eastAsia"/>
          <w:sz w:val="24"/>
          <w:szCs w:val="24"/>
        </w:rPr>
        <w:t>2015年，</w:t>
      </w:r>
      <w:r w:rsidR="00CF4296">
        <w:rPr>
          <w:rFonts w:ascii="宋体" w:hAnsi="宋体" w:hint="eastAsia"/>
          <w:sz w:val="24"/>
          <w:szCs w:val="24"/>
        </w:rPr>
        <w:t>虽然证券</w:t>
      </w:r>
      <w:r w:rsidR="00CF4296">
        <w:rPr>
          <w:rFonts w:ascii="宋体" w:hAnsi="宋体"/>
          <w:sz w:val="24"/>
          <w:szCs w:val="24"/>
        </w:rPr>
        <w:t>市场经历大起大落</w:t>
      </w:r>
      <w:r w:rsidRPr="00A37652">
        <w:rPr>
          <w:rFonts w:ascii="宋体" w:hAnsi="宋体" w:hint="eastAsia"/>
          <w:sz w:val="24"/>
          <w:szCs w:val="24"/>
        </w:rPr>
        <w:t>，</w:t>
      </w:r>
      <w:r w:rsidR="00CF4296">
        <w:rPr>
          <w:rFonts w:ascii="宋体" w:hAnsi="宋体" w:hint="eastAsia"/>
          <w:sz w:val="24"/>
          <w:szCs w:val="24"/>
        </w:rPr>
        <w:t>但</w:t>
      </w:r>
      <w:r w:rsidRPr="00A37652">
        <w:rPr>
          <w:rFonts w:ascii="宋体" w:hAnsi="宋体" w:hint="eastAsia"/>
          <w:sz w:val="24"/>
          <w:szCs w:val="24"/>
        </w:rPr>
        <w:t>战略性新兴产业上市公司股价全年涨幅</w:t>
      </w:r>
      <w:r w:rsidR="00CF4296">
        <w:rPr>
          <w:rFonts w:ascii="宋体" w:hAnsi="宋体" w:hint="eastAsia"/>
          <w:sz w:val="24"/>
          <w:szCs w:val="24"/>
        </w:rPr>
        <w:t>依然</w:t>
      </w:r>
      <w:r w:rsidRPr="00A37652">
        <w:rPr>
          <w:rFonts w:ascii="宋体" w:hAnsi="宋体" w:hint="eastAsia"/>
          <w:sz w:val="24"/>
          <w:szCs w:val="24"/>
        </w:rPr>
        <w:t>达</w:t>
      </w:r>
      <w:r w:rsidR="00CF4296">
        <w:rPr>
          <w:rFonts w:ascii="宋体" w:hAnsi="宋体" w:hint="eastAsia"/>
          <w:sz w:val="24"/>
          <w:szCs w:val="24"/>
        </w:rPr>
        <w:t>到</w:t>
      </w:r>
      <w:r w:rsidRPr="00A37652">
        <w:rPr>
          <w:rFonts w:ascii="宋体" w:hAnsi="宋体" w:hint="eastAsia"/>
          <w:sz w:val="24"/>
          <w:szCs w:val="24"/>
        </w:rPr>
        <w:t>63.88%（总市值加权平均），连续第三年涨幅超过30%</w:t>
      </w:r>
      <w:r w:rsidR="00CF4296">
        <w:rPr>
          <w:rFonts w:ascii="宋体" w:hAnsi="宋体" w:hint="eastAsia"/>
          <w:sz w:val="24"/>
          <w:szCs w:val="24"/>
        </w:rPr>
        <w:t>。</w:t>
      </w:r>
      <w:r>
        <w:rPr>
          <w:rFonts w:ascii="宋体" w:hAnsi="宋体" w:hint="eastAsia"/>
          <w:sz w:val="24"/>
          <w:szCs w:val="24"/>
        </w:rPr>
        <w:t>2015年年末，</w:t>
      </w:r>
      <w:r w:rsidRPr="00A37652">
        <w:rPr>
          <w:rFonts w:ascii="宋体" w:hAnsi="宋体" w:hint="eastAsia"/>
          <w:sz w:val="24"/>
          <w:szCs w:val="24"/>
        </w:rPr>
        <w:t>战略性新兴产业上市公司</w:t>
      </w:r>
      <w:r w:rsidRPr="00083662">
        <w:rPr>
          <w:rFonts w:ascii="宋体" w:hAnsi="宋体" w:hint="eastAsia"/>
          <w:sz w:val="24"/>
          <w:szCs w:val="24"/>
        </w:rPr>
        <w:t>总市值占上市公司总市值的比重达到了29%</w:t>
      </w:r>
      <w:r>
        <w:rPr>
          <w:rFonts w:ascii="宋体" w:hAnsi="宋体" w:hint="eastAsia"/>
          <w:sz w:val="24"/>
          <w:szCs w:val="24"/>
        </w:rPr>
        <w:t>，</w:t>
      </w:r>
      <w:r w:rsidRPr="00A37652">
        <w:rPr>
          <w:rFonts w:ascii="宋体" w:hAnsi="宋体" w:hint="eastAsia"/>
          <w:sz w:val="24"/>
          <w:szCs w:val="24"/>
        </w:rPr>
        <w:t>市盈率达69.9，是上市公司总体市盈率的3倍，</w:t>
      </w:r>
      <w:r>
        <w:rPr>
          <w:rFonts w:ascii="宋体" w:hAnsi="宋体" w:hint="eastAsia"/>
          <w:sz w:val="24"/>
          <w:szCs w:val="24"/>
        </w:rPr>
        <w:t>估值高于市场整体水平</w:t>
      </w:r>
      <w:r w:rsidRPr="00083662">
        <w:rPr>
          <w:rFonts w:ascii="宋体" w:hAnsi="宋体" w:hint="eastAsia"/>
          <w:sz w:val="24"/>
          <w:szCs w:val="24"/>
        </w:rPr>
        <w:t>。</w:t>
      </w:r>
      <w:r w:rsidRPr="00A37652">
        <w:rPr>
          <w:rFonts w:ascii="宋体" w:hAnsi="宋体" w:hint="eastAsia"/>
          <w:sz w:val="24"/>
          <w:szCs w:val="24"/>
        </w:rPr>
        <w:t>从</w:t>
      </w:r>
      <w:r>
        <w:rPr>
          <w:rFonts w:ascii="宋体" w:hAnsi="宋体" w:hint="eastAsia"/>
          <w:sz w:val="24"/>
          <w:szCs w:val="24"/>
        </w:rPr>
        <w:t>重点领域</w:t>
      </w:r>
      <w:r w:rsidRPr="00A37652">
        <w:rPr>
          <w:rFonts w:ascii="宋体" w:hAnsi="宋体" w:hint="eastAsia"/>
          <w:sz w:val="24"/>
          <w:szCs w:val="24"/>
        </w:rPr>
        <w:t>来看，2015</w:t>
      </w:r>
      <w:r>
        <w:rPr>
          <w:rFonts w:ascii="宋体" w:hAnsi="宋体" w:hint="eastAsia"/>
          <w:sz w:val="24"/>
          <w:szCs w:val="24"/>
        </w:rPr>
        <w:t>年</w:t>
      </w:r>
      <w:r w:rsidRPr="00A37652">
        <w:rPr>
          <w:rFonts w:ascii="宋体" w:hAnsi="宋体" w:hint="eastAsia"/>
          <w:sz w:val="24"/>
          <w:szCs w:val="24"/>
        </w:rPr>
        <w:t>，新一代信息技术和高端装备制造业的股价继续领涨战略性新兴产业上市公司</w:t>
      </w:r>
      <w:r>
        <w:rPr>
          <w:rFonts w:ascii="宋体" w:hAnsi="宋体" w:hint="eastAsia"/>
          <w:sz w:val="24"/>
          <w:szCs w:val="24"/>
        </w:rPr>
        <w:t>整体</w:t>
      </w:r>
      <w:r w:rsidRPr="00A37652">
        <w:rPr>
          <w:rFonts w:ascii="宋体" w:hAnsi="宋体" w:hint="eastAsia"/>
          <w:sz w:val="24"/>
          <w:szCs w:val="24"/>
        </w:rPr>
        <w:t>。伴随着“互联网+”的热潮，新一代信息技术产业以132.5%</w:t>
      </w:r>
      <w:r>
        <w:rPr>
          <w:rFonts w:ascii="宋体" w:hAnsi="宋体" w:hint="eastAsia"/>
          <w:sz w:val="24"/>
          <w:szCs w:val="24"/>
        </w:rPr>
        <w:t>的</w:t>
      </w:r>
      <w:r w:rsidRPr="00A37652">
        <w:rPr>
          <w:rFonts w:ascii="宋体" w:hAnsi="宋体" w:hint="eastAsia"/>
          <w:sz w:val="24"/>
          <w:szCs w:val="24"/>
        </w:rPr>
        <w:t>股价涨幅位居第一，</w:t>
      </w:r>
      <w:r>
        <w:rPr>
          <w:rFonts w:ascii="宋体" w:hAnsi="宋体" w:hint="eastAsia"/>
          <w:sz w:val="24"/>
          <w:szCs w:val="24"/>
        </w:rPr>
        <w:t>其中</w:t>
      </w:r>
      <w:r w:rsidRPr="00A37652">
        <w:rPr>
          <w:rFonts w:ascii="宋体" w:hAnsi="宋体" w:hint="eastAsia"/>
          <w:sz w:val="24"/>
          <w:szCs w:val="24"/>
        </w:rPr>
        <w:t>高端软件和新兴信息服务、电子核心基础、下一代信息网络</w:t>
      </w:r>
      <w:r>
        <w:rPr>
          <w:rFonts w:ascii="宋体" w:hAnsi="宋体" w:hint="eastAsia"/>
          <w:sz w:val="24"/>
          <w:szCs w:val="24"/>
        </w:rPr>
        <w:t>三大领域股价涨幅均位居前列</w:t>
      </w:r>
      <w:r w:rsidRPr="00A37652">
        <w:rPr>
          <w:rFonts w:ascii="宋体" w:hAnsi="宋体" w:hint="eastAsia"/>
          <w:sz w:val="24"/>
          <w:szCs w:val="24"/>
        </w:rPr>
        <w:t>；</w:t>
      </w:r>
      <w:r w:rsidR="00B74093" w:rsidRPr="00A37652">
        <w:rPr>
          <w:rFonts w:ascii="宋体" w:hAnsi="宋体" w:hint="eastAsia"/>
          <w:sz w:val="24"/>
          <w:szCs w:val="24"/>
        </w:rPr>
        <w:t>高端装备</w:t>
      </w:r>
      <w:r w:rsidR="00B74093">
        <w:rPr>
          <w:rFonts w:ascii="宋体" w:hAnsi="宋体" w:hint="eastAsia"/>
          <w:sz w:val="24"/>
          <w:szCs w:val="24"/>
        </w:rPr>
        <w:t>制造业</w:t>
      </w:r>
      <w:r w:rsidRPr="00A37652">
        <w:rPr>
          <w:rFonts w:ascii="宋体" w:hAnsi="宋体" w:hint="eastAsia"/>
          <w:sz w:val="24"/>
          <w:szCs w:val="24"/>
        </w:rPr>
        <w:t>在智能制造、轨道交通装备和卫星</w:t>
      </w:r>
      <w:r>
        <w:rPr>
          <w:rFonts w:ascii="宋体" w:hAnsi="宋体" w:hint="eastAsia"/>
          <w:sz w:val="24"/>
          <w:szCs w:val="24"/>
        </w:rPr>
        <w:t>等</w:t>
      </w:r>
      <w:r w:rsidRPr="00A37652">
        <w:rPr>
          <w:rFonts w:ascii="宋体" w:hAnsi="宋体" w:hint="eastAsia"/>
          <w:sz w:val="24"/>
          <w:szCs w:val="24"/>
        </w:rPr>
        <w:t>领域股价大幅上涨带动下，</w:t>
      </w:r>
      <w:r w:rsidR="00B74093">
        <w:rPr>
          <w:rFonts w:ascii="宋体" w:hAnsi="宋体" w:hint="eastAsia"/>
          <w:sz w:val="24"/>
          <w:szCs w:val="24"/>
        </w:rPr>
        <w:t>股价</w:t>
      </w:r>
      <w:r w:rsidRPr="00A37652">
        <w:rPr>
          <w:rFonts w:ascii="宋体" w:hAnsi="宋体" w:hint="eastAsia"/>
          <w:sz w:val="24"/>
          <w:szCs w:val="24"/>
        </w:rPr>
        <w:t>以119.9%的涨幅位列七大领域中第二位（见图</w:t>
      </w:r>
      <w:r w:rsidR="00B37F3B">
        <w:rPr>
          <w:rFonts w:ascii="宋体" w:hAnsi="宋体"/>
          <w:sz w:val="24"/>
          <w:szCs w:val="24"/>
        </w:rPr>
        <w:t>8</w:t>
      </w:r>
      <w:r>
        <w:rPr>
          <w:rFonts w:ascii="宋体" w:hAnsi="宋体" w:hint="eastAsia"/>
          <w:sz w:val="24"/>
          <w:szCs w:val="24"/>
        </w:rPr>
        <w:t>、图</w:t>
      </w:r>
      <w:r w:rsidR="00B37F3B">
        <w:rPr>
          <w:rFonts w:ascii="宋体" w:hAnsi="宋体"/>
          <w:sz w:val="24"/>
          <w:szCs w:val="24"/>
        </w:rPr>
        <w:t>9</w:t>
      </w:r>
      <w:r w:rsidR="00A00D65">
        <w:rPr>
          <w:rFonts w:ascii="宋体" w:hAnsi="宋体" w:hint="eastAsia"/>
          <w:sz w:val="24"/>
          <w:szCs w:val="24"/>
        </w:rPr>
        <w:t>）</w:t>
      </w:r>
      <w:r w:rsidRPr="00A37652">
        <w:rPr>
          <w:rFonts w:ascii="宋体" w:hAnsi="宋体" w:hint="eastAsia"/>
          <w:sz w:val="24"/>
          <w:szCs w:val="24"/>
        </w:rPr>
        <w:t>。</w:t>
      </w:r>
    </w:p>
    <w:p w:rsidR="00B74093" w:rsidRDefault="00B74093" w:rsidP="00B74093">
      <w:pPr>
        <w:spacing w:beforeLines="100" w:before="312" w:afterLines="50" w:after="156" w:line="588" w:lineRule="exact"/>
        <w:ind w:firstLineChars="250" w:firstLine="750"/>
        <w:rPr>
          <w:rFonts w:ascii="仿宋_GB2312" w:eastAsia="仿宋_GB2312" w:hAnsi="宋体"/>
          <w:sz w:val="30"/>
          <w:szCs w:val="30"/>
        </w:rPr>
      </w:pPr>
    </w:p>
    <w:p w:rsidR="008777ED" w:rsidRDefault="008777ED" w:rsidP="008777ED">
      <w:pPr>
        <w:spacing w:beforeLines="100" w:before="312" w:afterLines="50" w:after="156" w:line="588" w:lineRule="exact"/>
        <w:rPr>
          <w:rFonts w:ascii="仿宋_GB2312" w:eastAsia="仿宋_GB2312" w:hAnsi="宋体"/>
          <w:b/>
          <w:sz w:val="30"/>
          <w:szCs w:val="30"/>
        </w:rPr>
      </w:pPr>
    </w:p>
    <w:p w:rsidR="008777ED" w:rsidRDefault="00B74093" w:rsidP="008777ED">
      <w:pPr>
        <w:spacing w:beforeLines="100" w:before="312" w:afterLines="50" w:after="156" w:line="588" w:lineRule="exact"/>
        <w:rPr>
          <w:rFonts w:ascii="仿宋_GB2312" w:eastAsia="仿宋_GB2312" w:hAnsi="宋体"/>
          <w:b/>
          <w:sz w:val="30"/>
          <w:szCs w:val="30"/>
        </w:rPr>
      </w:pPr>
      <w:r>
        <w:rPr>
          <w:rFonts w:ascii="Arial" w:eastAsia="黑体" w:hAnsi="Arial" w:cs="Arial"/>
          <w:b/>
          <w:noProof/>
          <w:color w:val="BFBFBF" w:themeColor="background1" w:themeShade="BF"/>
          <w:sz w:val="28"/>
          <w:szCs w:val="28"/>
        </w:rPr>
        <w:drawing>
          <wp:anchor distT="0" distB="0" distL="114300" distR="114300" simplePos="0" relativeHeight="251737088" behindDoc="0" locked="0" layoutInCell="1" allowOverlap="1" wp14:anchorId="5FC408F6" wp14:editId="7E98A1AD">
            <wp:simplePos x="0" y="0"/>
            <wp:positionH relativeFrom="column">
              <wp:posOffset>147320</wp:posOffset>
            </wp:positionH>
            <wp:positionV relativeFrom="paragraph">
              <wp:posOffset>-563245</wp:posOffset>
            </wp:positionV>
            <wp:extent cx="2847975" cy="3362325"/>
            <wp:effectExtent l="0" t="0" r="0" b="0"/>
            <wp:wrapNone/>
            <wp:docPr id="18"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8777ED" w:rsidRDefault="00B74093" w:rsidP="008777ED">
      <w:pPr>
        <w:spacing w:beforeLines="100" w:before="312" w:afterLines="50" w:after="156" w:line="588" w:lineRule="exact"/>
        <w:rPr>
          <w:rFonts w:ascii="仿宋_GB2312" w:eastAsia="仿宋_GB2312" w:hAnsi="宋体"/>
          <w:b/>
          <w:sz w:val="30"/>
          <w:szCs w:val="30"/>
        </w:rPr>
      </w:pPr>
      <w:r w:rsidRPr="00FA70DE">
        <w:rPr>
          <w:rFonts w:ascii="Arial" w:eastAsia="黑体" w:hAnsi="Arial" w:cs="Arial"/>
          <w:b/>
          <w:noProof/>
          <w:color w:val="BFBFBF" w:themeColor="background1" w:themeShade="BF"/>
          <w:sz w:val="28"/>
          <w:szCs w:val="28"/>
        </w:rPr>
        <w:drawing>
          <wp:anchor distT="0" distB="0" distL="114300" distR="114300" simplePos="0" relativeHeight="251738112" behindDoc="0" locked="0" layoutInCell="1" allowOverlap="1" wp14:anchorId="407F61A9" wp14:editId="71D254F4">
            <wp:simplePos x="0" y="0"/>
            <wp:positionH relativeFrom="column">
              <wp:posOffset>2804795</wp:posOffset>
            </wp:positionH>
            <wp:positionV relativeFrom="paragraph">
              <wp:posOffset>-902970</wp:posOffset>
            </wp:positionV>
            <wp:extent cx="3235325" cy="3039745"/>
            <wp:effectExtent l="0" t="0" r="0" b="0"/>
            <wp:wrapNone/>
            <wp:docPr id="20"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8777ED" w:rsidRDefault="008777ED" w:rsidP="008777ED">
      <w:pPr>
        <w:spacing w:beforeLines="100" w:before="312" w:afterLines="50" w:after="156" w:line="588" w:lineRule="exact"/>
        <w:rPr>
          <w:rFonts w:ascii="仿宋_GB2312" w:eastAsia="仿宋_GB2312" w:hAnsi="宋体"/>
          <w:b/>
          <w:sz w:val="30"/>
          <w:szCs w:val="30"/>
        </w:rPr>
      </w:pPr>
    </w:p>
    <w:p w:rsidR="008777ED" w:rsidRDefault="008777ED" w:rsidP="008777ED">
      <w:pPr>
        <w:spacing w:beforeLines="100" w:before="312" w:afterLines="50" w:after="156" w:line="588" w:lineRule="exact"/>
        <w:rPr>
          <w:rFonts w:ascii="仿宋_GB2312" w:eastAsia="仿宋_GB2312" w:hAnsi="宋体"/>
          <w:b/>
          <w:sz w:val="30"/>
          <w:szCs w:val="30"/>
        </w:rPr>
      </w:pPr>
    </w:p>
    <w:p w:rsidR="008777ED" w:rsidRDefault="006658E2" w:rsidP="008777ED">
      <w:pPr>
        <w:spacing w:beforeLines="100" w:before="312" w:afterLines="50" w:after="156" w:line="588" w:lineRule="exact"/>
        <w:rPr>
          <w:rFonts w:ascii="仿宋_GB2312" w:eastAsia="仿宋_GB2312" w:hAnsi="宋体"/>
          <w:b/>
          <w:sz w:val="30"/>
          <w:szCs w:val="30"/>
        </w:rPr>
      </w:pPr>
      <w:r>
        <w:rPr>
          <w:rFonts w:ascii="仿宋" w:eastAsia="仿宋" w:hAnsi="仿宋"/>
          <w:noProof/>
          <w:color w:val="FF0000"/>
          <w:sz w:val="30"/>
          <w:szCs w:val="30"/>
        </w:rPr>
        <mc:AlternateContent>
          <mc:Choice Requires="wps">
            <w:drawing>
              <wp:anchor distT="0" distB="0" distL="114300" distR="114300" simplePos="0" relativeHeight="251739136" behindDoc="0" locked="0" layoutInCell="1" allowOverlap="1" wp14:anchorId="2D11F633" wp14:editId="251EC930">
                <wp:simplePos x="0" y="0"/>
                <wp:positionH relativeFrom="column">
                  <wp:posOffset>3138170</wp:posOffset>
                </wp:positionH>
                <wp:positionV relativeFrom="paragraph">
                  <wp:posOffset>448310</wp:posOffset>
                </wp:positionV>
                <wp:extent cx="2638425" cy="542925"/>
                <wp:effectExtent l="0" t="0" r="9525" b="9525"/>
                <wp:wrapNone/>
                <wp:docPr id="28" name="文本框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73E6" w:rsidRPr="00F11A1B" w:rsidRDefault="004673E6" w:rsidP="008777ED">
                            <w:pPr>
                              <w:jc w:val="center"/>
                              <w:rPr>
                                <w:b/>
                              </w:rPr>
                            </w:pPr>
                            <w:r w:rsidRPr="00F11A1B">
                              <w:rPr>
                                <w:rFonts w:hint="eastAsia"/>
                                <w:b/>
                              </w:rPr>
                              <w:t>图</w:t>
                            </w:r>
                            <w:r>
                              <w:rPr>
                                <w:b/>
                              </w:rPr>
                              <w:t>9</w:t>
                            </w:r>
                            <w:r>
                              <w:rPr>
                                <w:rFonts w:hint="eastAsia"/>
                                <w:b/>
                              </w:rPr>
                              <w:t xml:space="preserve"> </w:t>
                            </w:r>
                            <w:r>
                              <w:rPr>
                                <w:b/>
                              </w:rPr>
                              <w:t xml:space="preserve"> </w:t>
                            </w:r>
                            <w:r w:rsidRPr="00290CC5">
                              <w:rPr>
                                <w:rFonts w:hint="eastAsia"/>
                                <w:b/>
                              </w:rPr>
                              <w:t>2015</w:t>
                            </w:r>
                            <w:r w:rsidRPr="00290CC5">
                              <w:rPr>
                                <w:rFonts w:hint="eastAsia"/>
                                <w:b/>
                              </w:rPr>
                              <w:t>年战略性新兴产业</w:t>
                            </w:r>
                            <w:r>
                              <w:rPr>
                                <w:rFonts w:hint="eastAsia"/>
                                <w:b/>
                              </w:rPr>
                              <w:t>主要</w:t>
                            </w:r>
                            <w:r>
                              <w:rPr>
                                <w:b/>
                              </w:rPr>
                              <w:t>细分领域</w:t>
                            </w:r>
                            <w:r w:rsidRPr="00290CC5">
                              <w:rPr>
                                <w:rFonts w:hint="eastAsia"/>
                                <w:b/>
                              </w:rPr>
                              <w:t>股价</w:t>
                            </w:r>
                            <w:r>
                              <w:rPr>
                                <w:rFonts w:hint="eastAsia"/>
                                <w:b/>
                              </w:rPr>
                              <w:t>涨幅前</w:t>
                            </w:r>
                            <w:r>
                              <w:rPr>
                                <w:b/>
                              </w:rPr>
                              <w:t>10</w:t>
                            </w:r>
                            <w:r>
                              <w:rPr>
                                <w:b/>
                              </w:rPr>
                              <w:t>位排名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本框 28" o:spid="_x0000_s1033" type="#_x0000_t202" style="position:absolute;left:0;text-align:left;margin-left:247.1pt;margin-top:35.3pt;width:207.75pt;height:42.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" stroked="f">
                <v:textbox>
                  <w:txbxContent>
                    <w:p w:rsidR="004673E6" w:rsidRPr="00F11A1B" w:rsidRDefault="004673E6" w:rsidP="008777ED">
                      <w:pPr>
                        <w:jc w:val="center"/>
                        <w:rPr>
                          <w:b/>
                        </w:rPr>
                      </w:pPr>
                      <w:r w:rsidRPr="00F11A1B">
                        <w:rPr>
                          <w:rFonts w:hint="eastAsia"/>
                          <w:b/>
                        </w:rPr>
                        <w:t>图</w:t>
                      </w:r>
                      <w:r>
                        <w:rPr>
                          <w:b/>
                        </w:rPr>
                        <w:t>9</w:t>
                      </w:r>
                      <w:r>
                        <w:rPr>
                          <w:rFonts w:hint="eastAsia"/>
                          <w:b/>
                        </w:rPr>
                        <w:t xml:space="preserve"> </w:t>
                      </w:r>
                      <w:r>
                        <w:rPr>
                          <w:b/>
                        </w:rPr>
                        <w:t xml:space="preserve"> </w:t>
                      </w:r>
                      <w:r w:rsidRPr="00290CC5">
                        <w:rPr>
                          <w:rFonts w:hint="eastAsia"/>
                          <w:b/>
                        </w:rPr>
                        <w:t>2015</w:t>
                      </w:r>
                      <w:r w:rsidRPr="00290CC5">
                        <w:rPr>
                          <w:rFonts w:hint="eastAsia"/>
                          <w:b/>
                        </w:rPr>
                        <w:t>年战略性新兴产业</w:t>
                      </w:r>
                      <w:r>
                        <w:rPr>
                          <w:rFonts w:hint="eastAsia"/>
                          <w:b/>
                        </w:rPr>
                        <w:t>主要</w:t>
                      </w:r>
                      <w:r>
                        <w:rPr>
                          <w:b/>
                        </w:rPr>
                        <w:t>细分领域</w:t>
                      </w:r>
                      <w:r w:rsidRPr="00290CC5">
                        <w:rPr>
                          <w:rFonts w:hint="eastAsia"/>
                          <w:b/>
                        </w:rPr>
                        <w:t>股价</w:t>
                      </w:r>
                      <w:r>
                        <w:rPr>
                          <w:rFonts w:hint="eastAsia"/>
                          <w:b/>
                        </w:rPr>
                        <w:t>涨幅前</w:t>
                      </w:r>
                      <w:r>
                        <w:rPr>
                          <w:b/>
                        </w:rPr>
                        <w:t>10</w:t>
                      </w:r>
                      <w:r>
                        <w:rPr>
                          <w:b/>
                        </w:rPr>
                        <w:t>位排名</w:t>
                      </w:r>
                    </w:p>
                  </w:txbxContent>
                </v:textbox>
              </v:shape>
            </w:pict>
          </mc:Fallback>
        </mc:AlternateContent>
      </w:r>
      <w:r>
        <w:rPr>
          <w:rFonts w:ascii="仿宋" w:eastAsia="仿宋" w:hAnsi="仿宋"/>
          <w:noProof/>
          <w:color w:val="FF0000"/>
          <w:sz w:val="30"/>
          <w:szCs w:val="30"/>
        </w:rPr>
        <mc:AlternateContent>
          <mc:Choice Requires="wps">
            <w:drawing>
              <wp:anchor distT="0" distB="0" distL="114300" distR="114300" simplePos="0" relativeHeight="251736064" behindDoc="0" locked="0" layoutInCell="1" allowOverlap="1" wp14:anchorId="2918F4EE" wp14:editId="3D7914AB">
                <wp:simplePos x="0" y="0"/>
                <wp:positionH relativeFrom="column">
                  <wp:posOffset>233045</wp:posOffset>
                </wp:positionH>
                <wp:positionV relativeFrom="paragraph">
                  <wp:posOffset>448310</wp:posOffset>
                </wp:positionV>
                <wp:extent cx="2638425" cy="542925"/>
                <wp:effectExtent l="0" t="0" r="9525" b="9525"/>
                <wp:wrapNone/>
                <wp:docPr id="27"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73E6" w:rsidRPr="00F11A1B" w:rsidRDefault="004673E6" w:rsidP="008777ED">
                            <w:pPr>
                              <w:jc w:val="center"/>
                              <w:rPr>
                                <w:b/>
                              </w:rPr>
                            </w:pPr>
                            <w:r w:rsidRPr="00F11A1B">
                              <w:rPr>
                                <w:rFonts w:hint="eastAsia"/>
                                <w:b/>
                              </w:rPr>
                              <w:t>图</w:t>
                            </w:r>
                            <w:r>
                              <w:rPr>
                                <w:b/>
                              </w:rPr>
                              <w:t>8</w:t>
                            </w:r>
                            <w:r>
                              <w:rPr>
                                <w:rFonts w:hint="eastAsia"/>
                                <w:b/>
                              </w:rPr>
                              <w:t xml:space="preserve">  </w:t>
                            </w:r>
                            <w:r w:rsidRPr="00290CC5">
                              <w:rPr>
                                <w:rFonts w:hint="eastAsia"/>
                                <w:b/>
                              </w:rPr>
                              <w:t>2015</w:t>
                            </w:r>
                            <w:r w:rsidRPr="00290CC5">
                              <w:rPr>
                                <w:rFonts w:hint="eastAsia"/>
                                <w:b/>
                              </w:rPr>
                              <w:t>年七大战略性新兴产业上市公司股价</w:t>
                            </w:r>
                            <w:r>
                              <w:rPr>
                                <w:rFonts w:hint="eastAsia"/>
                                <w:b/>
                              </w:rPr>
                              <w:t>平均涨幅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本框 8" o:spid="_x0000_s1034" type="#_x0000_t202" style="position:absolute;left:0;text-align:left;margin-left:18.35pt;margin-top:35.3pt;width:207.75pt;height:42.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" stroked="f">
                <v:textbox>
                  <w:txbxContent>
                    <w:p w:rsidR="004673E6" w:rsidRPr="00F11A1B" w:rsidRDefault="004673E6" w:rsidP="008777ED">
                      <w:pPr>
                        <w:jc w:val="center"/>
                        <w:rPr>
                          <w:b/>
                        </w:rPr>
                      </w:pPr>
                      <w:r w:rsidRPr="00F11A1B">
                        <w:rPr>
                          <w:rFonts w:hint="eastAsia"/>
                          <w:b/>
                        </w:rPr>
                        <w:t>图</w:t>
                      </w:r>
                      <w:r>
                        <w:rPr>
                          <w:b/>
                        </w:rPr>
                        <w:t>8</w:t>
                      </w:r>
                      <w:r>
                        <w:rPr>
                          <w:rFonts w:hint="eastAsia"/>
                          <w:b/>
                        </w:rPr>
                        <w:t xml:space="preserve">  </w:t>
                      </w:r>
                      <w:r w:rsidRPr="00290CC5">
                        <w:rPr>
                          <w:rFonts w:hint="eastAsia"/>
                          <w:b/>
                        </w:rPr>
                        <w:t>2015</w:t>
                      </w:r>
                      <w:r w:rsidRPr="00290CC5">
                        <w:rPr>
                          <w:rFonts w:hint="eastAsia"/>
                          <w:b/>
                        </w:rPr>
                        <w:t>年七大战略性新兴产业上市公司股价</w:t>
                      </w:r>
                      <w:r>
                        <w:rPr>
                          <w:rFonts w:hint="eastAsia"/>
                          <w:b/>
                        </w:rPr>
                        <w:t>平均涨幅</w:t>
                      </w:r>
                    </w:p>
                  </w:txbxContent>
                </v:textbox>
              </v:shape>
            </w:pict>
          </mc:Fallback>
        </mc:AlternateContent>
      </w:r>
    </w:p>
    <w:p w:rsidR="008777ED" w:rsidRPr="00E97293" w:rsidRDefault="008777ED" w:rsidP="008777ED">
      <w:pPr>
        <w:spacing w:beforeLines="100" w:before="312" w:afterLines="50" w:after="156" w:line="360" w:lineRule="auto"/>
        <w:rPr>
          <w:rFonts w:ascii="黑体" w:eastAsia="黑体" w:hAnsi="黑体"/>
          <w:b/>
          <w:sz w:val="28"/>
          <w:szCs w:val="28"/>
        </w:rPr>
      </w:pPr>
      <w:r w:rsidRPr="00E97293">
        <w:rPr>
          <w:rFonts w:ascii="黑体" w:eastAsia="黑体" w:hAnsi="黑体" w:hint="eastAsia"/>
          <w:b/>
          <w:sz w:val="28"/>
          <w:szCs w:val="28"/>
        </w:rPr>
        <w:lastRenderedPageBreak/>
        <w:t>（</w:t>
      </w:r>
      <w:r w:rsidR="00B74093">
        <w:rPr>
          <w:rFonts w:ascii="黑体" w:eastAsia="黑体" w:hAnsi="黑体" w:hint="eastAsia"/>
          <w:b/>
          <w:sz w:val="28"/>
          <w:szCs w:val="28"/>
        </w:rPr>
        <w:t>七</w:t>
      </w:r>
      <w:r w:rsidRPr="00E97293">
        <w:rPr>
          <w:rFonts w:ascii="黑体" w:eastAsia="黑体" w:hAnsi="黑体" w:hint="eastAsia"/>
          <w:b/>
          <w:sz w:val="28"/>
          <w:szCs w:val="28"/>
        </w:rPr>
        <w:t>）企业规模</w:t>
      </w:r>
      <w:r>
        <w:rPr>
          <w:rFonts w:ascii="黑体" w:eastAsia="黑体" w:hAnsi="黑体" w:hint="eastAsia"/>
          <w:b/>
          <w:sz w:val="28"/>
          <w:szCs w:val="28"/>
        </w:rPr>
        <w:t>维持快速增长</w:t>
      </w:r>
      <w:r w:rsidRPr="00E97293">
        <w:rPr>
          <w:rFonts w:ascii="黑体" w:eastAsia="黑体" w:hAnsi="黑体" w:hint="eastAsia"/>
          <w:b/>
          <w:sz w:val="28"/>
          <w:szCs w:val="28"/>
        </w:rPr>
        <w:t>，产业发展前景好</w:t>
      </w:r>
    </w:p>
    <w:p w:rsidR="008777ED" w:rsidRDefault="008777ED" w:rsidP="008777ED">
      <w:pPr>
        <w:spacing w:beforeLines="100" w:before="312" w:afterLines="50" w:after="156" w:line="588" w:lineRule="exact"/>
        <w:ind w:firstLineChars="250" w:firstLine="600"/>
        <w:rPr>
          <w:rFonts w:ascii="仿宋_GB2312" w:eastAsia="仿宋_GB2312" w:hAnsi="宋体"/>
          <w:sz w:val="30"/>
          <w:szCs w:val="30"/>
        </w:rPr>
      </w:pPr>
      <w:r w:rsidRPr="00A37652">
        <w:rPr>
          <w:rFonts w:ascii="宋体" w:hAnsi="宋体" w:hint="eastAsia"/>
          <w:sz w:val="24"/>
          <w:szCs w:val="24"/>
        </w:rPr>
        <w:t>2015年，战略性新兴产业上市公司的企业规模</w:t>
      </w:r>
      <w:r>
        <w:rPr>
          <w:rFonts w:ascii="宋体" w:hAnsi="宋体" w:hint="eastAsia"/>
          <w:sz w:val="24"/>
          <w:szCs w:val="24"/>
        </w:rPr>
        <w:t>继续快速增长</w:t>
      </w:r>
      <w:r w:rsidRPr="00A37652">
        <w:rPr>
          <w:rFonts w:ascii="宋体" w:hAnsi="宋体" w:hint="eastAsia"/>
          <w:sz w:val="24"/>
          <w:szCs w:val="24"/>
        </w:rPr>
        <w:t>，</w:t>
      </w:r>
      <w:r>
        <w:rPr>
          <w:rFonts w:ascii="宋体" w:hAnsi="宋体" w:hint="eastAsia"/>
          <w:sz w:val="24"/>
          <w:szCs w:val="24"/>
        </w:rPr>
        <w:t>并保持了良好的投资扩张趋势，</w:t>
      </w:r>
      <w:r w:rsidRPr="00A37652">
        <w:rPr>
          <w:rFonts w:ascii="宋体" w:hAnsi="宋体" w:hint="eastAsia"/>
          <w:sz w:val="24"/>
          <w:szCs w:val="24"/>
        </w:rPr>
        <w:t>产业</w:t>
      </w:r>
      <w:r>
        <w:rPr>
          <w:rFonts w:ascii="宋体" w:hAnsi="宋体" w:hint="eastAsia"/>
          <w:sz w:val="24"/>
          <w:szCs w:val="24"/>
        </w:rPr>
        <w:t>呈现</w:t>
      </w:r>
      <w:r w:rsidRPr="00A37652">
        <w:rPr>
          <w:rFonts w:ascii="宋体" w:hAnsi="宋体" w:hint="eastAsia"/>
          <w:sz w:val="24"/>
          <w:szCs w:val="24"/>
        </w:rPr>
        <w:t>良好的发展前景。2015年</w:t>
      </w:r>
      <w:r>
        <w:rPr>
          <w:rFonts w:ascii="宋体" w:hAnsi="宋体" w:hint="eastAsia"/>
          <w:sz w:val="24"/>
          <w:szCs w:val="24"/>
        </w:rPr>
        <w:t>年</w:t>
      </w:r>
      <w:r w:rsidRPr="00A37652">
        <w:rPr>
          <w:rFonts w:ascii="宋体" w:hAnsi="宋体" w:hint="eastAsia"/>
          <w:sz w:val="24"/>
          <w:szCs w:val="24"/>
        </w:rPr>
        <w:t>末</w:t>
      </w:r>
      <w:r>
        <w:rPr>
          <w:rFonts w:ascii="宋体" w:hAnsi="宋体" w:hint="eastAsia"/>
          <w:sz w:val="24"/>
          <w:szCs w:val="24"/>
        </w:rPr>
        <w:t>，</w:t>
      </w:r>
      <w:r w:rsidRPr="00A37652">
        <w:rPr>
          <w:rFonts w:ascii="宋体" w:hAnsi="宋体" w:hint="eastAsia"/>
          <w:sz w:val="24"/>
          <w:szCs w:val="24"/>
        </w:rPr>
        <w:t>战略性新兴产业上市公司资产总额</w:t>
      </w:r>
      <w:r>
        <w:rPr>
          <w:rFonts w:ascii="宋体" w:hAnsi="宋体" w:hint="eastAsia"/>
          <w:sz w:val="24"/>
          <w:szCs w:val="24"/>
        </w:rPr>
        <w:t>达</w:t>
      </w:r>
      <w:r w:rsidRPr="00A37652">
        <w:rPr>
          <w:rFonts w:ascii="宋体" w:hAnsi="宋体" w:hint="eastAsia"/>
          <w:sz w:val="24"/>
          <w:szCs w:val="24"/>
        </w:rPr>
        <w:t>69985.8亿元，</w:t>
      </w:r>
      <w:r>
        <w:rPr>
          <w:rFonts w:ascii="宋体" w:hAnsi="宋体" w:hint="eastAsia"/>
          <w:sz w:val="24"/>
          <w:szCs w:val="24"/>
        </w:rPr>
        <w:t>同比</w:t>
      </w:r>
      <w:r w:rsidRPr="00A37652">
        <w:rPr>
          <w:rFonts w:ascii="宋体" w:hAnsi="宋体" w:hint="eastAsia"/>
          <w:sz w:val="24"/>
          <w:szCs w:val="24"/>
        </w:rPr>
        <w:t>上涨</w:t>
      </w:r>
      <w:r>
        <w:rPr>
          <w:rFonts w:ascii="宋体" w:hAnsi="宋体" w:hint="eastAsia"/>
          <w:sz w:val="24"/>
          <w:szCs w:val="24"/>
        </w:rPr>
        <w:t>21</w:t>
      </w:r>
      <w:r w:rsidRPr="00A37652">
        <w:rPr>
          <w:rFonts w:ascii="宋体" w:hAnsi="宋体" w:hint="eastAsia"/>
          <w:sz w:val="24"/>
          <w:szCs w:val="24"/>
        </w:rPr>
        <w:t>.7个百分点（见图</w:t>
      </w:r>
      <w:r>
        <w:rPr>
          <w:rFonts w:ascii="宋体" w:hAnsi="宋体" w:hint="eastAsia"/>
          <w:sz w:val="24"/>
          <w:szCs w:val="24"/>
        </w:rPr>
        <w:t>1</w:t>
      </w:r>
      <w:r w:rsidR="00B37F3B">
        <w:rPr>
          <w:rFonts w:ascii="宋体" w:hAnsi="宋体"/>
          <w:sz w:val="24"/>
          <w:szCs w:val="24"/>
        </w:rPr>
        <w:t>0</w:t>
      </w:r>
      <w:r w:rsidRPr="00A37652">
        <w:rPr>
          <w:rFonts w:ascii="宋体" w:hAnsi="宋体" w:hint="eastAsia"/>
          <w:sz w:val="24"/>
          <w:szCs w:val="24"/>
        </w:rPr>
        <w:t>）。</w:t>
      </w:r>
      <w:r>
        <w:rPr>
          <w:rFonts w:ascii="宋体" w:hAnsi="宋体" w:hint="eastAsia"/>
          <w:sz w:val="24"/>
          <w:szCs w:val="24"/>
        </w:rPr>
        <w:t>同期，</w:t>
      </w:r>
      <w:r w:rsidRPr="00A37652">
        <w:rPr>
          <w:rFonts w:ascii="宋体" w:hAnsi="宋体" w:hint="eastAsia"/>
          <w:sz w:val="24"/>
          <w:szCs w:val="24"/>
        </w:rPr>
        <w:t>战略性新兴产业上市公司固定资产净值为18171.3亿元，较去年同期增长17.7%，增速明显高于上市公司总体7.9%的增长水平（见图1</w:t>
      </w:r>
      <w:r w:rsidR="00B37F3B">
        <w:rPr>
          <w:rFonts w:ascii="宋体" w:hAnsi="宋体"/>
          <w:sz w:val="24"/>
          <w:szCs w:val="24"/>
        </w:rPr>
        <w:t>1</w:t>
      </w:r>
      <w:r w:rsidRPr="00A37652">
        <w:rPr>
          <w:rFonts w:ascii="宋体" w:hAnsi="宋体" w:hint="eastAsia"/>
          <w:sz w:val="24"/>
          <w:szCs w:val="24"/>
        </w:rPr>
        <w:t>）。</w:t>
      </w:r>
    </w:p>
    <w:p w:rsidR="008777ED" w:rsidRPr="00B24B0B" w:rsidRDefault="008777ED" w:rsidP="008777ED">
      <w:pPr>
        <w:spacing w:beforeLines="100" w:before="312" w:afterLines="50" w:after="156" w:line="588" w:lineRule="exact"/>
        <w:ind w:leftChars="-67" w:hangingChars="47" w:hanging="141"/>
        <w:rPr>
          <w:rFonts w:ascii="仿宋_GB2312" w:eastAsia="仿宋_GB2312" w:hAnsi="宋体"/>
          <w:sz w:val="30"/>
          <w:szCs w:val="30"/>
        </w:rPr>
      </w:pPr>
      <w:r>
        <w:rPr>
          <w:rFonts w:ascii="仿宋_GB2312" w:eastAsia="仿宋_GB2312" w:hAnsi="宋体"/>
          <w:noProof/>
          <w:sz w:val="30"/>
          <w:szCs w:val="30"/>
        </w:rPr>
        <w:drawing>
          <wp:anchor distT="0" distB="0" distL="114300" distR="114300" simplePos="0" relativeHeight="251743232" behindDoc="0" locked="0" layoutInCell="1" allowOverlap="1" wp14:anchorId="691AC587" wp14:editId="4318AAFA">
            <wp:simplePos x="0" y="0"/>
            <wp:positionH relativeFrom="column">
              <wp:posOffset>3128645</wp:posOffset>
            </wp:positionH>
            <wp:positionV relativeFrom="paragraph">
              <wp:posOffset>250190</wp:posOffset>
            </wp:positionV>
            <wp:extent cx="2381250" cy="1847850"/>
            <wp:effectExtent l="0" t="0" r="0" b="0"/>
            <wp:wrapNone/>
            <wp:docPr id="29" name="图表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Pr="00581603">
        <w:rPr>
          <w:rFonts w:ascii="仿宋_GB2312" w:eastAsia="仿宋_GB2312" w:hAnsi="宋体"/>
          <w:noProof/>
          <w:sz w:val="30"/>
          <w:szCs w:val="30"/>
        </w:rPr>
        <w:drawing>
          <wp:anchor distT="0" distB="0" distL="114300" distR="114300" simplePos="0" relativeHeight="251744256" behindDoc="0" locked="0" layoutInCell="1" allowOverlap="1" wp14:anchorId="246417FB" wp14:editId="2EF8C5E3">
            <wp:simplePos x="0" y="0"/>
            <wp:positionH relativeFrom="column">
              <wp:posOffset>233045</wp:posOffset>
            </wp:positionH>
            <wp:positionV relativeFrom="paragraph">
              <wp:posOffset>48260</wp:posOffset>
            </wp:positionV>
            <wp:extent cx="2586355" cy="2044065"/>
            <wp:effectExtent l="0" t="0" r="0" b="0"/>
            <wp:wrapNone/>
            <wp:docPr id="30" name="图表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rsidR="008777ED" w:rsidRPr="00B24B0B" w:rsidRDefault="008777ED" w:rsidP="008777ED">
      <w:pPr>
        <w:spacing w:beforeLines="100" w:before="312" w:afterLines="50" w:after="156" w:line="588" w:lineRule="exact"/>
        <w:ind w:leftChars="-67" w:hangingChars="47" w:hanging="141"/>
        <w:rPr>
          <w:rFonts w:ascii="仿宋_GB2312" w:eastAsia="仿宋_GB2312" w:hAnsi="宋体"/>
          <w:sz w:val="30"/>
          <w:szCs w:val="30"/>
        </w:rPr>
      </w:pPr>
    </w:p>
    <w:p w:rsidR="008777ED" w:rsidRDefault="008777ED" w:rsidP="008777ED">
      <w:pPr>
        <w:spacing w:beforeLines="100" w:before="312" w:afterLines="50" w:after="156" w:line="588" w:lineRule="exact"/>
        <w:ind w:leftChars="-67" w:hangingChars="47" w:hanging="141"/>
        <w:rPr>
          <w:rFonts w:ascii="仿宋_GB2312" w:eastAsia="仿宋_GB2312" w:hAnsi="宋体"/>
          <w:sz w:val="30"/>
          <w:szCs w:val="30"/>
        </w:rPr>
      </w:pPr>
    </w:p>
    <w:p w:rsidR="008777ED" w:rsidRPr="00B24B0B" w:rsidRDefault="006658E2" w:rsidP="008777ED">
      <w:pPr>
        <w:spacing w:beforeLines="100" w:before="312" w:afterLines="50" w:after="156" w:line="588" w:lineRule="exact"/>
        <w:ind w:leftChars="-67" w:hangingChars="47" w:hanging="141"/>
        <w:rPr>
          <w:rFonts w:ascii="仿宋_GB2312" w:eastAsia="仿宋_GB2312" w:hAnsi="宋体"/>
          <w:sz w:val="30"/>
          <w:szCs w:val="30"/>
        </w:rPr>
      </w:pPr>
      <w:r>
        <w:rPr>
          <w:rFonts w:ascii="仿宋_GB2312" w:eastAsia="仿宋_GB2312" w:hAnsi="宋体"/>
          <w:noProof/>
          <w:sz w:val="30"/>
          <w:szCs w:val="30"/>
        </w:rPr>
        <mc:AlternateContent>
          <mc:Choice Requires="wps">
            <w:drawing>
              <wp:anchor distT="0" distB="0" distL="114300" distR="114300" simplePos="0" relativeHeight="251746304" behindDoc="0" locked="0" layoutInCell="1" allowOverlap="1" wp14:anchorId="18CC56CE" wp14:editId="722ADF4B">
                <wp:simplePos x="0" y="0"/>
                <wp:positionH relativeFrom="column">
                  <wp:posOffset>3195320</wp:posOffset>
                </wp:positionH>
                <wp:positionV relativeFrom="paragraph">
                  <wp:posOffset>469265</wp:posOffset>
                </wp:positionV>
                <wp:extent cx="2276475" cy="579755"/>
                <wp:effectExtent l="0" t="0" r="9525" b="0"/>
                <wp:wrapNone/>
                <wp:docPr id="32" name="文本框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579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73E6" w:rsidRPr="00F11A1B" w:rsidRDefault="004673E6" w:rsidP="008777ED">
                            <w:pPr>
                              <w:jc w:val="center"/>
                              <w:rPr>
                                <w:b/>
                              </w:rPr>
                            </w:pPr>
                            <w:r w:rsidRPr="00F11A1B">
                              <w:rPr>
                                <w:rFonts w:hint="eastAsia"/>
                                <w:b/>
                              </w:rPr>
                              <w:t>图</w:t>
                            </w:r>
                            <w:r>
                              <w:rPr>
                                <w:rFonts w:hint="eastAsia"/>
                                <w:b/>
                              </w:rPr>
                              <w:t>1</w:t>
                            </w:r>
                            <w:r>
                              <w:rPr>
                                <w:b/>
                              </w:rPr>
                              <w:t>1</w:t>
                            </w:r>
                            <w:r>
                              <w:rPr>
                                <w:rFonts w:hint="eastAsia"/>
                                <w:b/>
                              </w:rPr>
                              <w:t xml:space="preserve"> </w:t>
                            </w:r>
                            <w:r w:rsidRPr="00F11A1B">
                              <w:rPr>
                                <w:rFonts w:hint="eastAsia"/>
                                <w:b/>
                              </w:rPr>
                              <w:t xml:space="preserve"> 201</w:t>
                            </w:r>
                            <w:r>
                              <w:rPr>
                                <w:rFonts w:hint="eastAsia"/>
                                <w:b/>
                              </w:rPr>
                              <w:t>3-2015</w:t>
                            </w:r>
                            <w:r>
                              <w:rPr>
                                <w:rFonts w:hint="eastAsia"/>
                                <w:b/>
                              </w:rPr>
                              <w:t>年</w:t>
                            </w:r>
                            <w:r w:rsidRPr="00AF5D38">
                              <w:rPr>
                                <w:rFonts w:hint="eastAsia"/>
                                <w:b/>
                              </w:rPr>
                              <w:t>战略性新兴产业上市公司</w:t>
                            </w:r>
                            <w:r>
                              <w:rPr>
                                <w:rFonts w:hint="eastAsia"/>
                                <w:b/>
                              </w:rPr>
                              <w:t>固定资产净值及增速</w:t>
                            </w:r>
                          </w:p>
                          <w:p w:rsidR="004673E6" w:rsidRPr="005137A9" w:rsidRDefault="004673E6" w:rsidP="008777ED">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本框 32" o:spid="_x0000_s1035" type="#_x0000_t202" style="position:absolute;left:0;text-align:left;margin-left:251.6pt;margin-top:36.95pt;width:179.25pt;height:45.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" stroked="f">
                <v:textbox>
                  <w:txbxContent>
                    <w:p w:rsidR="004673E6" w:rsidRPr="00F11A1B" w:rsidRDefault="004673E6" w:rsidP="008777ED">
                      <w:pPr>
                        <w:jc w:val="center"/>
                        <w:rPr>
                          <w:b/>
                        </w:rPr>
                      </w:pPr>
                      <w:r w:rsidRPr="00F11A1B">
                        <w:rPr>
                          <w:rFonts w:hint="eastAsia"/>
                          <w:b/>
                        </w:rPr>
                        <w:t>图</w:t>
                      </w:r>
                      <w:r>
                        <w:rPr>
                          <w:rFonts w:hint="eastAsia"/>
                          <w:b/>
                        </w:rPr>
                        <w:t>1</w:t>
                      </w:r>
                      <w:r>
                        <w:rPr>
                          <w:b/>
                        </w:rPr>
                        <w:t>1</w:t>
                      </w:r>
                      <w:r>
                        <w:rPr>
                          <w:rFonts w:hint="eastAsia"/>
                          <w:b/>
                        </w:rPr>
                        <w:t xml:space="preserve"> </w:t>
                      </w:r>
                      <w:r w:rsidRPr="00F11A1B">
                        <w:rPr>
                          <w:rFonts w:hint="eastAsia"/>
                          <w:b/>
                        </w:rPr>
                        <w:t xml:space="preserve"> 201</w:t>
                      </w:r>
                      <w:r>
                        <w:rPr>
                          <w:rFonts w:hint="eastAsia"/>
                          <w:b/>
                        </w:rPr>
                        <w:t>3-2015</w:t>
                      </w:r>
                      <w:r>
                        <w:rPr>
                          <w:rFonts w:hint="eastAsia"/>
                          <w:b/>
                        </w:rPr>
                        <w:t>年</w:t>
                      </w:r>
                      <w:r w:rsidRPr="00AF5D38">
                        <w:rPr>
                          <w:rFonts w:hint="eastAsia"/>
                          <w:b/>
                        </w:rPr>
                        <w:t>战略性新兴产业上市公司</w:t>
                      </w:r>
                      <w:r>
                        <w:rPr>
                          <w:rFonts w:hint="eastAsia"/>
                          <w:b/>
                        </w:rPr>
                        <w:t>固定资产净值及增速</w:t>
                      </w:r>
                    </w:p>
                    <w:p w:rsidR="004673E6" w:rsidRPr="005137A9" w:rsidRDefault="004673E6" w:rsidP="008777ED">
                      <w:pPr>
                        <w:jc w:val="center"/>
                      </w:pPr>
                    </w:p>
                  </w:txbxContent>
                </v:textbox>
              </v:shape>
            </w:pict>
          </mc:Fallback>
        </mc:AlternateContent>
      </w:r>
      <w:r>
        <w:rPr>
          <w:rFonts w:ascii="仿宋_GB2312" w:eastAsia="仿宋_GB2312" w:hAnsi="宋体"/>
          <w:noProof/>
          <w:sz w:val="30"/>
          <w:szCs w:val="30"/>
        </w:rPr>
        <mc:AlternateContent>
          <mc:Choice Requires="wps">
            <w:drawing>
              <wp:anchor distT="0" distB="0" distL="114300" distR="114300" simplePos="0" relativeHeight="251745280" behindDoc="0" locked="0" layoutInCell="1" allowOverlap="1" wp14:anchorId="71C544DE" wp14:editId="37EFE5F8">
                <wp:simplePos x="0" y="0"/>
                <wp:positionH relativeFrom="column">
                  <wp:posOffset>423545</wp:posOffset>
                </wp:positionH>
                <wp:positionV relativeFrom="paragraph">
                  <wp:posOffset>439420</wp:posOffset>
                </wp:positionV>
                <wp:extent cx="2190750" cy="579755"/>
                <wp:effectExtent l="0" t="0" r="0" b="0"/>
                <wp:wrapNone/>
                <wp:docPr id="31" name="文本框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579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73E6" w:rsidRPr="00F11A1B" w:rsidRDefault="004673E6" w:rsidP="008777ED">
                            <w:pPr>
                              <w:jc w:val="center"/>
                              <w:rPr>
                                <w:b/>
                              </w:rPr>
                            </w:pPr>
                            <w:r w:rsidRPr="00F11A1B">
                              <w:rPr>
                                <w:rFonts w:hint="eastAsia"/>
                                <w:b/>
                              </w:rPr>
                              <w:t>图</w:t>
                            </w:r>
                            <w:r>
                              <w:rPr>
                                <w:b/>
                              </w:rPr>
                              <w:t>10</w:t>
                            </w:r>
                            <w:r w:rsidRPr="00F11A1B">
                              <w:rPr>
                                <w:rFonts w:hint="eastAsia"/>
                                <w:b/>
                              </w:rPr>
                              <w:t xml:space="preserve"> </w:t>
                            </w:r>
                            <w:r>
                              <w:rPr>
                                <w:rFonts w:hint="eastAsia"/>
                                <w:b/>
                              </w:rPr>
                              <w:t xml:space="preserve"> </w:t>
                            </w:r>
                            <w:r w:rsidRPr="00F11A1B">
                              <w:rPr>
                                <w:rFonts w:hint="eastAsia"/>
                                <w:b/>
                              </w:rPr>
                              <w:t>201</w:t>
                            </w:r>
                            <w:r>
                              <w:rPr>
                                <w:rFonts w:hint="eastAsia"/>
                                <w:b/>
                              </w:rPr>
                              <w:t>3-2015</w:t>
                            </w:r>
                            <w:r>
                              <w:rPr>
                                <w:rFonts w:hint="eastAsia"/>
                                <w:b/>
                              </w:rPr>
                              <w:t>年</w:t>
                            </w:r>
                            <w:r w:rsidRPr="00AF5D38">
                              <w:rPr>
                                <w:rFonts w:hint="eastAsia"/>
                                <w:b/>
                              </w:rPr>
                              <w:t>战略性新兴产业上市公司</w:t>
                            </w:r>
                            <w:r>
                              <w:rPr>
                                <w:rFonts w:hint="eastAsia"/>
                                <w:b/>
                              </w:rPr>
                              <w:t>资产总额及增速</w:t>
                            </w:r>
                          </w:p>
                          <w:p w:rsidR="004673E6" w:rsidRPr="0051169A" w:rsidRDefault="004673E6" w:rsidP="008777ED">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本框 31" o:spid="_x0000_s1036" type="#_x0000_t202" style="position:absolute;left:0;text-align:left;margin-left:33.35pt;margin-top:34.6pt;width:172.5pt;height:45.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" stroked="f">
                <v:textbox>
                  <w:txbxContent>
                    <w:p w:rsidR="004673E6" w:rsidRPr="00F11A1B" w:rsidRDefault="004673E6" w:rsidP="008777ED">
                      <w:pPr>
                        <w:jc w:val="center"/>
                        <w:rPr>
                          <w:b/>
                        </w:rPr>
                      </w:pPr>
                      <w:r w:rsidRPr="00F11A1B">
                        <w:rPr>
                          <w:rFonts w:hint="eastAsia"/>
                          <w:b/>
                        </w:rPr>
                        <w:t>图</w:t>
                      </w:r>
                      <w:r>
                        <w:rPr>
                          <w:b/>
                        </w:rPr>
                        <w:t>10</w:t>
                      </w:r>
                      <w:r w:rsidRPr="00F11A1B">
                        <w:rPr>
                          <w:rFonts w:hint="eastAsia"/>
                          <w:b/>
                        </w:rPr>
                        <w:t xml:space="preserve"> </w:t>
                      </w:r>
                      <w:r>
                        <w:rPr>
                          <w:rFonts w:hint="eastAsia"/>
                          <w:b/>
                        </w:rPr>
                        <w:t xml:space="preserve"> </w:t>
                      </w:r>
                      <w:r w:rsidRPr="00F11A1B">
                        <w:rPr>
                          <w:rFonts w:hint="eastAsia"/>
                          <w:b/>
                        </w:rPr>
                        <w:t>201</w:t>
                      </w:r>
                      <w:r>
                        <w:rPr>
                          <w:rFonts w:hint="eastAsia"/>
                          <w:b/>
                        </w:rPr>
                        <w:t>3-2015</w:t>
                      </w:r>
                      <w:r>
                        <w:rPr>
                          <w:rFonts w:hint="eastAsia"/>
                          <w:b/>
                        </w:rPr>
                        <w:t>年</w:t>
                      </w:r>
                      <w:r w:rsidRPr="00AF5D38">
                        <w:rPr>
                          <w:rFonts w:hint="eastAsia"/>
                          <w:b/>
                        </w:rPr>
                        <w:t>战略性新兴产业上市公司</w:t>
                      </w:r>
                      <w:r>
                        <w:rPr>
                          <w:rFonts w:hint="eastAsia"/>
                          <w:b/>
                        </w:rPr>
                        <w:t>资产总额及增速</w:t>
                      </w:r>
                    </w:p>
                    <w:p w:rsidR="004673E6" w:rsidRPr="0051169A" w:rsidRDefault="004673E6" w:rsidP="008777ED">
                      <w:pPr>
                        <w:jc w:val="center"/>
                      </w:pPr>
                    </w:p>
                  </w:txbxContent>
                </v:textbox>
              </v:shape>
            </w:pict>
          </mc:Fallback>
        </mc:AlternateContent>
      </w:r>
    </w:p>
    <w:p w:rsidR="008777ED" w:rsidRPr="008777ED" w:rsidRDefault="008777ED" w:rsidP="008777ED">
      <w:pPr>
        <w:spacing w:beforeLines="100" w:before="312" w:afterLines="50" w:after="156" w:line="360" w:lineRule="auto"/>
        <w:rPr>
          <w:rFonts w:ascii="宋体" w:hAnsi="宋体"/>
          <w:sz w:val="24"/>
          <w:szCs w:val="24"/>
        </w:rPr>
      </w:pPr>
    </w:p>
    <w:p w:rsidR="00121FD4" w:rsidRDefault="00121FD4" w:rsidP="00D566A1">
      <w:pPr>
        <w:spacing w:beforeLines="100" w:before="312" w:afterLines="50" w:after="156" w:line="360" w:lineRule="auto"/>
        <w:rPr>
          <w:rFonts w:ascii="黑体" w:eastAsia="黑体" w:hAnsi="黑体"/>
          <w:b/>
          <w:sz w:val="28"/>
          <w:szCs w:val="28"/>
        </w:rPr>
      </w:pPr>
      <w:r>
        <w:rPr>
          <w:rFonts w:ascii="黑体" w:eastAsia="黑体" w:hAnsi="黑体" w:hint="eastAsia"/>
          <w:b/>
          <w:sz w:val="28"/>
          <w:szCs w:val="28"/>
        </w:rPr>
        <w:t>二</w:t>
      </w:r>
      <w:r w:rsidRPr="00271E78">
        <w:rPr>
          <w:rFonts w:ascii="黑体" w:eastAsia="黑体" w:hAnsi="黑体" w:hint="eastAsia"/>
          <w:b/>
          <w:sz w:val="28"/>
          <w:szCs w:val="28"/>
        </w:rPr>
        <w:t>、</w:t>
      </w:r>
      <w:r>
        <w:rPr>
          <w:rFonts w:ascii="黑体" w:eastAsia="黑体" w:hAnsi="黑体" w:hint="eastAsia"/>
          <w:b/>
          <w:sz w:val="28"/>
          <w:szCs w:val="28"/>
        </w:rPr>
        <w:t>发展新趋势、新特征</w:t>
      </w:r>
    </w:p>
    <w:p w:rsidR="00437B0F" w:rsidRDefault="00D36B3A" w:rsidP="00D566A1">
      <w:pPr>
        <w:spacing w:beforeLines="100" w:before="312" w:afterLines="50" w:after="156" w:line="360" w:lineRule="auto"/>
        <w:rPr>
          <w:rFonts w:ascii="黑体" w:eastAsia="黑体" w:hAnsi="黑体"/>
          <w:b/>
          <w:sz w:val="28"/>
          <w:szCs w:val="28"/>
        </w:rPr>
      </w:pPr>
      <w:r>
        <w:rPr>
          <w:rFonts w:ascii="黑体" w:eastAsia="黑体" w:hAnsi="黑体" w:hint="eastAsia"/>
          <w:b/>
          <w:sz w:val="28"/>
          <w:szCs w:val="28"/>
        </w:rPr>
        <w:t>（一）</w:t>
      </w:r>
      <w:r w:rsidR="00492302" w:rsidRPr="00492302">
        <w:rPr>
          <w:rFonts w:ascii="黑体" w:eastAsia="黑体" w:hAnsi="黑体" w:hint="eastAsia"/>
          <w:b/>
          <w:sz w:val="28"/>
          <w:szCs w:val="28"/>
        </w:rPr>
        <w:t>战略性新兴产业企业</w:t>
      </w:r>
      <w:r w:rsidR="005B1143">
        <w:rPr>
          <w:rFonts w:ascii="黑体" w:eastAsia="黑体" w:hAnsi="黑体" w:hint="eastAsia"/>
          <w:b/>
          <w:sz w:val="28"/>
          <w:szCs w:val="28"/>
        </w:rPr>
        <w:t>融资环境</w:t>
      </w:r>
      <w:r w:rsidR="004E3433">
        <w:rPr>
          <w:rFonts w:ascii="黑体" w:eastAsia="黑体" w:hAnsi="黑体" w:hint="eastAsia"/>
          <w:b/>
          <w:sz w:val="28"/>
          <w:szCs w:val="28"/>
        </w:rPr>
        <w:t>稳步</w:t>
      </w:r>
      <w:r w:rsidR="005B1143">
        <w:rPr>
          <w:rFonts w:ascii="黑体" w:eastAsia="黑体" w:hAnsi="黑体"/>
          <w:b/>
          <w:sz w:val="28"/>
          <w:szCs w:val="28"/>
        </w:rPr>
        <w:t>向好</w:t>
      </w:r>
    </w:p>
    <w:p w:rsidR="00336565" w:rsidRDefault="0019156A" w:rsidP="00D566A1">
      <w:pPr>
        <w:spacing w:beforeLines="100" w:before="312" w:afterLines="50" w:after="156" w:line="360" w:lineRule="auto"/>
        <w:ind w:firstLineChars="200" w:firstLine="480"/>
        <w:rPr>
          <w:rFonts w:ascii="宋体" w:hAnsi="宋体"/>
          <w:sz w:val="24"/>
          <w:szCs w:val="24"/>
        </w:rPr>
      </w:pPr>
      <w:r w:rsidRPr="0019156A">
        <w:rPr>
          <w:rFonts w:ascii="宋体" w:hAnsi="宋体"/>
          <w:sz w:val="24"/>
          <w:szCs w:val="24"/>
        </w:rPr>
        <w:t>2015</w:t>
      </w:r>
      <w:r w:rsidRPr="0019156A">
        <w:rPr>
          <w:rFonts w:ascii="宋体" w:hAnsi="宋体" w:hint="eastAsia"/>
          <w:sz w:val="24"/>
          <w:szCs w:val="24"/>
        </w:rPr>
        <w:t>年</w:t>
      </w:r>
      <w:r w:rsidRPr="0019156A">
        <w:rPr>
          <w:rFonts w:ascii="宋体" w:hAnsi="宋体"/>
          <w:sz w:val="24"/>
          <w:szCs w:val="24"/>
        </w:rPr>
        <w:t>，</w:t>
      </w:r>
      <w:r w:rsidR="00457072">
        <w:rPr>
          <w:rFonts w:ascii="宋体" w:hAnsi="宋体" w:hint="eastAsia"/>
          <w:sz w:val="24"/>
          <w:szCs w:val="24"/>
        </w:rPr>
        <w:t>在新一轮</w:t>
      </w:r>
      <w:r w:rsidR="00457072">
        <w:rPr>
          <w:rFonts w:ascii="宋体" w:hAnsi="宋体"/>
          <w:sz w:val="24"/>
          <w:szCs w:val="24"/>
        </w:rPr>
        <w:t>交投高峰期带动下，</w:t>
      </w:r>
      <w:r w:rsidRPr="0019156A">
        <w:rPr>
          <w:rFonts w:ascii="宋体" w:hAnsi="宋体"/>
          <w:sz w:val="24"/>
          <w:szCs w:val="24"/>
        </w:rPr>
        <w:t>股市对于战略性新兴产业的支持力度</w:t>
      </w:r>
      <w:r w:rsidR="00457072">
        <w:rPr>
          <w:rFonts w:ascii="宋体" w:hAnsi="宋体" w:hint="eastAsia"/>
          <w:sz w:val="24"/>
          <w:szCs w:val="24"/>
        </w:rPr>
        <w:t>明显</w:t>
      </w:r>
      <w:r w:rsidRPr="0019156A">
        <w:rPr>
          <w:rFonts w:ascii="宋体" w:hAnsi="宋体"/>
          <w:sz w:val="24"/>
          <w:szCs w:val="24"/>
        </w:rPr>
        <w:t>回升</w:t>
      </w:r>
      <w:r w:rsidR="00457072">
        <w:rPr>
          <w:rFonts w:ascii="宋体" w:hAnsi="宋体" w:hint="eastAsia"/>
          <w:sz w:val="24"/>
          <w:szCs w:val="24"/>
        </w:rPr>
        <w:t>，全年</w:t>
      </w:r>
      <w:r w:rsidR="00457072" w:rsidRPr="0019156A">
        <w:rPr>
          <w:rFonts w:ascii="宋体" w:hAnsi="宋体"/>
          <w:sz w:val="24"/>
          <w:szCs w:val="24"/>
        </w:rPr>
        <w:t>战略性</w:t>
      </w:r>
      <w:r w:rsidR="00457072">
        <w:rPr>
          <w:rFonts w:ascii="宋体" w:hAnsi="宋体"/>
          <w:sz w:val="24"/>
          <w:szCs w:val="24"/>
        </w:rPr>
        <w:t>新兴</w:t>
      </w:r>
      <w:r w:rsidR="00457072">
        <w:rPr>
          <w:rFonts w:ascii="宋体" w:hAnsi="宋体" w:hint="eastAsia"/>
          <w:sz w:val="24"/>
          <w:szCs w:val="24"/>
        </w:rPr>
        <w:t>产业IPO上市企业达</w:t>
      </w:r>
      <w:r w:rsidR="006B4924">
        <w:rPr>
          <w:rFonts w:ascii="宋体" w:hAnsi="宋体" w:hint="eastAsia"/>
          <w:sz w:val="24"/>
          <w:szCs w:val="24"/>
        </w:rPr>
        <w:t>86家，</w:t>
      </w:r>
      <w:r w:rsidR="006B4924">
        <w:rPr>
          <w:rFonts w:ascii="宋体" w:hAnsi="宋体"/>
          <w:sz w:val="24"/>
          <w:szCs w:val="24"/>
        </w:rPr>
        <w:t>仅低于</w:t>
      </w:r>
      <w:r w:rsidR="006B4924">
        <w:rPr>
          <w:rFonts w:ascii="宋体" w:hAnsi="宋体" w:hint="eastAsia"/>
          <w:sz w:val="24"/>
          <w:szCs w:val="24"/>
        </w:rPr>
        <w:t>2010、2011年水平</w:t>
      </w:r>
      <w:r w:rsidR="006B4924">
        <w:rPr>
          <w:rFonts w:ascii="宋体" w:hAnsi="宋体"/>
          <w:sz w:val="24"/>
          <w:szCs w:val="24"/>
        </w:rPr>
        <w:t>。</w:t>
      </w:r>
      <w:r w:rsidR="008269FB">
        <w:rPr>
          <w:rFonts w:ascii="宋体" w:hAnsi="宋体" w:hint="eastAsia"/>
          <w:sz w:val="24"/>
          <w:szCs w:val="24"/>
        </w:rPr>
        <w:t>从上市</w:t>
      </w:r>
      <w:r w:rsidR="008269FB">
        <w:rPr>
          <w:rFonts w:ascii="宋体" w:hAnsi="宋体"/>
          <w:sz w:val="24"/>
          <w:szCs w:val="24"/>
        </w:rPr>
        <w:t>板块来看</w:t>
      </w:r>
      <w:r w:rsidR="00945BC5">
        <w:rPr>
          <w:rFonts w:ascii="宋体" w:hAnsi="宋体" w:hint="eastAsia"/>
          <w:sz w:val="24"/>
          <w:szCs w:val="24"/>
        </w:rPr>
        <w:t>，</w:t>
      </w:r>
      <w:r w:rsidR="00F70192">
        <w:rPr>
          <w:rFonts w:ascii="宋体" w:hAnsi="宋体" w:hint="eastAsia"/>
          <w:sz w:val="24"/>
          <w:szCs w:val="24"/>
        </w:rPr>
        <w:t>战略性新兴产业IPO企业主要集中在</w:t>
      </w:r>
      <w:r w:rsidR="00F70192">
        <w:rPr>
          <w:rFonts w:ascii="宋体" w:hAnsi="宋体"/>
          <w:sz w:val="24"/>
          <w:szCs w:val="24"/>
        </w:rPr>
        <w:t>创业板</w:t>
      </w:r>
      <w:r w:rsidR="00F70192">
        <w:rPr>
          <w:rFonts w:ascii="宋体" w:hAnsi="宋体" w:hint="eastAsia"/>
          <w:sz w:val="24"/>
          <w:szCs w:val="24"/>
        </w:rPr>
        <w:t>，</w:t>
      </w:r>
      <w:r w:rsidR="00F70192">
        <w:rPr>
          <w:rFonts w:ascii="宋体" w:hAnsi="宋体"/>
          <w:sz w:val="24"/>
          <w:szCs w:val="24"/>
        </w:rPr>
        <w:t>达到</w:t>
      </w:r>
      <w:r w:rsidR="00F70192">
        <w:rPr>
          <w:rFonts w:ascii="宋体" w:hAnsi="宋体" w:hint="eastAsia"/>
          <w:sz w:val="24"/>
          <w:szCs w:val="24"/>
        </w:rPr>
        <w:t>55家，占比</w:t>
      </w:r>
      <w:r w:rsidR="00F70192">
        <w:rPr>
          <w:rFonts w:ascii="宋体" w:hAnsi="宋体"/>
          <w:sz w:val="24"/>
          <w:szCs w:val="24"/>
        </w:rPr>
        <w:t>达</w:t>
      </w:r>
      <w:r w:rsidR="00F70192">
        <w:rPr>
          <w:rFonts w:ascii="宋体" w:hAnsi="宋体" w:hint="eastAsia"/>
          <w:sz w:val="24"/>
          <w:szCs w:val="24"/>
        </w:rPr>
        <w:t>64.0</w:t>
      </w:r>
      <w:r w:rsidR="00F70192">
        <w:rPr>
          <w:rFonts w:ascii="宋体" w:hAnsi="宋体"/>
          <w:sz w:val="24"/>
          <w:szCs w:val="24"/>
        </w:rPr>
        <w:t>%，其次是主板和中小板，</w:t>
      </w:r>
      <w:r w:rsidR="00152C6F">
        <w:rPr>
          <w:rFonts w:ascii="宋体" w:hAnsi="宋体" w:hint="eastAsia"/>
          <w:sz w:val="24"/>
          <w:szCs w:val="24"/>
        </w:rPr>
        <w:t>分别</w:t>
      </w:r>
      <w:r w:rsidR="00152C6F">
        <w:rPr>
          <w:rFonts w:ascii="宋体" w:hAnsi="宋体"/>
          <w:sz w:val="24"/>
          <w:szCs w:val="24"/>
        </w:rPr>
        <w:t>为</w:t>
      </w:r>
      <w:r w:rsidR="00152C6F">
        <w:rPr>
          <w:rFonts w:ascii="宋体" w:hAnsi="宋体" w:hint="eastAsia"/>
          <w:sz w:val="24"/>
          <w:szCs w:val="24"/>
        </w:rPr>
        <w:t>21家</w:t>
      </w:r>
      <w:r w:rsidR="00152C6F">
        <w:rPr>
          <w:rFonts w:ascii="宋体" w:hAnsi="宋体"/>
          <w:sz w:val="24"/>
          <w:szCs w:val="24"/>
        </w:rPr>
        <w:t>和</w:t>
      </w:r>
      <w:r w:rsidR="00152C6F">
        <w:rPr>
          <w:rFonts w:ascii="宋体" w:hAnsi="宋体" w:hint="eastAsia"/>
          <w:sz w:val="24"/>
          <w:szCs w:val="24"/>
        </w:rPr>
        <w:t>10家</w:t>
      </w:r>
      <w:r w:rsidR="00A73022">
        <w:rPr>
          <w:rFonts w:ascii="宋体" w:hAnsi="宋体" w:hint="eastAsia"/>
          <w:sz w:val="24"/>
          <w:szCs w:val="24"/>
        </w:rPr>
        <w:t>（见</w:t>
      </w:r>
      <w:r w:rsidR="00A73022">
        <w:rPr>
          <w:rFonts w:ascii="宋体" w:hAnsi="宋体"/>
          <w:sz w:val="24"/>
          <w:szCs w:val="24"/>
        </w:rPr>
        <w:t>图</w:t>
      </w:r>
      <w:r w:rsidR="00A73022">
        <w:rPr>
          <w:rFonts w:ascii="宋体" w:hAnsi="宋体" w:hint="eastAsia"/>
          <w:sz w:val="24"/>
          <w:szCs w:val="24"/>
        </w:rPr>
        <w:t>12</w:t>
      </w:r>
      <w:r w:rsidR="00A73022">
        <w:rPr>
          <w:rFonts w:ascii="宋体" w:hAnsi="宋体"/>
          <w:sz w:val="24"/>
          <w:szCs w:val="24"/>
        </w:rPr>
        <w:t>）</w:t>
      </w:r>
      <w:r w:rsidR="00152C6F">
        <w:rPr>
          <w:rFonts w:ascii="宋体" w:hAnsi="宋体"/>
          <w:sz w:val="24"/>
          <w:szCs w:val="24"/>
        </w:rPr>
        <w:t>。</w:t>
      </w:r>
      <w:r w:rsidR="007360AC">
        <w:rPr>
          <w:rFonts w:ascii="宋体" w:hAnsi="宋体" w:hint="eastAsia"/>
          <w:sz w:val="24"/>
          <w:szCs w:val="24"/>
        </w:rPr>
        <w:t>创业板</w:t>
      </w:r>
      <w:r w:rsidR="007360AC" w:rsidRPr="00B70684">
        <w:rPr>
          <w:rFonts w:ascii="宋体" w:hAnsi="宋体" w:hint="eastAsia"/>
          <w:sz w:val="24"/>
          <w:szCs w:val="24"/>
        </w:rPr>
        <w:t>已经成为</w:t>
      </w:r>
      <w:r w:rsidR="007360AC">
        <w:rPr>
          <w:rFonts w:ascii="宋体" w:hAnsi="宋体" w:hint="eastAsia"/>
          <w:sz w:val="24"/>
          <w:szCs w:val="24"/>
        </w:rPr>
        <w:t>培育和</w:t>
      </w:r>
      <w:r w:rsidR="007360AC">
        <w:rPr>
          <w:rFonts w:ascii="宋体" w:hAnsi="宋体"/>
          <w:sz w:val="24"/>
          <w:szCs w:val="24"/>
        </w:rPr>
        <w:t>发展战略性新兴产业的重要金融支撑平台</w:t>
      </w:r>
      <w:r w:rsidR="007360AC">
        <w:rPr>
          <w:rFonts w:ascii="宋体" w:hAnsi="宋体" w:hint="eastAsia"/>
          <w:sz w:val="24"/>
          <w:szCs w:val="24"/>
        </w:rPr>
        <w:t>，板块中涵盖大批</w:t>
      </w:r>
      <w:r w:rsidR="00B70684" w:rsidRPr="00B70684">
        <w:rPr>
          <w:rFonts w:ascii="宋体" w:hAnsi="宋体" w:hint="eastAsia"/>
          <w:sz w:val="24"/>
          <w:szCs w:val="24"/>
        </w:rPr>
        <w:t>信息技术、</w:t>
      </w:r>
      <w:r w:rsidR="007360AC">
        <w:rPr>
          <w:rFonts w:ascii="宋体" w:hAnsi="宋体" w:hint="eastAsia"/>
          <w:sz w:val="24"/>
          <w:szCs w:val="24"/>
        </w:rPr>
        <w:t>节能环保</w:t>
      </w:r>
      <w:r w:rsidR="00B70684" w:rsidRPr="00B70684">
        <w:rPr>
          <w:rFonts w:ascii="宋体" w:hAnsi="宋体" w:hint="eastAsia"/>
          <w:sz w:val="24"/>
          <w:szCs w:val="24"/>
        </w:rPr>
        <w:t>、新材料、新能源、高端</w:t>
      </w:r>
      <w:r w:rsidR="007360AC">
        <w:rPr>
          <w:rFonts w:ascii="宋体" w:hAnsi="宋体" w:hint="eastAsia"/>
          <w:sz w:val="24"/>
          <w:szCs w:val="24"/>
        </w:rPr>
        <w:t>装备</w:t>
      </w:r>
      <w:r w:rsidR="00B70684" w:rsidRPr="00B70684">
        <w:rPr>
          <w:rFonts w:ascii="宋体" w:hAnsi="宋体" w:hint="eastAsia"/>
          <w:sz w:val="24"/>
          <w:szCs w:val="24"/>
        </w:rPr>
        <w:t>制造</w:t>
      </w:r>
      <w:r w:rsidR="007360AC">
        <w:rPr>
          <w:rFonts w:ascii="宋体" w:hAnsi="宋体" w:hint="eastAsia"/>
          <w:sz w:val="24"/>
          <w:szCs w:val="24"/>
        </w:rPr>
        <w:t>以及</w:t>
      </w:r>
      <w:r w:rsidR="00B70684" w:rsidRPr="00B70684">
        <w:rPr>
          <w:rFonts w:ascii="宋体" w:hAnsi="宋体" w:hint="eastAsia"/>
          <w:sz w:val="24"/>
          <w:szCs w:val="24"/>
        </w:rPr>
        <w:t>生物医药等战略性新兴产业</w:t>
      </w:r>
      <w:r w:rsidR="007360AC">
        <w:rPr>
          <w:rFonts w:ascii="宋体" w:hAnsi="宋体" w:hint="eastAsia"/>
          <w:sz w:val="24"/>
          <w:szCs w:val="24"/>
        </w:rPr>
        <w:t>公司</w:t>
      </w:r>
      <w:r w:rsidR="00B70684" w:rsidRPr="00B70684">
        <w:rPr>
          <w:rFonts w:ascii="宋体" w:hAnsi="宋体" w:hint="eastAsia"/>
          <w:sz w:val="24"/>
          <w:szCs w:val="24"/>
        </w:rPr>
        <w:t>，涌现了一批</w:t>
      </w:r>
      <w:r w:rsidR="007360AC">
        <w:rPr>
          <w:rFonts w:ascii="宋体" w:hAnsi="宋体" w:hint="eastAsia"/>
          <w:sz w:val="24"/>
          <w:szCs w:val="24"/>
        </w:rPr>
        <w:t>A</w:t>
      </w:r>
      <w:r w:rsidR="00B70684" w:rsidRPr="00B70684">
        <w:rPr>
          <w:rFonts w:ascii="宋体" w:hAnsi="宋体" w:hint="eastAsia"/>
          <w:sz w:val="24"/>
          <w:szCs w:val="24"/>
        </w:rPr>
        <w:t>股市场此前没有的商业模式和新业态</w:t>
      </w:r>
      <w:r w:rsidR="007360AC">
        <w:rPr>
          <w:rFonts w:ascii="宋体" w:hAnsi="宋体"/>
          <w:sz w:val="24"/>
          <w:szCs w:val="24"/>
        </w:rPr>
        <w:t>。</w:t>
      </w:r>
    </w:p>
    <w:p w:rsidR="00680800" w:rsidRDefault="00680800" w:rsidP="00D566A1">
      <w:pPr>
        <w:spacing w:beforeLines="100" w:before="312" w:afterLines="50" w:after="156" w:line="360" w:lineRule="auto"/>
        <w:ind w:firstLineChars="200" w:firstLine="480"/>
        <w:rPr>
          <w:rFonts w:ascii="宋体" w:hAnsi="宋体"/>
          <w:sz w:val="24"/>
          <w:szCs w:val="24"/>
        </w:rPr>
      </w:pPr>
      <w:r w:rsidRPr="0019156A">
        <w:rPr>
          <w:rFonts w:ascii="宋体" w:hAnsi="宋体"/>
          <w:noProof/>
          <w:sz w:val="24"/>
          <w:szCs w:val="24"/>
        </w:rPr>
        <w:lastRenderedPageBreak/>
        <w:drawing>
          <wp:anchor distT="0" distB="0" distL="114300" distR="114300" simplePos="0" relativeHeight="251607040" behindDoc="0" locked="0" layoutInCell="1" allowOverlap="1" wp14:anchorId="1CF44D0C" wp14:editId="633C92FC">
            <wp:simplePos x="0" y="0"/>
            <wp:positionH relativeFrom="column">
              <wp:posOffset>90170</wp:posOffset>
            </wp:positionH>
            <wp:positionV relativeFrom="paragraph">
              <wp:posOffset>69215</wp:posOffset>
            </wp:positionV>
            <wp:extent cx="5581650" cy="1514475"/>
            <wp:effectExtent l="0" t="0" r="0" b="0"/>
            <wp:wrapNone/>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V relativeFrom="margin">
              <wp14:pctHeight>0</wp14:pctHeight>
            </wp14:sizeRelV>
          </wp:anchor>
        </w:drawing>
      </w:r>
    </w:p>
    <w:p w:rsidR="00D36B3A" w:rsidRPr="00B70684" w:rsidRDefault="00D36B3A" w:rsidP="00D566A1">
      <w:pPr>
        <w:spacing w:beforeLines="100" w:before="312" w:afterLines="50" w:after="156" w:line="360" w:lineRule="auto"/>
        <w:ind w:firstLineChars="200" w:firstLine="480"/>
        <w:rPr>
          <w:rFonts w:ascii="宋体" w:hAnsi="宋体"/>
          <w:sz w:val="24"/>
          <w:szCs w:val="24"/>
        </w:rPr>
      </w:pPr>
    </w:p>
    <w:p w:rsidR="00336565" w:rsidRDefault="00336565" w:rsidP="00D566A1">
      <w:pPr>
        <w:spacing w:beforeLines="100" w:before="312" w:afterLines="50" w:after="156" w:line="360" w:lineRule="auto"/>
        <w:ind w:firstLineChars="200" w:firstLine="480"/>
        <w:rPr>
          <w:rFonts w:ascii="宋体" w:hAnsi="宋体"/>
          <w:sz w:val="24"/>
          <w:szCs w:val="24"/>
        </w:rPr>
      </w:pPr>
    </w:p>
    <w:p w:rsidR="005243C4" w:rsidRDefault="00B37F3B" w:rsidP="00DD29BC">
      <w:pPr>
        <w:spacing w:beforeLines="100" w:before="312" w:afterLines="50" w:after="156" w:line="360" w:lineRule="auto"/>
        <w:ind w:firstLineChars="200" w:firstLine="422"/>
        <w:rPr>
          <w:rFonts w:ascii="宋体" w:hAnsi="宋体"/>
          <w:sz w:val="24"/>
          <w:szCs w:val="24"/>
        </w:rPr>
      </w:pPr>
      <w:r>
        <w:rPr>
          <w:rFonts w:ascii="宋体" w:hAnsi="宋体"/>
          <w:b/>
          <w:noProof/>
          <w:szCs w:val="24"/>
        </w:rPr>
        <mc:AlternateContent>
          <mc:Choice Requires="wps">
            <w:drawing>
              <wp:anchor distT="0" distB="0" distL="114300" distR="114300" simplePos="0" relativeHeight="251610112" behindDoc="0" locked="0" layoutInCell="1" allowOverlap="1" wp14:anchorId="6B1CDEA6" wp14:editId="4D967DE4">
                <wp:simplePos x="0" y="0"/>
                <wp:positionH relativeFrom="column">
                  <wp:posOffset>1395095</wp:posOffset>
                </wp:positionH>
                <wp:positionV relativeFrom="paragraph">
                  <wp:posOffset>487045</wp:posOffset>
                </wp:positionV>
                <wp:extent cx="2962275" cy="289560"/>
                <wp:effectExtent l="0" t="0" r="9525" b="6350"/>
                <wp:wrapNone/>
                <wp:docPr id="2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289560"/>
                        </a:xfrm>
                        <a:prstGeom prst="rect">
                          <a:avLst/>
                        </a:prstGeom>
                        <a:solidFill>
                          <a:srgbClr val="FFFFFF"/>
                        </a:solidFill>
                        <a:ln w="9525">
                          <a:noFill/>
                          <a:miter lim="800000"/>
                          <a:headEnd/>
                          <a:tailEnd/>
                        </a:ln>
                      </wps:spPr>
                      <wps:txbx>
                        <w:txbxContent>
                          <w:p w:rsidR="004673E6" w:rsidRPr="00C57D12" w:rsidRDefault="004673E6" w:rsidP="009943D6">
                            <w:pPr>
                              <w:jc w:val="center"/>
                              <w:rPr>
                                <w:rFonts w:ascii="宋体" w:hAnsi="宋体"/>
                                <w:b/>
                                <w:szCs w:val="24"/>
                              </w:rPr>
                            </w:pPr>
                            <w:r w:rsidRPr="009943D6">
                              <w:rPr>
                                <w:rFonts w:ascii="宋体" w:hAnsi="宋体" w:hint="eastAsia"/>
                                <w:b/>
                                <w:szCs w:val="24"/>
                              </w:rPr>
                              <w:t>图</w:t>
                            </w:r>
                            <w:r>
                              <w:rPr>
                                <w:rFonts w:ascii="宋体" w:hAnsi="宋体" w:hint="eastAsia"/>
                                <w:b/>
                                <w:szCs w:val="24"/>
                              </w:rPr>
                              <w:t>1</w:t>
                            </w:r>
                            <w:r>
                              <w:rPr>
                                <w:rFonts w:ascii="宋体" w:hAnsi="宋体"/>
                                <w:b/>
                                <w:szCs w:val="24"/>
                              </w:rPr>
                              <w:t>2</w:t>
                            </w:r>
                            <w:r w:rsidRPr="009943D6">
                              <w:rPr>
                                <w:rFonts w:ascii="宋体" w:hAnsi="宋体" w:hint="eastAsia"/>
                                <w:b/>
                                <w:szCs w:val="24"/>
                              </w:rPr>
                              <w:t xml:space="preserve"> </w:t>
                            </w:r>
                            <w:r>
                              <w:rPr>
                                <w:rFonts w:ascii="宋体" w:hAnsi="宋体"/>
                                <w:b/>
                                <w:szCs w:val="24"/>
                              </w:rPr>
                              <w:t xml:space="preserve"> </w:t>
                            </w:r>
                            <w:r>
                              <w:rPr>
                                <w:rFonts w:ascii="宋体" w:hAnsi="宋体" w:hint="eastAsia"/>
                                <w:b/>
                                <w:szCs w:val="24"/>
                              </w:rPr>
                              <w:t>历年</w:t>
                            </w:r>
                            <w:r w:rsidRPr="009943D6">
                              <w:rPr>
                                <w:rFonts w:ascii="宋体" w:hAnsi="宋体" w:hint="eastAsia"/>
                                <w:b/>
                                <w:szCs w:val="24"/>
                              </w:rPr>
                              <w:t>战略性新兴产业上市公司IPO数量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本框 2" o:spid="_x0000_s1037" type="#_x0000_t202" style="position:absolute;left:0;text-align:left;margin-left:109.85pt;margin-top:38.35pt;width:233.25pt;height:22.8pt;z-index:2516101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" stroked="f">
                <v:textbox style="mso-fit-shape-to-text:t">
                  <w:txbxContent>
                    <w:p w:rsidR="004673E6" w:rsidRPr="00C57D12" w:rsidRDefault="004673E6" w:rsidP="009943D6">
                      <w:pPr>
                        <w:jc w:val="center"/>
                        <w:rPr>
                          <w:rFonts w:ascii="宋体" w:hAnsi="宋体"/>
                          <w:b/>
                          <w:szCs w:val="24"/>
                        </w:rPr>
                      </w:pPr>
                      <w:r w:rsidRPr="009943D6">
                        <w:rPr>
                          <w:rFonts w:ascii="宋体" w:hAnsi="宋体" w:hint="eastAsia"/>
                          <w:b/>
                          <w:szCs w:val="24"/>
                        </w:rPr>
                        <w:t>图</w:t>
                      </w:r>
                      <w:r>
                        <w:rPr>
                          <w:rFonts w:ascii="宋体" w:hAnsi="宋体" w:hint="eastAsia"/>
                          <w:b/>
                          <w:szCs w:val="24"/>
                        </w:rPr>
                        <w:t>1</w:t>
                      </w:r>
                      <w:r>
                        <w:rPr>
                          <w:rFonts w:ascii="宋体" w:hAnsi="宋体"/>
                          <w:b/>
                          <w:szCs w:val="24"/>
                        </w:rPr>
                        <w:t>2</w:t>
                      </w:r>
                      <w:r w:rsidRPr="009943D6">
                        <w:rPr>
                          <w:rFonts w:ascii="宋体" w:hAnsi="宋体" w:hint="eastAsia"/>
                          <w:b/>
                          <w:szCs w:val="24"/>
                        </w:rPr>
                        <w:t xml:space="preserve"> </w:t>
                      </w:r>
                      <w:r>
                        <w:rPr>
                          <w:rFonts w:ascii="宋体" w:hAnsi="宋体"/>
                          <w:b/>
                          <w:szCs w:val="24"/>
                        </w:rPr>
                        <w:t xml:space="preserve"> </w:t>
                      </w:r>
                      <w:r>
                        <w:rPr>
                          <w:rFonts w:ascii="宋体" w:hAnsi="宋体" w:hint="eastAsia"/>
                          <w:b/>
                          <w:szCs w:val="24"/>
                        </w:rPr>
                        <w:t>历年</w:t>
                      </w:r>
                      <w:r w:rsidRPr="009943D6">
                        <w:rPr>
                          <w:rFonts w:ascii="宋体" w:hAnsi="宋体" w:hint="eastAsia"/>
                          <w:b/>
                          <w:szCs w:val="24"/>
                        </w:rPr>
                        <w:t>战略性新兴产业上市公司IPO数量</w:t>
                      </w:r>
                    </w:p>
                  </w:txbxContent>
                </v:textbox>
              </v:shape>
            </w:pict>
          </mc:Fallback>
        </mc:AlternateContent>
      </w:r>
    </w:p>
    <w:p w:rsidR="00CF724F" w:rsidRDefault="00CF724F" w:rsidP="00D566A1">
      <w:pPr>
        <w:spacing w:beforeLines="100" w:before="312" w:afterLines="50" w:after="156" w:line="360" w:lineRule="auto"/>
        <w:ind w:firstLineChars="200" w:firstLine="480"/>
        <w:rPr>
          <w:rFonts w:ascii="宋体" w:hAnsi="宋体"/>
          <w:sz w:val="24"/>
          <w:szCs w:val="24"/>
        </w:rPr>
      </w:pPr>
    </w:p>
    <w:p w:rsidR="005769E9" w:rsidRPr="00DC0361" w:rsidRDefault="005769E9" w:rsidP="00D566A1">
      <w:pPr>
        <w:spacing w:beforeLines="100" w:before="312" w:afterLines="50" w:after="156" w:line="360" w:lineRule="auto"/>
        <w:ind w:firstLineChars="200" w:firstLine="480"/>
        <w:rPr>
          <w:rFonts w:ascii="仿宋" w:eastAsia="仿宋" w:hAnsi="仿宋"/>
          <w:color w:val="FF0000"/>
          <w:sz w:val="30"/>
          <w:szCs w:val="30"/>
        </w:rPr>
      </w:pPr>
      <w:r w:rsidRPr="005769E9">
        <w:rPr>
          <w:rFonts w:ascii="宋体" w:hAnsi="宋体" w:hint="eastAsia"/>
          <w:sz w:val="24"/>
          <w:szCs w:val="24"/>
        </w:rPr>
        <w:t>2015年，</w:t>
      </w:r>
      <w:r>
        <w:rPr>
          <w:rFonts w:ascii="宋体" w:hAnsi="宋体" w:hint="eastAsia"/>
          <w:sz w:val="24"/>
          <w:szCs w:val="24"/>
        </w:rPr>
        <w:t>战略性新兴产业</w:t>
      </w:r>
      <w:r>
        <w:rPr>
          <w:rFonts w:ascii="宋体" w:hAnsi="宋体"/>
          <w:sz w:val="24"/>
          <w:szCs w:val="24"/>
        </w:rPr>
        <w:t>上市</w:t>
      </w:r>
      <w:r w:rsidRPr="005769E9">
        <w:rPr>
          <w:rFonts w:ascii="宋体" w:hAnsi="宋体" w:hint="eastAsia"/>
          <w:sz w:val="24"/>
          <w:szCs w:val="24"/>
        </w:rPr>
        <w:t>公司股市</w:t>
      </w:r>
      <w:r>
        <w:rPr>
          <w:rFonts w:ascii="宋体" w:hAnsi="宋体" w:hint="eastAsia"/>
          <w:sz w:val="24"/>
          <w:szCs w:val="24"/>
        </w:rPr>
        <w:t>直接融</w:t>
      </w:r>
      <w:r w:rsidRPr="005769E9">
        <w:rPr>
          <w:rFonts w:ascii="宋体" w:hAnsi="宋体" w:hint="eastAsia"/>
          <w:sz w:val="24"/>
          <w:szCs w:val="24"/>
        </w:rPr>
        <w:t>资总额</w:t>
      </w:r>
      <w:r w:rsidR="00E021A0" w:rsidRPr="00E021A0">
        <w:rPr>
          <w:rFonts w:ascii="宋体" w:hAnsi="宋体"/>
          <w:sz w:val="24"/>
          <w:szCs w:val="24"/>
        </w:rPr>
        <w:t>3642.6</w:t>
      </w:r>
      <w:r w:rsidRPr="00E021A0">
        <w:rPr>
          <w:rFonts w:ascii="宋体" w:hAnsi="宋体" w:hint="eastAsia"/>
          <w:sz w:val="24"/>
          <w:szCs w:val="24"/>
        </w:rPr>
        <w:t>亿元</w:t>
      </w:r>
      <w:r w:rsidR="005D76B5" w:rsidRPr="00E021A0">
        <w:rPr>
          <w:rFonts w:ascii="宋体" w:hAnsi="宋体" w:hint="eastAsia"/>
          <w:sz w:val="24"/>
          <w:szCs w:val="24"/>
        </w:rPr>
        <w:t>（含</w:t>
      </w:r>
      <w:r w:rsidR="005D76B5" w:rsidRPr="00E021A0">
        <w:rPr>
          <w:rFonts w:ascii="宋体" w:hAnsi="宋体"/>
          <w:sz w:val="24"/>
          <w:szCs w:val="24"/>
        </w:rPr>
        <w:t>IPO</w:t>
      </w:r>
      <w:r w:rsidR="005D76B5" w:rsidRPr="00E021A0">
        <w:rPr>
          <w:rFonts w:ascii="宋体" w:hAnsi="宋体" w:hint="eastAsia"/>
          <w:sz w:val="24"/>
          <w:szCs w:val="24"/>
        </w:rPr>
        <w:t>募资</w:t>
      </w:r>
      <w:r w:rsidR="005D76B5" w:rsidRPr="00E021A0">
        <w:rPr>
          <w:rFonts w:ascii="宋体" w:hAnsi="宋体"/>
          <w:sz w:val="24"/>
          <w:szCs w:val="24"/>
        </w:rPr>
        <w:t>和增发募资）</w:t>
      </w:r>
      <w:r w:rsidRPr="005769E9">
        <w:rPr>
          <w:rFonts w:ascii="宋体" w:hAnsi="宋体" w:hint="eastAsia"/>
          <w:sz w:val="24"/>
          <w:szCs w:val="24"/>
        </w:rPr>
        <w:t>，公司债券融资总额</w:t>
      </w:r>
      <w:r w:rsidR="00E021A0">
        <w:rPr>
          <w:rFonts w:ascii="宋体" w:hAnsi="宋体"/>
          <w:sz w:val="24"/>
          <w:szCs w:val="24"/>
        </w:rPr>
        <w:t>1371.0</w:t>
      </w:r>
      <w:r w:rsidRPr="005769E9">
        <w:rPr>
          <w:rFonts w:ascii="宋体" w:hAnsi="宋体" w:hint="eastAsia"/>
          <w:sz w:val="24"/>
          <w:szCs w:val="24"/>
        </w:rPr>
        <w:t>亿元</w:t>
      </w:r>
      <w:r w:rsidR="003D5A36">
        <w:rPr>
          <w:rFonts w:ascii="宋体" w:hAnsi="宋体" w:hint="eastAsia"/>
          <w:sz w:val="24"/>
          <w:szCs w:val="24"/>
        </w:rPr>
        <w:t>（见</w:t>
      </w:r>
      <w:r w:rsidR="003D5A36">
        <w:rPr>
          <w:rFonts w:ascii="宋体" w:hAnsi="宋体"/>
          <w:sz w:val="24"/>
          <w:szCs w:val="24"/>
        </w:rPr>
        <w:t>图</w:t>
      </w:r>
      <w:r w:rsidR="003D5A36">
        <w:rPr>
          <w:rFonts w:ascii="宋体" w:hAnsi="宋体" w:hint="eastAsia"/>
          <w:sz w:val="24"/>
          <w:szCs w:val="24"/>
        </w:rPr>
        <w:t>13</w:t>
      </w:r>
      <w:r w:rsidR="003D5A36">
        <w:rPr>
          <w:rFonts w:ascii="宋体" w:hAnsi="宋体"/>
          <w:sz w:val="24"/>
          <w:szCs w:val="24"/>
        </w:rPr>
        <w:t>）</w:t>
      </w:r>
      <w:r w:rsidRPr="005769E9">
        <w:rPr>
          <w:rFonts w:ascii="宋体" w:hAnsi="宋体" w:hint="eastAsia"/>
          <w:sz w:val="24"/>
          <w:szCs w:val="24"/>
        </w:rPr>
        <w:t>，</w:t>
      </w:r>
      <w:r w:rsidR="0022747A">
        <w:rPr>
          <w:rFonts w:ascii="宋体" w:hAnsi="宋体" w:hint="eastAsia"/>
          <w:sz w:val="24"/>
          <w:szCs w:val="24"/>
        </w:rPr>
        <w:t>两者融资</w:t>
      </w:r>
      <w:r w:rsidR="0022747A">
        <w:rPr>
          <w:rFonts w:ascii="宋体" w:hAnsi="宋体"/>
          <w:sz w:val="24"/>
          <w:szCs w:val="24"/>
        </w:rPr>
        <w:t>总额</w:t>
      </w:r>
      <w:r w:rsidR="0022747A">
        <w:rPr>
          <w:rFonts w:ascii="宋体" w:hAnsi="宋体" w:hint="eastAsia"/>
          <w:sz w:val="24"/>
          <w:szCs w:val="24"/>
        </w:rPr>
        <w:t>持续提升</w:t>
      </w:r>
      <w:r w:rsidR="0022747A">
        <w:rPr>
          <w:rFonts w:ascii="宋体" w:hAnsi="宋体"/>
          <w:sz w:val="24"/>
          <w:szCs w:val="24"/>
        </w:rPr>
        <w:t>，</w:t>
      </w:r>
      <w:r w:rsidR="00590CD4">
        <w:rPr>
          <w:rFonts w:ascii="宋体" w:hAnsi="宋体" w:hint="eastAsia"/>
          <w:sz w:val="24"/>
          <w:szCs w:val="24"/>
        </w:rPr>
        <w:t>战略性</w:t>
      </w:r>
      <w:r w:rsidR="00590CD4">
        <w:rPr>
          <w:rFonts w:ascii="宋体" w:hAnsi="宋体"/>
          <w:sz w:val="24"/>
          <w:szCs w:val="24"/>
        </w:rPr>
        <w:t>新兴产业</w:t>
      </w:r>
      <w:r w:rsidR="00590CD4" w:rsidRPr="005769E9">
        <w:rPr>
          <w:rFonts w:ascii="宋体" w:hAnsi="宋体" w:hint="eastAsia"/>
          <w:sz w:val="24"/>
          <w:szCs w:val="24"/>
        </w:rPr>
        <w:t>通过融资实现自身发展的同时</w:t>
      </w:r>
      <w:r w:rsidR="00590CD4">
        <w:rPr>
          <w:rFonts w:ascii="宋体" w:hAnsi="宋体" w:hint="eastAsia"/>
          <w:sz w:val="24"/>
          <w:szCs w:val="24"/>
        </w:rPr>
        <w:t>，</w:t>
      </w:r>
      <w:r w:rsidRPr="005769E9">
        <w:rPr>
          <w:rFonts w:ascii="宋体" w:hAnsi="宋体" w:hint="eastAsia"/>
          <w:sz w:val="24"/>
          <w:szCs w:val="24"/>
        </w:rPr>
        <w:t>大力支持了公司的结构调整和转型升级。</w:t>
      </w:r>
    </w:p>
    <w:p w:rsidR="00521F9E" w:rsidRPr="00A45458" w:rsidRDefault="00521F9E" w:rsidP="00D566A1">
      <w:pPr>
        <w:spacing w:beforeLines="100" w:before="312" w:line="360" w:lineRule="auto"/>
        <w:ind w:firstLineChars="200" w:firstLine="602"/>
        <w:rPr>
          <w:rFonts w:ascii="仿宋" w:eastAsia="仿宋" w:hAnsi="仿宋"/>
          <w:b/>
          <w:color w:val="FF0000"/>
          <w:sz w:val="30"/>
          <w:szCs w:val="30"/>
        </w:rPr>
      </w:pPr>
      <w:r>
        <w:rPr>
          <w:rFonts w:ascii="仿宋" w:eastAsia="仿宋" w:hAnsi="仿宋"/>
          <w:b/>
          <w:noProof/>
          <w:sz w:val="30"/>
          <w:szCs w:val="30"/>
        </w:rPr>
        <w:drawing>
          <wp:anchor distT="0" distB="0" distL="114300" distR="114300" simplePos="0" relativeHeight="251612671" behindDoc="0" locked="0" layoutInCell="1" allowOverlap="1" wp14:anchorId="216869C6" wp14:editId="3DAE9185">
            <wp:simplePos x="0" y="0"/>
            <wp:positionH relativeFrom="column">
              <wp:posOffset>471170</wp:posOffset>
            </wp:positionH>
            <wp:positionV relativeFrom="paragraph">
              <wp:posOffset>2540</wp:posOffset>
            </wp:positionV>
            <wp:extent cx="4876800" cy="2047875"/>
            <wp:effectExtent l="0" t="0" r="0" b="0"/>
            <wp:wrapNone/>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rsidR="00521F9E" w:rsidRDefault="00521F9E" w:rsidP="00D566A1">
      <w:pPr>
        <w:spacing w:beforeLines="100" w:before="312" w:line="360" w:lineRule="auto"/>
        <w:rPr>
          <w:rFonts w:ascii="仿宋" w:eastAsia="仿宋" w:hAnsi="仿宋"/>
          <w:b/>
          <w:sz w:val="30"/>
          <w:szCs w:val="30"/>
        </w:rPr>
      </w:pPr>
    </w:p>
    <w:p w:rsidR="00C662FA" w:rsidRDefault="00C662FA" w:rsidP="00D566A1">
      <w:pPr>
        <w:spacing w:beforeLines="100" w:before="312" w:line="360" w:lineRule="auto"/>
        <w:rPr>
          <w:rFonts w:ascii="仿宋" w:eastAsia="仿宋" w:hAnsi="仿宋"/>
          <w:color w:val="FF0000"/>
          <w:sz w:val="30"/>
          <w:szCs w:val="30"/>
        </w:rPr>
      </w:pPr>
    </w:p>
    <w:p w:rsidR="00C662FA" w:rsidRDefault="006658E2" w:rsidP="00D566A1">
      <w:pPr>
        <w:spacing w:beforeLines="100" w:before="312" w:line="360" w:lineRule="auto"/>
        <w:rPr>
          <w:rFonts w:ascii="仿宋" w:eastAsia="仿宋" w:hAnsi="仿宋"/>
          <w:color w:val="FF0000"/>
          <w:sz w:val="30"/>
          <w:szCs w:val="30"/>
        </w:rPr>
      </w:pPr>
      <w:r>
        <w:rPr>
          <w:rFonts w:ascii="仿宋" w:eastAsia="仿宋" w:hAnsi="仿宋"/>
          <w:noProof/>
          <w:color w:val="FF0000"/>
          <w:sz w:val="30"/>
          <w:szCs w:val="30"/>
        </w:rPr>
        <mc:AlternateContent>
          <mc:Choice Requires="wps">
            <w:drawing>
              <wp:anchor distT="0" distB="0" distL="114300" distR="114300" simplePos="0" relativeHeight="251608064" behindDoc="0" locked="0" layoutInCell="1" allowOverlap="1" wp14:anchorId="6D1164D2" wp14:editId="4F55AD65">
                <wp:simplePos x="0" y="0"/>
                <wp:positionH relativeFrom="column">
                  <wp:posOffset>546735</wp:posOffset>
                </wp:positionH>
                <wp:positionV relativeFrom="paragraph">
                  <wp:posOffset>363855</wp:posOffset>
                </wp:positionV>
                <wp:extent cx="4660900" cy="303530"/>
                <wp:effectExtent l="0" t="0" r="6350" b="1270"/>
                <wp:wrapNone/>
                <wp:docPr id="23"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0" cy="303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73E6" w:rsidRPr="00290CC5" w:rsidRDefault="004673E6" w:rsidP="00521F9E">
                            <w:pPr>
                              <w:jc w:val="center"/>
                            </w:pPr>
                            <w:r w:rsidRPr="00290CC5">
                              <w:rPr>
                                <w:rFonts w:hint="eastAsia"/>
                                <w:b/>
                              </w:rPr>
                              <w:t>图</w:t>
                            </w:r>
                            <w:r>
                              <w:rPr>
                                <w:rFonts w:hint="eastAsia"/>
                                <w:b/>
                              </w:rPr>
                              <w:t>1</w:t>
                            </w:r>
                            <w:r>
                              <w:rPr>
                                <w:b/>
                              </w:rPr>
                              <w:t>3</w:t>
                            </w:r>
                            <w:r w:rsidRPr="00290CC5">
                              <w:rPr>
                                <w:rFonts w:hint="eastAsia"/>
                                <w:b/>
                              </w:rPr>
                              <w:t xml:space="preserve"> </w:t>
                            </w:r>
                            <w:r>
                              <w:rPr>
                                <w:b/>
                              </w:rPr>
                              <w:t xml:space="preserve"> 2013-2015</w:t>
                            </w:r>
                            <w:r>
                              <w:rPr>
                                <w:rFonts w:hint="eastAsia"/>
                                <w:b/>
                              </w:rPr>
                              <w:t>年战略性新兴产业上市公司融资</w:t>
                            </w:r>
                            <w:r>
                              <w:rPr>
                                <w:b/>
                              </w:rPr>
                              <w:t>情况（</w:t>
                            </w:r>
                            <w:r>
                              <w:rPr>
                                <w:rFonts w:hint="eastAsia"/>
                                <w:b/>
                              </w:rPr>
                              <w:t>亿元</w:t>
                            </w:r>
                            <w:r>
                              <w:rPr>
                                <w: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本框 9" o:spid="_x0000_s1038" type="#_x0000_t202" style="position:absolute;left:0;text-align:left;margin-left:43.05pt;margin-top:28.65pt;width:367pt;height:23.9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" stroked="f">
                <v:textbox>
                  <w:txbxContent>
                    <w:p w:rsidR="004673E6" w:rsidRPr="00290CC5" w:rsidRDefault="004673E6" w:rsidP="00521F9E">
                      <w:pPr>
                        <w:jc w:val="center"/>
                      </w:pPr>
                      <w:r w:rsidRPr="00290CC5">
                        <w:rPr>
                          <w:rFonts w:hint="eastAsia"/>
                          <w:b/>
                        </w:rPr>
                        <w:t>图</w:t>
                      </w:r>
                      <w:r>
                        <w:rPr>
                          <w:rFonts w:hint="eastAsia"/>
                          <w:b/>
                        </w:rPr>
                        <w:t>1</w:t>
                      </w:r>
                      <w:r>
                        <w:rPr>
                          <w:b/>
                        </w:rPr>
                        <w:t>3</w:t>
                      </w:r>
                      <w:r w:rsidRPr="00290CC5">
                        <w:rPr>
                          <w:rFonts w:hint="eastAsia"/>
                          <w:b/>
                        </w:rPr>
                        <w:t xml:space="preserve"> </w:t>
                      </w:r>
                      <w:r>
                        <w:rPr>
                          <w:b/>
                        </w:rPr>
                        <w:t xml:space="preserve"> 2013-2015</w:t>
                      </w:r>
                      <w:r>
                        <w:rPr>
                          <w:rFonts w:hint="eastAsia"/>
                          <w:b/>
                        </w:rPr>
                        <w:t>年战略性新兴产业上市公司融资</w:t>
                      </w:r>
                      <w:r>
                        <w:rPr>
                          <w:b/>
                        </w:rPr>
                        <w:t>情况（</w:t>
                      </w:r>
                      <w:r>
                        <w:rPr>
                          <w:rFonts w:hint="eastAsia"/>
                          <w:b/>
                        </w:rPr>
                        <w:t>亿元</w:t>
                      </w:r>
                      <w:r>
                        <w:rPr>
                          <w:b/>
                        </w:rPr>
                        <w:t>）</w:t>
                      </w:r>
                    </w:p>
                  </w:txbxContent>
                </v:textbox>
              </v:shape>
            </w:pict>
          </mc:Fallback>
        </mc:AlternateContent>
      </w:r>
    </w:p>
    <w:p w:rsidR="00AB14A8" w:rsidRDefault="00D36B3A" w:rsidP="00D566A1">
      <w:pPr>
        <w:spacing w:beforeLines="100" w:before="312" w:afterLines="50" w:after="156" w:line="360" w:lineRule="auto"/>
        <w:rPr>
          <w:rFonts w:ascii="黑体" w:eastAsia="黑体" w:hAnsi="黑体"/>
          <w:b/>
          <w:sz w:val="28"/>
          <w:szCs w:val="28"/>
        </w:rPr>
      </w:pPr>
      <w:r>
        <w:rPr>
          <w:rFonts w:ascii="黑体" w:eastAsia="黑体" w:hAnsi="黑体" w:hint="eastAsia"/>
          <w:b/>
          <w:sz w:val="28"/>
          <w:szCs w:val="28"/>
        </w:rPr>
        <w:t>（二）</w:t>
      </w:r>
      <w:r w:rsidR="00C83F7A">
        <w:rPr>
          <w:rFonts w:ascii="黑体" w:eastAsia="黑体" w:hAnsi="黑体" w:hint="eastAsia"/>
          <w:b/>
          <w:sz w:val="28"/>
          <w:szCs w:val="28"/>
        </w:rPr>
        <w:t>龙头</w:t>
      </w:r>
      <w:r w:rsidR="00D82625">
        <w:rPr>
          <w:rFonts w:ascii="黑体" w:eastAsia="黑体" w:hAnsi="黑体" w:hint="eastAsia"/>
          <w:b/>
          <w:sz w:val="28"/>
          <w:szCs w:val="28"/>
        </w:rPr>
        <w:t>企业引领</w:t>
      </w:r>
      <w:r w:rsidR="00DF3B8D">
        <w:rPr>
          <w:rFonts w:ascii="黑体" w:eastAsia="黑体" w:hAnsi="黑体" w:hint="eastAsia"/>
          <w:b/>
          <w:sz w:val="28"/>
          <w:szCs w:val="28"/>
        </w:rPr>
        <w:t>带动</w:t>
      </w:r>
      <w:r w:rsidR="00DF3B8D">
        <w:rPr>
          <w:rFonts w:ascii="黑体" w:eastAsia="黑体" w:hAnsi="黑体"/>
          <w:b/>
          <w:sz w:val="28"/>
          <w:szCs w:val="28"/>
        </w:rPr>
        <w:t>作用持续增</w:t>
      </w:r>
      <w:r w:rsidR="00E62D47">
        <w:rPr>
          <w:rFonts w:ascii="黑体" w:eastAsia="黑体" w:hAnsi="黑体"/>
          <w:b/>
          <w:sz w:val="28"/>
          <w:szCs w:val="28"/>
        </w:rPr>
        <w:t>强</w:t>
      </w:r>
    </w:p>
    <w:p w:rsidR="00F17DBE" w:rsidRPr="00FD6DBD" w:rsidRDefault="009C0E9B" w:rsidP="00680800">
      <w:pPr>
        <w:tabs>
          <w:tab w:val="left" w:pos="6096"/>
        </w:tabs>
        <w:spacing w:beforeLines="100" w:before="312" w:afterLines="50" w:after="156" w:line="360" w:lineRule="auto"/>
        <w:ind w:firstLineChars="200" w:firstLine="480"/>
        <w:rPr>
          <w:rFonts w:ascii="宋体" w:hAnsi="宋体"/>
          <w:color w:val="FF0000"/>
          <w:sz w:val="24"/>
          <w:szCs w:val="24"/>
        </w:rPr>
      </w:pPr>
      <w:r>
        <w:rPr>
          <w:rFonts w:ascii="宋体" w:hAnsi="宋体" w:hint="eastAsia"/>
          <w:sz w:val="24"/>
          <w:szCs w:val="24"/>
        </w:rPr>
        <w:t>近年来</w:t>
      </w:r>
      <w:r>
        <w:rPr>
          <w:rFonts w:ascii="宋体" w:hAnsi="宋体"/>
          <w:sz w:val="24"/>
          <w:szCs w:val="24"/>
        </w:rPr>
        <w:t>，</w:t>
      </w:r>
      <w:r>
        <w:rPr>
          <w:rFonts w:ascii="宋体" w:hAnsi="宋体" w:hint="eastAsia"/>
          <w:sz w:val="24"/>
          <w:szCs w:val="24"/>
        </w:rPr>
        <w:t>战略性</w:t>
      </w:r>
      <w:r>
        <w:rPr>
          <w:rFonts w:ascii="宋体" w:hAnsi="宋体"/>
          <w:sz w:val="24"/>
          <w:szCs w:val="24"/>
        </w:rPr>
        <w:t>新兴产业</w:t>
      </w:r>
      <w:r>
        <w:rPr>
          <w:rFonts w:ascii="宋体" w:hAnsi="宋体" w:hint="eastAsia"/>
          <w:sz w:val="24"/>
          <w:szCs w:val="24"/>
        </w:rPr>
        <w:t>发展模式逐渐</w:t>
      </w:r>
      <w:r w:rsidRPr="009C0E9B">
        <w:rPr>
          <w:rFonts w:ascii="宋体" w:hAnsi="宋体" w:hint="eastAsia"/>
          <w:sz w:val="24"/>
          <w:szCs w:val="24"/>
        </w:rPr>
        <w:t>从政府直接干预模式向政府规划引导、龙头企业带动、市场配置资源的发展模式转变</w:t>
      </w:r>
      <w:r>
        <w:rPr>
          <w:rFonts w:ascii="宋体" w:hAnsi="宋体" w:hint="eastAsia"/>
          <w:sz w:val="24"/>
          <w:szCs w:val="24"/>
        </w:rPr>
        <w:t>。</w:t>
      </w:r>
      <w:r w:rsidR="008734B1">
        <w:rPr>
          <w:rFonts w:ascii="宋体" w:hAnsi="宋体" w:hint="eastAsia"/>
          <w:sz w:val="24"/>
          <w:szCs w:val="24"/>
        </w:rPr>
        <w:t>201</w:t>
      </w:r>
      <w:r w:rsidR="008734B1">
        <w:rPr>
          <w:rFonts w:ascii="宋体" w:hAnsi="宋体"/>
          <w:sz w:val="24"/>
          <w:szCs w:val="24"/>
        </w:rPr>
        <w:t>5</w:t>
      </w:r>
      <w:r w:rsidR="008734B1">
        <w:rPr>
          <w:rFonts w:ascii="宋体" w:hAnsi="宋体" w:hint="eastAsia"/>
          <w:sz w:val="24"/>
          <w:szCs w:val="24"/>
        </w:rPr>
        <w:t>年，战略性新兴产业上市公司领军</w:t>
      </w:r>
      <w:r w:rsidR="008734B1">
        <w:rPr>
          <w:rFonts w:ascii="宋体" w:hAnsi="宋体"/>
          <w:sz w:val="24"/>
          <w:szCs w:val="24"/>
        </w:rPr>
        <w:t>企业</w:t>
      </w:r>
      <w:r w:rsidR="008734B1">
        <w:rPr>
          <w:rFonts w:ascii="宋体" w:hAnsi="宋体" w:hint="eastAsia"/>
          <w:sz w:val="24"/>
          <w:szCs w:val="24"/>
        </w:rPr>
        <w:t>（当年营业收入超过50亿元）的公司数达到了</w:t>
      </w:r>
      <w:r w:rsidR="008734B1" w:rsidRPr="007A649E">
        <w:rPr>
          <w:rFonts w:ascii="宋体" w:hAnsi="宋体"/>
          <w:sz w:val="24"/>
          <w:szCs w:val="24"/>
        </w:rPr>
        <w:t>140</w:t>
      </w:r>
      <w:r w:rsidR="008734B1" w:rsidRPr="007A649E">
        <w:rPr>
          <w:rFonts w:ascii="宋体" w:hAnsi="宋体" w:hint="eastAsia"/>
          <w:sz w:val="24"/>
          <w:szCs w:val="24"/>
        </w:rPr>
        <w:t>家</w:t>
      </w:r>
      <w:r w:rsidR="008734B1">
        <w:rPr>
          <w:rFonts w:ascii="宋体" w:hAnsi="宋体" w:hint="eastAsia"/>
          <w:sz w:val="24"/>
          <w:szCs w:val="24"/>
        </w:rPr>
        <w:t>，占比达</w:t>
      </w:r>
      <w:r w:rsidR="008734B1">
        <w:rPr>
          <w:rFonts w:ascii="宋体" w:hAnsi="宋体"/>
          <w:sz w:val="24"/>
          <w:szCs w:val="24"/>
        </w:rPr>
        <w:t>13.5</w:t>
      </w:r>
      <w:r w:rsidR="008734B1">
        <w:rPr>
          <w:rFonts w:ascii="宋体" w:hAnsi="宋体" w:hint="eastAsia"/>
          <w:sz w:val="24"/>
          <w:szCs w:val="24"/>
        </w:rPr>
        <w:t>%，较201</w:t>
      </w:r>
      <w:r w:rsidR="008734B1">
        <w:rPr>
          <w:rFonts w:ascii="宋体" w:hAnsi="宋体"/>
          <w:sz w:val="24"/>
          <w:szCs w:val="24"/>
        </w:rPr>
        <w:t>4</w:t>
      </w:r>
      <w:r w:rsidR="008734B1">
        <w:rPr>
          <w:rFonts w:ascii="宋体" w:hAnsi="宋体" w:hint="eastAsia"/>
          <w:sz w:val="24"/>
          <w:szCs w:val="24"/>
        </w:rPr>
        <w:t>年</w:t>
      </w:r>
      <w:r w:rsidR="008734B1" w:rsidRPr="001F1F86">
        <w:rPr>
          <w:rFonts w:ascii="宋体" w:hAnsi="宋体" w:hint="eastAsia"/>
          <w:sz w:val="24"/>
          <w:szCs w:val="24"/>
        </w:rPr>
        <w:t>增加了</w:t>
      </w:r>
      <w:r w:rsidR="008734B1" w:rsidRPr="001F1F86">
        <w:rPr>
          <w:rFonts w:ascii="宋体" w:hAnsi="宋体"/>
          <w:sz w:val="24"/>
          <w:szCs w:val="24"/>
        </w:rPr>
        <w:t>24</w:t>
      </w:r>
      <w:r w:rsidR="008734B1" w:rsidRPr="001F1F86">
        <w:rPr>
          <w:rFonts w:ascii="宋体" w:hAnsi="宋体" w:hint="eastAsia"/>
          <w:sz w:val="24"/>
          <w:szCs w:val="24"/>
        </w:rPr>
        <w:t>家</w:t>
      </w:r>
      <w:r w:rsidR="008734B1">
        <w:rPr>
          <w:rFonts w:ascii="宋体" w:hAnsi="宋体" w:hint="eastAsia"/>
          <w:sz w:val="24"/>
          <w:szCs w:val="24"/>
        </w:rPr>
        <w:t>。与此同时，</w:t>
      </w:r>
      <w:r w:rsidR="008734B1" w:rsidRPr="00166F63">
        <w:rPr>
          <w:rFonts w:ascii="宋体" w:hAnsi="宋体" w:hint="eastAsia"/>
          <w:sz w:val="24"/>
          <w:szCs w:val="24"/>
        </w:rPr>
        <w:t>领军</w:t>
      </w:r>
      <w:r w:rsidR="008734B1" w:rsidRPr="00166F63">
        <w:rPr>
          <w:rFonts w:ascii="宋体" w:hAnsi="宋体"/>
          <w:sz w:val="24"/>
          <w:szCs w:val="24"/>
        </w:rPr>
        <w:t>企业</w:t>
      </w:r>
      <w:r w:rsidR="008734B1" w:rsidRPr="00166F63">
        <w:rPr>
          <w:rFonts w:ascii="宋体" w:hAnsi="宋体" w:hint="eastAsia"/>
          <w:sz w:val="24"/>
          <w:szCs w:val="24"/>
        </w:rPr>
        <w:t>营收</w:t>
      </w:r>
      <w:r w:rsidR="008734B1">
        <w:rPr>
          <w:rFonts w:ascii="宋体" w:hAnsi="宋体" w:hint="eastAsia"/>
          <w:sz w:val="24"/>
          <w:szCs w:val="24"/>
        </w:rPr>
        <w:t>和</w:t>
      </w:r>
      <w:r w:rsidR="008734B1" w:rsidRPr="00166F63">
        <w:rPr>
          <w:rFonts w:ascii="宋体" w:hAnsi="宋体"/>
          <w:sz w:val="24"/>
          <w:szCs w:val="24"/>
        </w:rPr>
        <w:t>利润分别</w:t>
      </w:r>
      <w:r w:rsidR="008734B1" w:rsidRPr="00166F63">
        <w:rPr>
          <w:rFonts w:ascii="宋体" w:hAnsi="宋体" w:hint="eastAsia"/>
          <w:sz w:val="24"/>
          <w:szCs w:val="24"/>
        </w:rPr>
        <w:t>达2</w:t>
      </w:r>
      <w:r w:rsidR="008734B1" w:rsidRPr="00166F63">
        <w:rPr>
          <w:rFonts w:ascii="宋体" w:hAnsi="宋体"/>
          <w:sz w:val="24"/>
          <w:szCs w:val="24"/>
        </w:rPr>
        <w:t>4740.9</w:t>
      </w:r>
      <w:r w:rsidR="008734B1" w:rsidRPr="00166F63">
        <w:rPr>
          <w:rFonts w:ascii="宋体" w:hAnsi="宋体" w:hint="eastAsia"/>
          <w:sz w:val="24"/>
          <w:szCs w:val="24"/>
        </w:rPr>
        <w:t>亿元和1625.3亿元</w:t>
      </w:r>
      <w:r w:rsidR="008734B1" w:rsidRPr="00166F63">
        <w:rPr>
          <w:rFonts w:ascii="宋体" w:hAnsi="宋体"/>
          <w:sz w:val="24"/>
          <w:szCs w:val="24"/>
        </w:rPr>
        <w:t>，</w:t>
      </w:r>
      <w:r w:rsidR="008734B1" w:rsidRPr="00461B6C">
        <w:rPr>
          <w:rFonts w:ascii="宋体" w:hAnsi="宋体" w:hint="eastAsia"/>
          <w:sz w:val="24"/>
          <w:szCs w:val="24"/>
        </w:rPr>
        <w:t>占同期</w:t>
      </w:r>
      <w:r w:rsidR="008734B1" w:rsidRPr="00461B6C">
        <w:rPr>
          <w:rFonts w:ascii="宋体" w:hAnsi="宋体"/>
          <w:sz w:val="24"/>
          <w:szCs w:val="24"/>
        </w:rPr>
        <w:t>战略性新兴产业</w:t>
      </w:r>
      <w:r w:rsidR="008734B1" w:rsidRPr="00461B6C">
        <w:rPr>
          <w:rFonts w:ascii="宋体" w:hAnsi="宋体" w:hint="eastAsia"/>
          <w:sz w:val="24"/>
          <w:szCs w:val="24"/>
        </w:rPr>
        <w:t>上市公司</w:t>
      </w:r>
      <w:r w:rsidR="008734B1" w:rsidRPr="00461B6C">
        <w:rPr>
          <w:rFonts w:ascii="宋体" w:hAnsi="宋体"/>
          <w:sz w:val="24"/>
          <w:szCs w:val="24"/>
        </w:rPr>
        <w:t>总体的</w:t>
      </w:r>
      <w:r w:rsidR="008734B1" w:rsidRPr="00461B6C">
        <w:rPr>
          <w:rFonts w:ascii="宋体" w:hAnsi="宋体" w:hint="eastAsia"/>
          <w:sz w:val="24"/>
          <w:szCs w:val="24"/>
        </w:rPr>
        <w:t>67.2</w:t>
      </w:r>
      <w:r w:rsidR="008734B1" w:rsidRPr="00461B6C">
        <w:rPr>
          <w:rFonts w:ascii="宋体" w:hAnsi="宋体"/>
          <w:sz w:val="24"/>
          <w:szCs w:val="24"/>
        </w:rPr>
        <w:t>%</w:t>
      </w:r>
      <w:r w:rsidR="008734B1" w:rsidRPr="00461B6C">
        <w:rPr>
          <w:rFonts w:ascii="宋体" w:hAnsi="宋体" w:hint="eastAsia"/>
          <w:sz w:val="24"/>
          <w:szCs w:val="24"/>
        </w:rPr>
        <w:t>以及53.2</w:t>
      </w:r>
      <w:r w:rsidR="008734B1" w:rsidRPr="00461B6C">
        <w:rPr>
          <w:rFonts w:ascii="宋体" w:hAnsi="宋体"/>
          <w:sz w:val="24"/>
          <w:szCs w:val="24"/>
        </w:rPr>
        <w:t>%</w:t>
      </w:r>
      <w:r w:rsidR="00BC7CA6">
        <w:rPr>
          <w:rFonts w:ascii="宋体" w:hAnsi="宋体" w:hint="eastAsia"/>
          <w:sz w:val="24"/>
          <w:szCs w:val="24"/>
        </w:rPr>
        <w:t>（见</w:t>
      </w:r>
      <w:r w:rsidR="00BC7CA6">
        <w:rPr>
          <w:rFonts w:ascii="宋体" w:hAnsi="宋体"/>
          <w:sz w:val="24"/>
          <w:szCs w:val="24"/>
        </w:rPr>
        <w:t>图</w:t>
      </w:r>
      <w:r w:rsidR="00BC7CA6">
        <w:rPr>
          <w:rFonts w:ascii="宋体" w:hAnsi="宋体" w:hint="eastAsia"/>
          <w:sz w:val="24"/>
          <w:szCs w:val="24"/>
        </w:rPr>
        <w:t>14</w:t>
      </w:r>
      <w:r w:rsidR="00BC7CA6">
        <w:rPr>
          <w:rFonts w:ascii="宋体" w:hAnsi="宋体"/>
          <w:sz w:val="24"/>
          <w:szCs w:val="24"/>
        </w:rPr>
        <w:t>）</w:t>
      </w:r>
      <w:r w:rsidR="008734B1">
        <w:rPr>
          <w:rFonts w:ascii="宋体" w:hAnsi="宋体" w:hint="eastAsia"/>
          <w:sz w:val="24"/>
          <w:szCs w:val="24"/>
        </w:rPr>
        <w:t>。</w:t>
      </w:r>
      <w:r w:rsidR="00BE1E91" w:rsidRPr="00FE0E96">
        <w:rPr>
          <w:rFonts w:ascii="宋体" w:hAnsi="宋体" w:hint="eastAsia"/>
          <w:sz w:val="24"/>
          <w:szCs w:val="24"/>
        </w:rPr>
        <w:t>例如，</w:t>
      </w:r>
      <w:r w:rsidR="00FE0E96" w:rsidRPr="00FE0E96">
        <w:rPr>
          <w:rFonts w:ascii="宋体" w:hAnsi="宋体" w:hint="eastAsia"/>
          <w:sz w:val="24"/>
          <w:szCs w:val="24"/>
        </w:rPr>
        <w:t>在生物、新一代</w:t>
      </w:r>
      <w:r w:rsidR="00FE0E96" w:rsidRPr="00FE0E96">
        <w:rPr>
          <w:rFonts w:ascii="宋体" w:hAnsi="宋体"/>
          <w:sz w:val="24"/>
          <w:szCs w:val="24"/>
        </w:rPr>
        <w:t>信息技术、</w:t>
      </w:r>
      <w:r w:rsidR="00FE0E96" w:rsidRPr="00FE0E96">
        <w:rPr>
          <w:rFonts w:ascii="宋体" w:hAnsi="宋体" w:hint="eastAsia"/>
          <w:sz w:val="24"/>
          <w:szCs w:val="24"/>
        </w:rPr>
        <w:t>节能</w:t>
      </w:r>
      <w:r w:rsidR="00FE0E96" w:rsidRPr="00FE0E96">
        <w:rPr>
          <w:rFonts w:ascii="宋体" w:hAnsi="宋体"/>
          <w:sz w:val="24"/>
          <w:szCs w:val="24"/>
        </w:rPr>
        <w:t>环保</w:t>
      </w:r>
      <w:r w:rsidR="00FE0E96" w:rsidRPr="00FE0E96">
        <w:rPr>
          <w:rFonts w:ascii="宋体" w:hAnsi="宋体" w:hint="eastAsia"/>
          <w:sz w:val="24"/>
          <w:szCs w:val="24"/>
        </w:rPr>
        <w:t>以及</w:t>
      </w:r>
      <w:r w:rsidR="00FE0E96" w:rsidRPr="00FE0E96">
        <w:rPr>
          <w:rFonts w:ascii="宋体" w:hAnsi="宋体"/>
          <w:sz w:val="24"/>
          <w:szCs w:val="24"/>
        </w:rPr>
        <w:t>新能源等领域，</w:t>
      </w:r>
      <w:r w:rsidR="00FE0E96" w:rsidRPr="00FE0E96">
        <w:rPr>
          <w:rFonts w:ascii="宋体" w:hAnsi="宋体" w:hint="eastAsia"/>
          <w:sz w:val="24"/>
          <w:szCs w:val="24"/>
        </w:rPr>
        <w:t>涌现出东阿阿胶、振华科技、福日电子</w:t>
      </w:r>
      <w:r w:rsidR="00FE0E96" w:rsidRPr="00FE0E96">
        <w:rPr>
          <w:rFonts w:ascii="宋体" w:hAnsi="宋体"/>
          <w:sz w:val="24"/>
          <w:szCs w:val="24"/>
        </w:rPr>
        <w:t>、碧水源</w:t>
      </w:r>
      <w:r w:rsidR="00EE1A47">
        <w:rPr>
          <w:rFonts w:ascii="宋体" w:hAnsi="宋体" w:hint="eastAsia"/>
          <w:sz w:val="24"/>
          <w:szCs w:val="24"/>
        </w:rPr>
        <w:t>、格林美</w:t>
      </w:r>
      <w:r w:rsidR="00EE1A47">
        <w:rPr>
          <w:rFonts w:ascii="宋体" w:hAnsi="宋体"/>
          <w:sz w:val="24"/>
          <w:szCs w:val="24"/>
        </w:rPr>
        <w:t>、</w:t>
      </w:r>
      <w:r w:rsidR="00EE1A47" w:rsidRPr="00EE1A47">
        <w:rPr>
          <w:rFonts w:ascii="宋体" w:hAnsi="宋体" w:hint="eastAsia"/>
          <w:sz w:val="24"/>
          <w:szCs w:val="24"/>
        </w:rPr>
        <w:t>隆基股份</w:t>
      </w:r>
      <w:r w:rsidR="00EE1A47">
        <w:rPr>
          <w:rFonts w:ascii="宋体" w:hAnsi="宋体" w:hint="eastAsia"/>
          <w:sz w:val="24"/>
          <w:szCs w:val="24"/>
        </w:rPr>
        <w:t>、</w:t>
      </w:r>
      <w:r w:rsidR="00EE1A47">
        <w:rPr>
          <w:rFonts w:ascii="宋体" w:hAnsi="宋体"/>
          <w:sz w:val="24"/>
          <w:szCs w:val="24"/>
        </w:rPr>
        <w:t>海润</w:t>
      </w:r>
      <w:proofErr w:type="gramStart"/>
      <w:r w:rsidR="00EE1A47">
        <w:rPr>
          <w:rFonts w:ascii="宋体" w:hAnsi="宋体"/>
          <w:sz w:val="24"/>
          <w:szCs w:val="24"/>
        </w:rPr>
        <w:t>光伏</w:t>
      </w:r>
      <w:r w:rsidR="00BE1E91" w:rsidRPr="00FE0E96">
        <w:rPr>
          <w:rFonts w:ascii="宋体" w:hAnsi="宋体" w:hint="eastAsia"/>
          <w:sz w:val="24"/>
          <w:szCs w:val="24"/>
        </w:rPr>
        <w:t>等</w:t>
      </w:r>
      <w:r w:rsidR="00FE0E96" w:rsidRPr="00FE0E96">
        <w:rPr>
          <w:rFonts w:ascii="宋体" w:hAnsi="宋体" w:hint="eastAsia"/>
          <w:sz w:val="24"/>
          <w:szCs w:val="24"/>
        </w:rPr>
        <w:t>领军</w:t>
      </w:r>
      <w:proofErr w:type="gramEnd"/>
      <w:r w:rsidR="00BE1E91" w:rsidRPr="00FE0E96">
        <w:rPr>
          <w:rFonts w:ascii="宋体" w:hAnsi="宋体" w:hint="eastAsia"/>
          <w:sz w:val="24"/>
          <w:szCs w:val="24"/>
        </w:rPr>
        <w:t>企业</w:t>
      </w:r>
      <w:r w:rsidR="00FE0E96" w:rsidRPr="00FE0E96">
        <w:rPr>
          <w:rFonts w:ascii="宋体" w:hAnsi="宋体" w:hint="eastAsia"/>
          <w:sz w:val="24"/>
          <w:szCs w:val="24"/>
        </w:rPr>
        <w:t>，2015</w:t>
      </w:r>
      <w:r w:rsidR="00BE1E91" w:rsidRPr="00FE0E96">
        <w:rPr>
          <w:rFonts w:ascii="宋体" w:hAnsi="宋体" w:hint="eastAsia"/>
          <w:sz w:val="24"/>
          <w:szCs w:val="24"/>
        </w:rPr>
        <w:t>年营</w:t>
      </w:r>
      <w:proofErr w:type="gramStart"/>
      <w:r w:rsidR="00BE1E91" w:rsidRPr="00FE0E96">
        <w:rPr>
          <w:rFonts w:ascii="宋体" w:hAnsi="宋体" w:hint="eastAsia"/>
          <w:sz w:val="24"/>
          <w:szCs w:val="24"/>
        </w:rPr>
        <w:t>收实现</w:t>
      </w:r>
      <w:proofErr w:type="gramEnd"/>
      <w:r w:rsidR="00BE1E91" w:rsidRPr="00FE0E96">
        <w:rPr>
          <w:rFonts w:ascii="宋体" w:hAnsi="宋体" w:hint="eastAsia"/>
          <w:sz w:val="24"/>
          <w:szCs w:val="24"/>
        </w:rPr>
        <w:t>快速增长，</w:t>
      </w:r>
      <w:r w:rsidR="00EE1A47">
        <w:rPr>
          <w:rFonts w:ascii="宋体" w:hAnsi="宋体" w:hint="eastAsia"/>
          <w:sz w:val="24"/>
          <w:szCs w:val="24"/>
        </w:rPr>
        <w:t>营</w:t>
      </w:r>
      <w:proofErr w:type="gramStart"/>
      <w:r w:rsidR="00EE1A47">
        <w:rPr>
          <w:rFonts w:ascii="宋体" w:hAnsi="宋体" w:hint="eastAsia"/>
          <w:sz w:val="24"/>
          <w:szCs w:val="24"/>
        </w:rPr>
        <w:t>收</w:t>
      </w:r>
      <w:r w:rsidR="00EE1A47">
        <w:rPr>
          <w:rFonts w:ascii="宋体" w:hAnsi="宋体"/>
          <w:sz w:val="24"/>
          <w:szCs w:val="24"/>
        </w:rPr>
        <w:t>规</w:t>
      </w:r>
      <w:r w:rsidR="00EE1A47">
        <w:rPr>
          <w:rFonts w:ascii="宋体" w:hAnsi="宋体"/>
          <w:sz w:val="24"/>
          <w:szCs w:val="24"/>
        </w:rPr>
        <w:lastRenderedPageBreak/>
        <w:t>模</w:t>
      </w:r>
      <w:proofErr w:type="gramEnd"/>
      <w:r w:rsidR="00FE0E96" w:rsidRPr="00FE0E96">
        <w:rPr>
          <w:rFonts w:ascii="宋体" w:hAnsi="宋体"/>
          <w:sz w:val="24"/>
          <w:szCs w:val="24"/>
        </w:rPr>
        <w:t>跨入</w:t>
      </w:r>
      <w:r w:rsidR="00FE0E96" w:rsidRPr="00FE0E96">
        <w:rPr>
          <w:rFonts w:ascii="宋体" w:hAnsi="宋体" w:hint="eastAsia"/>
          <w:sz w:val="24"/>
          <w:szCs w:val="24"/>
        </w:rPr>
        <w:t>50亿行列</w:t>
      </w:r>
      <w:r w:rsidR="00BE1E91" w:rsidRPr="00FE0E96">
        <w:rPr>
          <w:rFonts w:ascii="宋体" w:hAnsi="宋体" w:hint="eastAsia"/>
          <w:sz w:val="24"/>
          <w:szCs w:val="24"/>
        </w:rPr>
        <w:t>。</w:t>
      </w:r>
      <w:r w:rsidR="008734B1">
        <w:rPr>
          <w:rFonts w:ascii="宋体" w:hAnsi="宋体" w:hint="eastAsia"/>
          <w:sz w:val="24"/>
          <w:szCs w:val="24"/>
        </w:rPr>
        <w:t>可以</w:t>
      </w:r>
      <w:r w:rsidR="008734B1">
        <w:rPr>
          <w:rFonts w:ascii="宋体" w:hAnsi="宋体"/>
          <w:sz w:val="24"/>
          <w:szCs w:val="24"/>
        </w:rPr>
        <w:t>看到，</w:t>
      </w:r>
      <w:r w:rsidR="00784436" w:rsidRPr="00784436">
        <w:rPr>
          <w:rFonts w:ascii="宋体" w:hAnsi="宋体" w:hint="eastAsia"/>
          <w:sz w:val="24"/>
          <w:szCs w:val="24"/>
        </w:rPr>
        <w:t>领军企业</w:t>
      </w:r>
      <w:r w:rsidR="008734B1">
        <w:rPr>
          <w:rFonts w:ascii="宋体" w:hAnsi="宋体" w:hint="eastAsia"/>
          <w:sz w:val="24"/>
          <w:szCs w:val="24"/>
        </w:rPr>
        <w:t>数量的</w:t>
      </w:r>
      <w:r w:rsidR="00BE1E91">
        <w:rPr>
          <w:rFonts w:ascii="宋体" w:hAnsi="宋体" w:hint="eastAsia"/>
          <w:sz w:val="24"/>
          <w:szCs w:val="24"/>
        </w:rPr>
        <w:t>不断</w:t>
      </w:r>
      <w:r w:rsidR="008734B1">
        <w:rPr>
          <w:rFonts w:ascii="宋体" w:hAnsi="宋体"/>
          <w:sz w:val="24"/>
          <w:szCs w:val="24"/>
        </w:rPr>
        <w:t>提升</w:t>
      </w:r>
      <w:r>
        <w:rPr>
          <w:rFonts w:ascii="宋体" w:hAnsi="宋体"/>
          <w:sz w:val="24"/>
          <w:szCs w:val="24"/>
        </w:rPr>
        <w:t>，带动</w:t>
      </w:r>
      <w:r w:rsidR="008734B1">
        <w:rPr>
          <w:rFonts w:ascii="宋体" w:hAnsi="宋体" w:hint="eastAsia"/>
          <w:sz w:val="24"/>
          <w:szCs w:val="24"/>
        </w:rPr>
        <w:t>了</w:t>
      </w:r>
      <w:r w:rsidR="00BE1E91">
        <w:rPr>
          <w:rFonts w:ascii="宋体" w:hAnsi="宋体" w:hint="eastAsia"/>
          <w:sz w:val="24"/>
          <w:szCs w:val="24"/>
        </w:rPr>
        <w:t>战略性</w:t>
      </w:r>
      <w:r w:rsidR="00BE1E91" w:rsidRPr="001B58D0">
        <w:rPr>
          <w:rFonts w:ascii="宋体" w:hAnsi="宋体" w:hint="eastAsia"/>
          <w:sz w:val="24"/>
          <w:szCs w:val="24"/>
        </w:rPr>
        <w:t>新兴产业</w:t>
      </w:r>
      <w:r w:rsidR="00BE1E91">
        <w:rPr>
          <w:rFonts w:ascii="宋体" w:hAnsi="宋体" w:hint="eastAsia"/>
          <w:sz w:val="24"/>
          <w:szCs w:val="24"/>
        </w:rPr>
        <w:t>上市公司</w:t>
      </w:r>
      <w:r>
        <w:rPr>
          <w:rFonts w:ascii="宋体" w:hAnsi="宋体"/>
          <w:sz w:val="24"/>
          <w:szCs w:val="24"/>
        </w:rPr>
        <w:t>整体发展</w:t>
      </w:r>
      <w:r w:rsidR="008734B1">
        <w:rPr>
          <w:rFonts w:ascii="宋体" w:hAnsi="宋体" w:hint="eastAsia"/>
          <w:sz w:val="24"/>
          <w:szCs w:val="24"/>
        </w:rPr>
        <w:t>壮大</w:t>
      </w:r>
      <w:r w:rsidR="00CC3169" w:rsidRPr="00F70B1C">
        <w:rPr>
          <w:rFonts w:ascii="宋体" w:hAnsi="宋体" w:hint="eastAsia"/>
          <w:sz w:val="24"/>
          <w:szCs w:val="24"/>
        </w:rPr>
        <w:t>。</w:t>
      </w:r>
    </w:p>
    <w:p w:rsidR="001C23EA" w:rsidRDefault="00680800" w:rsidP="00680800">
      <w:pPr>
        <w:spacing w:beforeLines="100" w:before="312" w:afterLines="50" w:after="156" w:line="360" w:lineRule="auto"/>
        <w:ind w:firstLineChars="200" w:firstLine="562"/>
        <w:rPr>
          <w:rFonts w:ascii="宋体" w:hAnsi="宋体"/>
          <w:sz w:val="24"/>
          <w:szCs w:val="24"/>
        </w:rPr>
      </w:pPr>
      <w:r w:rsidRPr="00BF0C75">
        <w:rPr>
          <w:rFonts w:ascii="黑体" w:eastAsia="黑体" w:hAnsi="黑体" w:hint="eastAsia"/>
          <w:b/>
          <w:noProof/>
          <w:color w:val="FF0000"/>
          <w:sz w:val="28"/>
          <w:szCs w:val="28"/>
        </w:rPr>
        <w:drawing>
          <wp:anchor distT="0" distB="0" distL="114300" distR="114300" simplePos="0" relativeHeight="251612160" behindDoc="0" locked="0" layoutInCell="1" allowOverlap="1" wp14:anchorId="1960AB0D" wp14:editId="2C8EDF20">
            <wp:simplePos x="0" y="0"/>
            <wp:positionH relativeFrom="column">
              <wp:posOffset>471170</wp:posOffset>
            </wp:positionH>
            <wp:positionV relativeFrom="paragraph">
              <wp:posOffset>-24130</wp:posOffset>
            </wp:positionV>
            <wp:extent cx="4229100" cy="1752600"/>
            <wp:effectExtent l="0" t="0" r="0" b="0"/>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V relativeFrom="margin">
              <wp14:pctHeight>0</wp14:pctHeight>
            </wp14:sizeRelV>
          </wp:anchor>
        </w:drawing>
      </w:r>
    </w:p>
    <w:p w:rsidR="00BE1E91" w:rsidRDefault="00BE1E91" w:rsidP="00D566A1">
      <w:pPr>
        <w:spacing w:beforeLines="100" w:before="312" w:afterLines="50" w:after="156" w:line="360" w:lineRule="auto"/>
        <w:ind w:firstLineChars="200" w:firstLine="480"/>
        <w:rPr>
          <w:rFonts w:ascii="宋体" w:hAnsi="宋体"/>
          <w:sz w:val="24"/>
          <w:szCs w:val="24"/>
        </w:rPr>
      </w:pPr>
    </w:p>
    <w:p w:rsidR="00BE1E91" w:rsidRDefault="00BE1E91" w:rsidP="00D566A1">
      <w:pPr>
        <w:spacing w:beforeLines="100" w:before="312" w:afterLines="50" w:after="156" w:line="360" w:lineRule="auto"/>
        <w:ind w:firstLineChars="200" w:firstLine="480"/>
        <w:rPr>
          <w:rFonts w:ascii="宋体" w:hAnsi="宋体"/>
          <w:sz w:val="24"/>
          <w:szCs w:val="24"/>
        </w:rPr>
      </w:pPr>
    </w:p>
    <w:p w:rsidR="00BE1E91" w:rsidRDefault="00B37F3B" w:rsidP="00D566A1">
      <w:pPr>
        <w:spacing w:beforeLines="100" w:before="312" w:afterLines="50" w:after="156" w:line="360" w:lineRule="auto"/>
        <w:ind w:firstLineChars="200" w:firstLine="600"/>
        <w:rPr>
          <w:rFonts w:ascii="宋体" w:hAnsi="宋体"/>
          <w:sz w:val="24"/>
          <w:szCs w:val="24"/>
        </w:rPr>
      </w:pPr>
      <w:r>
        <w:rPr>
          <w:rFonts w:ascii="仿宋" w:eastAsia="仿宋" w:hAnsi="仿宋"/>
          <w:noProof/>
          <w:color w:val="FF0000"/>
          <w:sz w:val="30"/>
          <w:szCs w:val="30"/>
        </w:rPr>
        <mc:AlternateContent>
          <mc:Choice Requires="wps">
            <w:drawing>
              <wp:anchor distT="0" distB="0" distL="114300" distR="114300" simplePos="0" relativeHeight="251688960" behindDoc="0" locked="0" layoutInCell="1" allowOverlap="1" wp14:anchorId="05C0A5EB" wp14:editId="4AA9D16E">
                <wp:simplePos x="0" y="0"/>
                <wp:positionH relativeFrom="column">
                  <wp:posOffset>628650</wp:posOffset>
                </wp:positionH>
                <wp:positionV relativeFrom="paragraph">
                  <wp:posOffset>81280</wp:posOffset>
                </wp:positionV>
                <wp:extent cx="4660900" cy="303530"/>
                <wp:effectExtent l="0" t="0" r="6350" b="1270"/>
                <wp:wrapNone/>
                <wp:docPr id="22"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0" cy="303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73E6" w:rsidRPr="00290CC5" w:rsidRDefault="004673E6" w:rsidP="00FE0E96">
                            <w:pPr>
                              <w:jc w:val="center"/>
                            </w:pPr>
                            <w:r w:rsidRPr="00290CC5">
                              <w:rPr>
                                <w:rFonts w:hint="eastAsia"/>
                                <w:b/>
                              </w:rPr>
                              <w:t>图</w:t>
                            </w:r>
                            <w:r>
                              <w:rPr>
                                <w:rFonts w:hint="eastAsia"/>
                                <w:b/>
                              </w:rPr>
                              <w:t>1</w:t>
                            </w:r>
                            <w:r>
                              <w:rPr>
                                <w:b/>
                              </w:rPr>
                              <w:t xml:space="preserve">4 </w:t>
                            </w:r>
                            <w:r w:rsidRPr="00290CC5">
                              <w:rPr>
                                <w:rFonts w:hint="eastAsia"/>
                                <w:b/>
                              </w:rPr>
                              <w:t xml:space="preserve"> </w:t>
                            </w:r>
                            <w:r>
                              <w:rPr>
                                <w:b/>
                              </w:rPr>
                              <w:t>2015</w:t>
                            </w:r>
                            <w:r>
                              <w:rPr>
                                <w:rFonts w:hint="eastAsia"/>
                                <w:b/>
                              </w:rPr>
                              <w:t>年战略性新兴产业上市公司领军企业数量</w:t>
                            </w:r>
                            <w:r>
                              <w:rPr>
                                <w:b/>
                              </w:rPr>
                              <w:t>、营收</w:t>
                            </w:r>
                            <w:r>
                              <w:rPr>
                                <w:rFonts w:hint="eastAsia"/>
                                <w:b/>
                              </w:rPr>
                              <w:t>以及</w:t>
                            </w:r>
                            <w:r>
                              <w:rPr>
                                <w:b/>
                              </w:rPr>
                              <w:t>利润占比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本框 16" o:spid="_x0000_s1039" type="#_x0000_t202" style="position:absolute;left:0;text-align:left;margin-left:49.5pt;margin-top:6.4pt;width:367pt;height:23.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" stroked="f">
                <v:textbox>
                  <w:txbxContent>
                    <w:p w:rsidR="004673E6" w:rsidRPr="00290CC5" w:rsidRDefault="004673E6" w:rsidP="00FE0E96">
                      <w:pPr>
                        <w:jc w:val="center"/>
                      </w:pPr>
                      <w:r w:rsidRPr="00290CC5">
                        <w:rPr>
                          <w:rFonts w:hint="eastAsia"/>
                          <w:b/>
                        </w:rPr>
                        <w:t>图</w:t>
                      </w:r>
                      <w:r>
                        <w:rPr>
                          <w:rFonts w:hint="eastAsia"/>
                          <w:b/>
                        </w:rPr>
                        <w:t>1</w:t>
                      </w:r>
                      <w:r>
                        <w:rPr>
                          <w:b/>
                        </w:rPr>
                        <w:t xml:space="preserve">4 </w:t>
                      </w:r>
                      <w:r w:rsidRPr="00290CC5">
                        <w:rPr>
                          <w:rFonts w:hint="eastAsia"/>
                          <w:b/>
                        </w:rPr>
                        <w:t xml:space="preserve"> </w:t>
                      </w:r>
                      <w:r>
                        <w:rPr>
                          <w:b/>
                        </w:rPr>
                        <w:t>2015</w:t>
                      </w:r>
                      <w:r>
                        <w:rPr>
                          <w:rFonts w:hint="eastAsia"/>
                          <w:b/>
                        </w:rPr>
                        <w:t>年战略性新兴产业上市公司领军企业数量</w:t>
                      </w:r>
                      <w:r>
                        <w:rPr>
                          <w:b/>
                        </w:rPr>
                        <w:t>、营收</w:t>
                      </w:r>
                      <w:r>
                        <w:rPr>
                          <w:rFonts w:hint="eastAsia"/>
                          <w:b/>
                        </w:rPr>
                        <w:t>以及</w:t>
                      </w:r>
                      <w:r>
                        <w:rPr>
                          <w:b/>
                        </w:rPr>
                        <w:t>利润占比</w:t>
                      </w:r>
                    </w:p>
                  </w:txbxContent>
                </v:textbox>
              </v:shape>
            </w:pict>
          </mc:Fallback>
        </mc:AlternateContent>
      </w:r>
    </w:p>
    <w:p w:rsidR="001C23EA" w:rsidRDefault="00D36B3A" w:rsidP="00D566A1">
      <w:pPr>
        <w:spacing w:beforeLines="100" w:before="312" w:afterLines="50" w:after="156" w:line="360" w:lineRule="auto"/>
        <w:rPr>
          <w:rFonts w:ascii="宋体" w:hAnsi="宋体"/>
          <w:sz w:val="24"/>
          <w:szCs w:val="24"/>
        </w:rPr>
      </w:pPr>
      <w:r>
        <w:rPr>
          <w:rFonts w:ascii="黑体" w:eastAsia="黑体" w:hAnsi="黑体" w:hint="eastAsia"/>
          <w:b/>
          <w:sz w:val="28"/>
          <w:szCs w:val="28"/>
        </w:rPr>
        <w:t>（三）</w:t>
      </w:r>
      <w:r w:rsidR="00DF3B8D" w:rsidRPr="00DF3B8D">
        <w:rPr>
          <w:rFonts w:ascii="黑体" w:eastAsia="黑体" w:hAnsi="黑体" w:hint="eastAsia"/>
          <w:b/>
          <w:sz w:val="28"/>
          <w:szCs w:val="28"/>
        </w:rPr>
        <w:t>并购重组蓬勃发展，助</w:t>
      </w:r>
      <w:proofErr w:type="gramStart"/>
      <w:r w:rsidR="00DF3B8D" w:rsidRPr="00DF3B8D">
        <w:rPr>
          <w:rFonts w:ascii="黑体" w:eastAsia="黑体" w:hAnsi="黑体" w:hint="eastAsia"/>
          <w:b/>
          <w:sz w:val="28"/>
          <w:szCs w:val="28"/>
        </w:rPr>
        <w:t>推</w:t>
      </w:r>
      <w:r w:rsidR="00DF3B8D">
        <w:rPr>
          <w:rFonts w:ascii="黑体" w:eastAsia="黑体" w:hAnsi="黑体"/>
          <w:b/>
          <w:sz w:val="28"/>
          <w:szCs w:val="28"/>
        </w:rPr>
        <w:t>产业</w:t>
      </w:r>
      <w:proofErr w:type="gramEnd"/>
      <w:r w:rsidR="00DF3B8D">
        <w:rPr>
          <w:rFonts w:ascii="黑体" w:eastAsia="黑体" w:hAnsi="黑体"/>
          <w:b/>
          <w:sz w:val="28"/>
          <w:szCs w:val="28"/>
        </w:rPr>
        <w:t>发展</w:t>
      </w:r>
      <w:r w:rsidR="00DF3B8D">
        <w:rPr>
          <w:rFonts w:ascii="黑体" w:eastAsia="黑体" w:hAnsi="黑体" w:hint="eastAsia"/>
          <w:b/>
          <w:sz w:val="28"/>
          <w:szCs w:val="28"/>
        </w:rPr>
        <w:t>壮大</w:t>
      </w:r>
    </w:p>
    <w:p w:rsidR="00253B17" w:rsidRDefault="009A007C" w:rsidP="00D566A1">
      <w:pPr>
        <w:spacing w:beforeLines="100" w:before="312" w:afterLines="50" w:after="156" w:line="360" w:lineRule="auto"/>
        <w:ind w:firstLineChars="200" w:firstLine="480"/>
        <w:rPr>
          <w:rFonts w:ascii="宋体" w:hAnsi="宋体"/>
          <w:sz w:val="24"/>
          <w:szCs w:val="24"/>
        </w:rPr>
      </w:pPr>
      <w:r w:rsidRPr="00E92FCC">
        <w:rPr>
          <w:rFonts w:ascii="宋体" w:hAnsi="宋体" w:hint="eastAsia"/>
          <w:sz w:val="24"/>
          <w:szCs w:val="24"/>
        </w:rPr>
        <w:t>201</w:t>
      </w:r>
      <w:r w:rsidR="00DF3B8D" w:rsidRPr="00E92FCC">
        <w:rPr>
          <w:rFonts w:ascii="宋体" w:hAnsi="宋体"/>
          <w:sz w:val="24"/>
          <w:szCs w:val="24"/>
        </w:rPr>
        <w:t>5</w:t>
      </w:r>
      <w:r w:rsidRPr="00E92FCC">
        <w:rPr>
          <w:rFonts w:ascii="宋体" w:hAnsi="宋体" w:hint="eastAsia"/>
          <w:sz w:val="24"/>
          <w:szCs w:val="24"/>
        </w:rPr>
        <w:t>年，战略性新兴产业上市公司</w:t>
      </w:r>
      <w:r w:rsidR="00C77B0D" w:rsidRPr="00E92FCC">
        <w:rPr>
          <w:rFonts w:ascii="宋体" w:hAnsi="宋体" w:hint="eastAsia"/>
          <w:sz w:val="24"/>
          <w:szCs w:val="24"/>
        </w:rPr>
        <w:t>并购重组</w:t>
      </w:r>
      <w:r w:rsidR="001F3EAB" w:rsidRPr="00E92FCC">
        <w:rPr>
          <w:rFonts w:ascii="宋体" w:hAnsi="宋体" w:hint="eastAsia"/>
          <w:sz w:val="24"/>
          <w:szCs w:val="24"/>
        </w:rPr>
        <w:t>延续蓬勃</w:t>
      </w:r>
      <w:r w:rsidR="001F3EAB" w:rsidRPr="00E92FCC">
        <w:rPr>
          <w:rFonts w:ascii="宋体" w:hAnsi="宋体"/>
          <w:sz w:val="24"/>
          <w:szCs w:val="24"/>
        </w:rPr>
        <w:t>发展态势</w:t>
      </w:r>
      <w:r w:rsidR="002754AB" w:rsidRPr="00E92FCC">
        <w:rPr>
          <w:rFonts w:ascii="宋体" w:hAnsi="宋体" w:hint="eastAsia"/>
          <w:sz w:val="24"/>
          <w:szCs w:val="24"/>
        </w:rPr>
        <w:t>，</w:t>
      </w:r>
      <w:r w:rsidR="001F3EAB" w:rsidRPr="00E92FCC">
        <w:rPr>
          <w:rFonts w:ascii="宋体" w:hAnsi="宋体" w:hint="eastAsia"/>
          <w:sz w:val="24"/>
          <w:szCs w:val="24"/>
        </w:rPr>
        <w:t>全</w:t>
      </w:r>
      <w:r w:rsidR="00007948" w:rsidRPr="00E92FCC">
        <w:rPr>
          <w:rFonts w:ascii="宋体" w:hAnsi="宋体" w:hint="eastAsia"/>
          <w:sz w:val="24"/>
          <w:szCs w:val="24"/>
        </w:rPr>
        <w:t>年</w:t>
      </w:r>
      <w:r w:rsidR="001F3EAB" w:rsidRPr="00E92FCC">
        <w:rPr>
          <w:rFonts w:ascii="宋体" w:hAnsi="宋体" w:hint="eastAsia"/>
          <w:sz w:val="24"/>
          <w:szCs w:val="24"/>
        </w:rPr>
        <w:t>完成</w:t>
      </w:r>
      <w:r w:rsidR="001F3EAB" w:rsidRPr="00E92FCC">
        <w:rPr>
          <w:rFonts w:ascii="宋体" w:hAnsi="宋体"/>
          <w:sz w:val="24"/>
          <w:szCs w:val="24"/>
        </w:rPr>
        <w:t>重大</w:t>
      </w:r>
      <w:r w:rsidR="002754AB" w:rsidRPr="00E92FCC">
        <w:rPr>
          <w:rFonts w:ascii="宋体" w:hAnsi="宋体" w:hint="eastAsia"/>
          <w:sz w:val="24"/>
          <w:szCs w:val="24"/>
        </w:rPr>
        <w:t>并购重组</w:t>
      </w:r>
      <w:r w:rsidR="001F3EAB" w:rsidRPr="00E92FCC">
        <w:rPr>
          <w:rFonts w:ascii="宋体" w:hAnsi="宋体"/>
          <w:sz w:val="24"/>
          <w:szCs w:val="24"/>
        </w:rPr>
        <w:t>176</w:t>
      </w:r>
      <w:r w:rsidR="00C77B0D" w:rsidRPr="00E92FCC">
        <w:rPr>
          <w:rFonts w:ascii="宋体" w:hAnsi="宋体" w:hint="eastAsia"/>
          <w:sz w:val="24"/>
          <w:szCs w:val="24"/>
        </w:rPr>
        <w:t>起</w:t>
      </w:r>
      <w:r w:rsidR="00E92FCC" w:rsidRPr="00E92FCC">
        <w:rPr>
          <w:rFonts w:ascii="宋体" w:hAnsi="宋体" w:hint="eastAsia"/>
          <w:sz w:val="24"/>
          <w:szCs w:val="24"/>
        </w:rPr>
        <w:t>，</w:t>
      </w:r>
      <w:r w:rsidR="00E92FCC" w:rsidRPr="00E92FCC">
        <w:rPr>
          <w:rFonts w:ascii="宋体" w:hAnsi="宋体"/>
          <w:sz w:val="24"/>
          <w:szCs w:val="24"/>
        </w:rPr>
        <w:t>占同期上市公司并购重组总数的</w:t>
      </w:r>
      <w:r w:rsidR="00E92FCC" w:rsidRPr="00E92FCC">
        <w:rPr>
          <w:rFonts w:ascii="宋体" w:hAnsi="宋体" w:hint="eastAsia"/>
          <w:sz w:val="24"/>
          <w:szCs w:val="24"/>
        </w:rPr>
        <w:t>37.6</w:t>
      </w:r>
      <w:r w:rsidR="00E92FCC" w:rsidRPr="00E92FCC">
        <w:rPr>
          <w:rFonts w:ascii="宋体" w:hAnsi="宋体"/>
          <w:sz w:val="24"/>
          <w:szCs w:val="24"/>
        </w:rPr>
        <w:t>%</w:t>
      </w:r>
      <w:r w:rsidR="00FC01B2" w:rsidRPr="00E92FCC">
        <w:rPr>
          <w:rFonts w:ascii="宋体" w:hAnsi="宋体" w:hint="eastAsia"/>
          <w:sz w:val="24"/>
          <w:szCs w:val="24"/>
        </w:rPr>
        <w:t>。</w:t>
      </w:r>
      <w:r w:rsidR="00DA32F5" w:rsidRPr="00E92FCC">
        <w:rPr>
          <w:rFonts w:ascii="宋体" w:hAnsi="宋体" w:hint="eastAsia"/>
          <w:sz w:val="24"/>
          <w:szCs w:val="24"/>
        </w:rPr>
        <w:t>通过重组实现横向整合</w:t>
      </w:r>
      <w:r w:rsidR="005F5A5E" w:rsidRPr="00E92FCC">
        <w:rPr>
          <w:rFonts w:ascii="宋体" w:hAnsi="宋体" w:hint="eastAsia"/>
          <w:sz w:val="24"/>
          <w:szCs w:val="24"/>
        </w:rPr>
        <w:t>依然是</w:t>
      </w:r>
      <w:r w:rsidR="00DA32F5" w:rsidRPr="00E92FCC">
        <w:rPr>
          <w:rFonts w:ascii="宋体" w:hAnsi="宋体" w:hint="eastAsia"/>
          <w:sz w:val="24"/>
          <w:szCs w:val="24"/>
        </w:rPr>
        <w:t>战略性新兴产业上市公司实施重组的主要目的</w:t>
      </w:r>
      <w:r w:rsidR="00253B17">
        <w:rPr>
          <w:rFonts w:ascii="宋体" w:hAnsi="宋体" w:hint="eastAsia"/>
          <w:sz w:val="24"/>
          <w:szCs w:val="24"/>
        </w:rPr>
        <w:t>，占比</w:t>
      </w:r>
      <w:r w:rsidR="00253B17">
        <w:rPr>
          <w:rFonts w:ascii="宋体" w:hAnsi="宋体"/>
          <w:sz w:val="24"/>
          <w:szCs w:val="24"/>
        </w:rPr>
        <w:t>达</w:t>
      </w:r>
      <w:r w:rsidR="00253B17">
        <w:rPr>
          <w:rFonts w:ascii="宋体" w:hAnsi="宋体" w:hint="eastAsia"/>
          <w:sz w:val="24"/>
          <w:szCs w:val="24"/>
        </w:rPr>
        <w:t>61.9</w:t>
      </w:r>
      <w:r w:rsidR="00253B17">
        <w:rPr>
          <w:rFonts w:ascii="宋体" w:hAnsi="宋体"/>
          <w:sz w:val="24"/>
          <w:szCs w:val="24"/>
        </w:rPr>
        <w:t>%</w:t>
      </w:r>
      <w:r w:rsidR="00DD1E81">
        <w:rPr>
          <w:rFonts w:ascii="宋体" w:hAnsi="宋体" w:hint="eastAsia"/>
          <w:sz w:val="24"/>
          <w:szCs w:val="24"/>
        </w:rPr>
        <w:t>（见</w:t>
      </w:r>
      <w:r w:rsidR="00DD1E81">
        <w:rPr>
          <w:rFonts w:ascii="宋体" w:hAnsi="宋体"/>
          <w:sz w:val="24"/>
          <w:szCs w:val="24"/>
        </w:rPr>
        <w:t>图</w:t>
      </w:r>
      <w:r w:rsidR="00DD1E81">
        <w:rPr>
          <w:rFonts w:ascii="宋体" w:hAnsi="宋体" w:hint="eastAsia"/>
          <w:sz w:val="24"/>
          <w:szCs w:val="24"/>
        </w:rPr>
        <w:t>15</w:t>
      </w:r>
      <w:r w:rsidR="00DD1E81">
        <w:rPr>
          <w:rFonts w:ascii="宋体" w:hAnsi="宋体"/>
          <w:sz w:val="24"/>
          <w:szCs w:val="24"/>
        </w:rPr>
        <w:t>）</w:t>
      </w:r>
      <w:r w:rsidR="00253B17">
        <w:rPr>
          <w:rFonts w:ascii="宋体" w:hAnsi="宋体"/>
          <w:sz w:val="24"/>
          <w:szCs w:val="24"/>
        </w:rPr>
        <w:t>，</w:t>
      </w:r>
      <w:r w:rsidR="00253B17">
        <w:rPr>
          <w:rFonts w:ascii="宋体" w:hAnsi="宋体" w:hint="eastAsia"/>
          <w:sz w:val="24"/>
          <w:szCs w:val="24"/>
        </w:rPr>
        <w:t>高于</w:t>
      </w:r>
      <w:r w:rsidR="00253B17">
        <w:rPr>
          <w:rFonts w:ascii="宋体" w:hAnsi="宋体"/>
          <w:sz w:val="24"/>
          <w:szCs w:val="24"/>
        </w:rPr>
        <w:t>上市公司总体</w:t>
      </w:r>
      <w:r w:rsidR="00253B17">
        <w:rPr>
          <w:rFonts w:ascii="宋体" w:hAnsi="宋体" w:hint="eastAsia"/>
          <w:sz w:val="24"/>
          <w:szCs w:val="24"/>
        </w:rPr>
        <w:t>15.8个</w:t>
      </w:r>
      <w:r w:rsidR="00253B17">
        <w:rPr>
          <w:rFonts w:ascii="宋体" w:hAnsi="宋体"/>
          <w:sz w:val="24"/>
          <w:szCs w:val="24"/>
        </w:rPr>
        <w:t>百分点</w:t>
      </w:r>
      <w:r w:rsidR="00DA32F5" w:rsidRPr="00E92FCC">
        <w:rPr>
          <w:rFonts w:ascii="宋体" w:hAnsi="宋体" w:hint="eastAsia"/>
          <w:sz w:val="24"/>
          <w:szCs w:val="24"/>
        </w:rPr>
        <w:t>。</w:t>
      </w:r>
      <w:r w:rsidR="00253B17">
        <w:rPr>
          <w:rFonts w:ascii="宋体" w:hAnsi="宋体" w:hint="eastAsia"/>
          <w:sz w:val="24"/>
          <w:szCs w:val="24"/>
        </w:rPr>
        <w:t>战略性</w:t>
      </w:r>
      <w:r w:rsidR="00253B17">
        <w:rPr>
          <w:rFonts w:ascii="宋体" w:hAnsi="宋体"/>
          <w:sz w:val="24"/>
          <w:szCs w:val="24"/>
        </w:rPr>
        <w:t>新兴产业</w:t>
      </w:r>
      <w:r w:rsidR="00253B17">
        <w:rPr>
          <w:rFonts w:ascii="宋体" w:hAnsi="宋体" w:hint="eastAsia"/>
          <w:sz w:val="24"/>
          <w:szCs w:val="24"/>
        </w:rPr>
        <w:t>领域</w:t>
      </w:r>
      <w:r w:rsidR="00253B17">
        <w:rPr>
          <w:rFonts w:ascii="宋体" w:hAnsi="宋体"/>
          <w:sz w:val="24"/>
          <w:szCs w:val="24"/>
        </w:rPr>
        <w:t>市场</w:t>
      </w:r>
      <w:r w:rsidR="00FF1F90">
        <w:rPr>
          <w:rFonts w:ascii="宋体" w:hAnsi="宋体"/>
          <w:sz w:val="24"/>
          <w:szCs w:val="24"/>
        </w:rPr>
        <w:t>发展</w:t>
      </w:r>
      <w:r w:rsidR="00CA6867">
        <w:rPr>
          <w:rFonts w:ascii="宋体" w:hAnsi="宋体"/>
          <w:sz w:val="24"/>
          <w:szCs w:val="24"/>
        </w:rPr>
        <w:t>大</w:t>
      </w:r>
      <w:r w:rsidR="00CA6867">
        <w:rPr>
          <w:rFonts w:ascii="宋体" w:hAnsi="宋体" w:hint="eastAsia"/>
          <w:sz w:val="24"/>
          <w:szCs w:val="24"/>
        </w:rPr>
        <w:t>都</w:t>
      </w:r>
      <w:r w:rsidR="00253B17">
        <w:rPr>
          <w:rFonts w:ascii="宋体" w:hAnsi="宋体"/>
          <w:sz w:val="24"/>
          <w:szCs w:val="24"/>
        </w:rPr>
        <w:t>尚未成熟，竞争</w:t>
      </w:r>
      <w:r w:rsidR="00253B17">
        <w:rPr>
          <w:rFonts w:ascii="宋体" w:hAnsi="宋体" w:hint="eastAsia"/>
          <w:sz w:val="24"/>
          <w:szCs w:val="24"/>
        </w:rPr>
        <w:t>激烈</w:t>
      </w:r>
      <w:r w:rsidR="00253B17">
        <w:rPr>
          <w:rFonts w:ascii="宋体" w:hAnsi="宋体"/>
          <w:sz w:val="24"/>
          <w:szCs w:val="24"/>
        </w:rPr>
        <w:t>程度</w:t>
      </w:r>
      <w:r w:rsidR="00FF1F90">
        <w:rPr>
          <w:rFonts w:ascii="宋体" w:hAnsi="宋体" w:hint="eastAsia"/>
          <w:sz w:val="24"/>
          <w:szCs w:val="24"/>
        </w:rPr>
        <w:t>高</w:t>
      </w:r>
      <w:r w:rsidR="00253B17">
        <w:rPr>
          <w:rFonts w:ascii="宋体" w:hAnsi="宋体"/>
          <w:sz w:val="24"/>
          <w:szCs w:val="24"/>
        </w:rPr>
        <w:t>，</w:t>
      </w:r>
      <w:r w:rsidR="00253B17">
        <w:rPr>
          <w:rFonts w:ascii="宋体" w:hAnsi="宋体" w:hint="eastAsia"/>
          <w:sz w:val="24"/>
          <w:szCs w:val="24"/>
        </w:rPr>
        <w:t>而战略性</w:t>
      </w:r>
      <w:r w:rsidR="00253B17">
        <w:rPr>
          <w:rFonts w:ascii="宋体" w:hAnsi="宋体"/>
          <w:sz w:val="24"/>
          <w:szCs w:val="24"/>
        </w:rPr>
        <w:t>新兴产业上市公司</w:t>
      </w:r>
      <w:r w:rsidR="009C4D21">
        <w:rPr>
          <w:rFonts w:ascii="宋体" w:hAnsi="宋体" w:hint="eastAsia"/>
          <w:sz w:val="24"/>
          <w:szCs w:val="24"/>
        </w:rPr>
        <w:t>通过</w:t>
      </w:r>
      <w:r w:rsidR="00253B17">
        <w:rPr>
          <w:rFonts w:ascii="宋体" w:hAnsi="宋体" w:hint="eastAsia"/>
          <w:sz w:val="24"/>
          <w:szCs w:val="24"/>
        </w:rPr>
        <w:t>融资</w:t>
      </w:r>
      <w:r w:rsidR="00253B17">
        <w:rPr>
          <w:rFonts w:ascii="宋体" w:hAnsi="宋体"/>
          <w:sz w:val="24"/>
          <w:szCs w:val="24"/>
        </w:rPr>
        <w:t>等方面的</w:t>
      </w:r>
      <w:r w:rsidR="00253B17">
        <w:rPr>
          <w:rFonts w:ascii="宋体" w:hAnsi="宋体" w:hint="eastAsia"/>
          <w:sz w:val="24"/>
          <w:szCs w:val="24"/>
        </w:rPr>
        <w:t>优势</w:t>
      </w:r>
      <w:r w:rsidR="009C4D21">
        <w:rPr>
          <w:rFonts w:ascii="宋体" w:hAnsi="宋体" w:hint="eastAsia"/>
          <w:sz w:val="24"/>
          <w:szCs w:val="24"/>
        </w:rPr>
        <w:t>并购</w:t>
      </w:r>
      <w:r w:rsidR="009C4D21">
        <w:rPr>
          <w:rFonts w:ascii="宋体" w:hAnsi="宋体"/>
          <w:sz w:val="24"/>
          <w:szCs w:val="24"/>
        </w:rPr>
        <w:t>竞争企业，</w:t>
      </w:r>
      <w:r w:rsidR="002D62B5">
        <w:rPr>
          <w:rFonts w:ascii="宋体" w:hAnsi="宋体" w:hint="eastAsia"/>
          <w:sz w:val="24"/>
          <w:szCs w:val="24"/>
        </w:rPr>
        <w:t>促使</w:t>
      </w:r>
      <w:r w:rsidR="009C4D21">
        <w:rPr>
          <w:rFonts w:ascii="宋体" w:hAnsi="宋体" w:hint="eastAsia"/>
          <w:sz w:val="24"/>
          <w:szCs w:val="24"/>
        </w:rPr>
        <w:t>本</w:t>
      </w:r>
      <w:r w:rsidR="002D62B5">
        <w:rPr>
          <w:rFonts w:ascii="宋体" w:hAnsi="宋体"/>
          <w:sz w:val="24"/>
          <w:szCs w:val="24"/>
        </w:rPr>
        <w:t>企业做大做强的意图更为明显。</w:t>
      </w:r>
      <w:r w:rsidR="00A46D81" w:rsidRPr="00A46D81">
        <w:rPr>
          <w:rFonts w:ascii="宋体" w:hAnsi="宋体" w:hint="eastAsia"/>
          <w:sz w:val="24"/>
          <w:szCs w:val="24"/>
        </w:rPr>
        <w:t>新一代信息技术领域</w:t>
      </w:r>
      <w:r w:rsidR="008D097D">
        <w:rPr>
          <w:rFonts w:ascii="宋体" w:hAnsi="宋体" w:hint="eastAsia"/>
          <w:sz w:val="24"/>
          <w:szCs w:val="24"/>
        </w:rPr>
        <w:t>的</w:t>
      </w:r>
      <w:r w:rsidR="00A46D81" w:rsidRPr="00A46D81">
        <w:rPr>
          <w:rFonts w:ascii="宋体" w:hAnsi="宋体" w:hint="eastAsia"/>
          <w:sz w:val="24"/>
          <w:szCs w:val="24"/>
        </w:rPr>
        <w:t>重组活动最为活跃</w:t>
      </w:r>
      <w:r w:rsidR="00A46D81">
        <w:rPr>
          <w:rFonts w:ascii="宋体" w:hAnsi="宋体" w:hint="eastAsia"/>
          <w:sz w:val="24"/>
          <w:szCs w:val="24"/>
        </w:rPr>
        <w:t>，2015年</w:t>
      </w:r>
      <w:r w:rsidR="00A46D81" w:rsidRPr="00A46D81">
        <w:rPr>
          <w:rFonts w:ascii="宋体" w:hAnsi="宋体" w:hint="eastAsia"/>
          <w:sz w:val="24"/>
          <w:szCs w:val="24"/>
        </w:rPr>
        <w:t>共有</w:t>
      </w:r>
      <w:r w:rsidR="00934C59">
        <w:rPr>
          <w:rFonts w:ascii="宋体" w:hAnsi="宋体"/>
          <w:sz w:val="24"/>
          <w:szCs w:val="24"/>
        </w:rPr>
        <w:t>84</w:t>
      </w:r>
      <w:r w:rsidR="00A46D81" w:rsidRPr="00A46D81">
        <w:rPr>
          <w:rFonts w:ascii="宋体" w:hAnsi="宋体" w:hint="eastAsia"/>
          <w:sz w:val="24"/>
          <w:szCs w:val="24"/>
        </w:rPr>
        <w:t>家企业完成重组</w:t>
      </w:r>
      <w:r w:rsidR="00934C59">
        <w:rPr>
          <w:rFonts w:ascii="宋体" w:hAnsi="宋体" w:hint="eastAsia"/>
          <w:sz w:val="24"/>
          <w:szCs w:val="24"/>
        </w:rPr>
        <w:t>，</w:t>
      </w:r>
      <w:r w:rsidR="008E3CF9">
        <w:rPr>
          <w:rFonts w:ascii="宋体" w:hAnsi="宋体" w:hint="eastAsia"/>
          <w:sz w:val="24"/>
          <w:szCs w:val="24"/>
        </w:rPr>
        <w:t>占比</w:t>
      </w:r>
      <w:r w:rsidR="008E3CF9">
        <w:rPr>
          <w:rFonts w:ascii="宋体" w:hAnsi="宋体"/>
          <w:sz w:val="24"/>
          <w:szCs w:val="24"/>
        </w:rPr>
        <w:t>达</w:t>
      </w:r>
      <w:r w:rsidR="008E3CF9">
        <w:rPr>
          <w:rFonts w:ascii="宋体" w:hAnsi="宋体" w:hint="eastAsia"/>
          <w:sz w:val="24"/>
          <w:szCs w:val="24"/>
        </w:rPr>
        <w:t>47.7</w:t>
      </w:r>
      <w:r w:rsidR="008E3CF9">
        <w:rPr>
          <w:rFonts w:ascii="宋体" w:hAnsi="宋体"/>
          <w:sz w:val="24"/>
          <w:szCs w:val="24"/>
        </w:rPr>
        <w:t>%，其次是</w:t>
      </w:r>
      <w:r w:rsidR="008E3CF9">
        <w:rPr>
          <w:rFonts w:ascii="宋体" w:hAnsi="宋体" w:hint="eastAsia"/>
          <w:sz w:val="24"/>
          <w:szCs w:val="24"/>
        </w:rPr>
        <w:t>生物</w:t>
      </w:r>
      <w:r w:rsidR="008E3CF9">
        <w:rPr>
          <w:rFonts w:ascii="宋体" w:hAnsi="宋体"/>
          <w:sz w:val="24"/>
          <w:szCs w:val="24"/>
        </w:rPr>
        <w:t>和节能环保领域，</w:t>
      </w:r>
      <w:r w:rsidR="002D5935">
        <w:rPr>
          <w:rFonts w:ascii="宋体" w:hAnsi="宋体" w:hint="eastAsia"/>
          <w:sz w:val="24"/>
          <w:szCs w:val="24"/>
        </w:rPr>
        <w:t>2015年</w:t>
      </w:r>
      <w:r w:rsidR="008E3CF9">
        <w:rPr>
          <w:rFonts w:ascii="宋体" w:hAnsi="宋体"/>
          <w:sz w:val="24"/>
          <w:szCs w:val="24"/>
        </w:rPr>
        <w:t>分别有</w:t>
      </w:r>
      <w:r w:rsidR="008E3CF9">
        <w:rPr>
          <w:rFonts w:ascii="宋体" w:hAnsi="宋体" w:hint="eastAsia"/>
          <w:sz w:val="24"/>
          <w:szCs w:val="24"/>
        </w:rPr>
        <w:t>34家</w:t>
      </w:r>
      <w:r w:rsidR="008E3CF9">
        <w:rPr>
          <w:rFonts w:ascii="宋体" w:hAnsi="宋体"/>
          <w:sz w:val="24"/>
          <w:szCs w:val="24"/>
        </w:rPr>
        <w:t>和</w:t>
      </w:r>
      <w:r w:rsidR="008E3CF9">
        <w:rPr>
          <w:rFonts w:ascii="宋体" w:hAnsi="宋体" w:hint="eastAsia"/>
          <w:sz w:val="24"/>
          <w:szCs w:val="24"/>
        </w:rPr>
        <w:t>25家</w:t>
      </w:r>
      <w:r w:rsidR="008E3CF9">
        <w:rPr>
          <w:rFonts w:ascii="宋体" w:hAnsi="宋体"/>
          <w:sz w:val="24"/>
          <w:szCs w:val="24"/>
        </w:rPr>
        <w:t>企业完成重组。</w:t>
      </w:r>
    </w:p>
    <w:p w:rsidR="00822BD1" w:rsidRDefault="00DA32F5" w:rsidP="00D566A1">
      <w:pPr>
        <w:spacing w:beforeLines="100" w:before="312" w:line="360" w:lineRule="auto"/>
        <w:ind w:firstLineChars="200" w:firstLine="562"/>
        <w:rPr>
          <w:rFonts w:ascii="仿宋" w:eastAsia="仿宋" w:hAnsi="仿宋"/>
          <w:color w:val="FF0000"/>
          <w:sz w:val="30"/>
          <w:szCs w:val="30"/>
        </w:rPr>
      </w:pPr>
      <w:r w:rsidRPr="00FA70DE">
        <w:rPr>
          <w:rFonts w:ascii="Arial" w:eastAsia="黑体" w:hAnsi="Arial" w:cs="Arial"/>
          <w:b/>
          <w:noProof/>
          <w:color w:val="BFBFBF" w:themeColor="background1" w:themeShade="BF"/>
          <w:sz w:val="28"/>
          <w:szCs w:val="28"/>
        </w:rPr>
        <w:drawing>
          <wp:anchor distT="0" distB="0" distL="114300" distR="114300" simplePos="0" relativeHeight="251617280" behindDoc="0" locked="0" layoutInCell="1" allowOverlap="1" wp14:anchorId="6FD4577A" wp14:editId="402CE073">
            <wp:simplePos x="0" y="0"/>
            <wp:positionH relativeFrom="column">
              <wp:posOffset>1090295</wp:posOffset>
            </wp:positionH>
            <wp:positionV relativeFrom="paragraph">
              <wp:posOffset>10161</wp:posOffset>
            </wp:positionV>
            <wp:extent cx="3657600" cy="2381250"/>
            <wp:effectExtent l="0" t="0" r="0" b="0"/>
            <wp:wrapNone/>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p w:rsidR="00822BD1" w:rsidRDefault="00822BD1" w:rsidP="00D566A1">
      <w:pPr>
        <w:spacing w:beforeLines="100" w:before="312" w:line="360" w:lineRule="auto"/>
        <w:ind w:firstLineChars="200" w:firstLine="600"/>
        <w:rPr>
          <w:rFonts w:ascii="仿宋" w:eastAsia="仿宋" w:hAnsi="仿宋"/>
          <w:color w:val="FF0000"/>
          <w:sz w:val="30"/>
          <w:szCs w:val="30"/>
        </w:rPr>
      </w:pPr>
    </w:p>
    <w:p w:rsidR="00822BD1" w:rsidRDefault="00822BD1" w:rsidP="00D566A1">
      <w:pPr>
        <w:spacing w:beforeLines="100" w:before="312" w:line="360" w:lineRule="auto"/>
        <w:ind w:firstLineChars="200" w:firstLine="600"/>
        <w:rPr>
          <w:rFonts w:ascii="仿宋" w:eastAsia="仿宋" w:hAnsi="仿宋"/>
          <w:color w:val="FF0000"/>
          <w:sz w:val="30"/>
          <w:szCs w:val="30"/>
        </w:rPr>
      </w:pPr>
    </w:p>
    <w:p w:rsidR="009C4D21" w:rsidRDefault="009C4D21" w:rsidP="00D566A1">
      <w:pPr>
        <w:spacing w:beforeLines="100" w:before="312" w:afterLines="50" w:after="156" w:line="360" w:lineRule="auto"/>
        <w:ind w:firstLineChars="200" w:firstLine="602"/>
        <w:rPr>
          <w:rFonts w:ascii="仿宋" w:eastAsia="仿宋" w:hAnsi="仿宋"/>
          <w:b/>
          <w:sz w:val="30"/>
          <w:szCs w:val="30"/>
        </w:rPr>
      </w:pPr>
    </w:p>
    <w:p w:rsidR="009C4D21" w:rsidRDefault="006658E2" w:rsidP="00D566A1">
      <w:pPr>
        <w:spacing w:beforeLines="100" w:before="312" w:afterLines="50" w:after="156" w:line="360" w:lineRule="auto"/>
        <w:ind w:firstLineChars="200" w:firstLine="600"/>
        <w:rPr>
          <w:rFonts w:ascii="仿宋" w:eastAsia="仿宋" w:hAnsi="仿宋"/>
          <w:b/>
          <w:sz w:val="30"/>
          <w:szCs w:val="30"/>
        </w:rPr>
      </w:pPr>
      <w:r>
        <w:rPr>
          <w:rFonts w:ascii="仿宋" w:eastAsia="仿宋" w:hAnsi="仿宋"/>
          <w:noProof/>
          <w:color w:val="FF0000"/>
          <w:sz w:val="30"/>
          <w:szCs w:val="30"/>
        </w:rPr>
        <mc:AlternateContent>
          <mc:Choice Requires="wps">
            <w:drawing>
              <wp:anchor distT="0" distB="0" distL="114300" distR="114300" simplePos="0" relativeHeight="251707392" behindDoc="0" locked="0" layoutInCell="1" allowOverlap="1" wp14:anchorId="14AB82CF" wp14:editId="12C5E950">
                <wp:simplePos x="0" y="0"/>
                <wp:positionH relativeFrom="column">
                  <wp:posOffset>1450975</wp:posOffset>
                </wp:positionH>
                <wp:positionV relativeFrom="paragraph">
                  <wp:posOffset>105410</wp:posOffset>
                </wp:positionV>
                <wp:extent cx="3147060" cy="462280"/>
                <wp:effectExtent l="0" t="0" r="0" b="0"/>
                <wp:wrapNone/>
                <wp:docPr id="4"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06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3E6" w:rsidRDefault="004673E6" w:rsidP="00822BD1">
                            <w:pPr>
                              <w:jc w:val="center"/>
                              <w:rPr>
                                <w:b/>
                              </w:rPr>
                            </w:pPr>
                            <w:r>
                              <w:rPr>
                                <w:rFonts w:hint="eastAsia"/>
                                <w:b/>
                              </w:rPr>
                              <w:t>图</w:t>
                            </w:r>
                            <w:r>
                              <w:rPr>
                                <w:rFonts w:hint="eastAsia"/>
                                <w:b/>
                              </w:rPr>
                              <w:t>1</w:t>
                            </w:r>
                            <w:r>
                              <w:rPr>
                                <w:b/>
                              </w:rPr>
                              <w:t xml:space="preserve">5  </w:t>
                            </w:r>
                            <w:r>
                              <w:rPr>
                                <w:rFonts w:hint="eastAsia"/>
                                <w:b/>
                              </w:rPr>
                              <w:t>2015</w:t>
                            </w:r>
                            <w:r>
                              <w:rPr>
                                <w:rFonts w:hint="eastAsia"/>
                                <w:b/>
                              </w:rPr>
                              <w:t>年前三季度战略性新兴产业</w:t>
                            </w:r>
                          </w:p>
                          <w:p w:rsidR="004673E6" w:rsidRPr="00290CC5" w:rsidRDefault="004673E6" w:rsidP="00822BD1">
                            <w:pPr>
                              <w:jc w:val="center"/>
                            </w:pPr>
                            <w:r>
                              <w:rPr>
                                <w:rFonts w:hint="eastAsia"/>
                                <w:b/>
                              </w:rPr>
                              <w:t>重组目的分布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本框 13" o:spid="_x0000_s1040" type="#_x0000_t202" style="position:absolute;left:0;text-align:left;margin-left:114.25pt;margin-top:8.3pt;width:247.8pt;height:36.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" filled="f" stroked="f">
                <v:textbox>
                  <w:txbxContent>
                    <w:p w:rsidR="004673E6" w:rsidRDefault="004673E6" w:rsidP="00822BD1">
                      <w:pPr>
                        <w:jc w:val="center"/>
                        <w:rPr>
                          <w:b/>
                        </w:rPr>
                      </w:pPr>
                      <w:r>
                        <w:rPr>
                          <w:rFonts w:hint="eastAsia"/>
                          <w:b/>
                        </w:rPr>
                        <w:t>图</w:t>
                      </w:r>
                      <w:r>
                        <w:rPr>
                          <w:rFonts w:hint="eastAsia"/>
                          <w:b/>
                        </w:rPr>
                        <w:t>1</w:t>
                      </w:r>
                      <w:r>
                        <w:rPr>
                          <w:b/>
                        </w:rPr>
                        <w:t xml:space="preserve">5  </w:t>
                      </w:r>
                      <w:r>
                        <w:rPr>
                          <w:rFonts w:hint="eastAsia"/>
                          <w:b/>
                        </w:rPr>
                        <w:t>2015</w:t>
                      </w:r>
                      <w:r>
                        <w:rPr>
                          <w:rFonts w:hint="eastAsia"/>
                          <w:b/>
                        </w:rPr>
                        <w:t>年前三季度战略性新兴产业</w:t>
                      </w:r>
                    </w:p>
                    <w:p w:rsidR="004673E6" w:rsidRPr="00290CC5" w:rsidRDefault="004673E6" w:rsidP="00822BD1">
                      <w:pPr>
                        <w:jc w:val="center"/>
                      </w:pPr>
                      <w:r>
                        <w:rPr>
                          <w:rFonts w:hint="eastAsia"/>
                          <w:b/>
                        </w:rPr>
                        <w:t>重组目的分布</w:t>
                      </w:r>
                    </w:p>
                  </w:txbxContent>
                </v:textbox>
              </v:shape>
            </w:pict>
          </mc:Fallback>
        </mc:AlternateContent>
      </w:r>
    </w:p>
    <w:p w:rsidR="00AB1657" w:rsidRDefault="00D36B3A" w:rsidP="00D566A1">
      <w:pPr>
        <w:spacing w:beforeLines="100" w:before="312" w:afterLines="50" w:after="156" w:line="360" w:lineRule="auto"/>
        <w:rPr>
          <w:rFonts w:ascii="黑体" w:eastAsia="黑体" w:hAnsi="黑体"/>
          <w:b/>
          <w:sz w:val="28"/>
          <w:szCs w:val="28"/>
        </w:rPr>
      </w:pPr>
      <w:r>
        <w:rPr>
          <w:rFonts w:ascii="黑体" w:eastAsia="黑体" w:hAnsi="黑体" w:hint="eastAsia"/>
          <w:b/>
          <w:sz w:val="28"/>
          <w:szCs w:val="28"/>
        </w:rPr>
        <w:lastRenderedPageBreak/>
        <w:t>（四）</w:t>
      </w:r>
      <w:r w:rsidR="002D5954">
        <w:rPr>
          <w:rFonts w:ascii="黑体" w:eastAsia="黑体" w:hAnsi="黑体"/>
          <w:b/>
          <w:sz w:val="28"/>
          <w:szCs w:val="28"/>
        </w:rPr>
        <w:t>提升研发</w:t>
      </w:r>
      <w:r w:rsidR="002D5954">
        <w:rPr>
          <w:rFonts w:ascii="黑体" w:eastAsia="黑体" w:hAnsi="黑体" w:hint="eastAsia"/>
          <w:b/>
          <w:sz w:val="28"/>
          <w:szCs w:val="28"/>
        </w:rPr>
        <w:t>创新</w:t>
      </w:r>
      <w:r w:rsidR="002D5954">
        <w:rPr>
          <w:rFonts w:ascii="黑体" w:eastAsia="黑体" w:hAnsi="黑体"/>
          <w:b/>
          <w:sz w:val="28"/>
          <w:szCs w:val="28"/>
        </w:rPr>
        <w:t>能力</w:t>
      </w:r>
      <w:r w:rsidR="00C82000" w:rsidRPr="00C82000">
        <w:rPr>
          <w:rFonts w:ascii="黑体" w:eastAsia="黑体" w:hAnsi="黑体" w:hint="eastAsia"/>
          <w:b/>
          <w:sz w:val="28"/>
          <w:szCs w:val="28"/>
        </w:rPr>
        <w:t>，</w:t>
      </w:r>
      <w:r w:rsidR="008F6085">
        <w:rPr>
          <w:rFonts w:ascii="黑体" w:eastAsia="黑体" w:hAnsi="黑体" w:hint="eastAsia"/>
          <w:b/>
          <w:sz w:val="28"/>
          <w:szCs w:val="28"/>
        </w:rPr>
        <w:t>引领创新驱动战略</w:t>
      </w:r>
    </w:p>
    <w:p w:rsidR="009023AE" w:rsidRDefault="002D5954" w:rsidP="00D566A1">
      <w:pPr>
        <w:spacing w:beforeLines="100" w:before="312" w:afterLines="50" w:after="156" w:line="360" w:lineRule="auto"/>
        <w:ind w:firstLineChars="250" w:firstLine="600"/>
        <w:rPr>
          <w:rFonts w:ascii="宋体" w:hAnsi="宋体"/>
          <w:sz w:val="24"/>
          <w:szCs w:val="24"/>
        </w:rPr>
      </w:pPr>
      <w:r>
        <w:rPr>
          <w:rFonts w:ascii="宋体" w:hAnsi="宋体" w:hint="eastAsia"/>
          <w:sz w:val="24"/>
          <w:szCs w:val="24"/>
        </w:rPr>
        <w:t>2015</w:t>
      </w:r>
      <w:r w:rsidR="002E60AD">
        <w:rPr>
          <w:rFonts w:ascii="宋体" w:hAnsi="宋体" w:hint="eastAsia"/>
          <w:sz w:val="24"/>
          <w:szCs w:val="24"/>
        </w:rPr>
        <w:t>年，</w:t>
      </w:r>
      <w:r>
        <w:rPr>
          <w:rFonts w:ascii="宋体" w:hAnsi="宋体" w:hint="eastAsia"/>
          <w:sz w:val="24"/>
          <w:szCs w:val="24"/>
        </w:rPr>
        <w:t>随着</w:t>
      </w:r>
      <w:r w:rsidRPr="002D5954">
        <w:rPr>
          <w:rFonts w:ascii="宋体" w:hAnsi="宋体" w:hint="eastAsia"/>
          <w:sz w:val="24"/>
          <w:szCs w:val="24"/>
        </w:rPr>
        <w:t>我国</w:t>
      </w:r>
      <w:r w:rsidR="008F6085">
        <w:rPr>
          <w:rFonts w:ascii="宋体" w:hAnsi="宋体" w:hint="eastAsia"/>
          <w:sz w:val="24"/>
          <w:szCs w:val="24"/>
        </w:rPr>
        <w:t>创新驱动战略</w:t>
      </w:r>
      <w:r w:rsidRPr="002D5954">
        <w:rPr>
          <w:rFonts w:ascii="宋体" w:hAnsi="宋体" w:hint="eastAsia"/>
          <w:sz w:val="24"/>
          <w:szCs w:val="24"/>
        </w:rPr>
        <w:t>持续</w:t>
      </w:r>
      <w:r w:rsidR="008F6085">
        <w:rPr>
          <w:rFonts w:ascii="宋体" w:hAnsi="宋体" w:hint="eastAsia"/>
          <w:sz w:val="24"/>
          <w:szCs w:val="24"/>
        </w:rPr>
        <w:t>实施</w:t>
      </w:r>
      <w:r>
        <w:rPr>
          <w:rFonts w:ascii="宋体" w:hAnsi="宋体" w:hint="eastAsia"/>
          <w:sz w:val="24"/>
          <w:szCs w:val="24"/>
        </w:rPr>
        <w:t>，</w:t>
      </w:r>
      <w:r w:rsidR="008C7362">
        <w:rPr>
          <w:rFonts w:ascii="宋体" w:hAnsi="宋体" w:hint="eastAsia"/>
          <w:sz w:val="24"/>
          <w:szCs w:val="24"/>
        </w:rPr>
        <w:t>战略性新兴产业企业</w:t>
      </w:r>
      <w:r w:rsidRPr="002D5954">
        <w:rPr>
          <w:rFonts w:ascii="宋体" w:hAnsi="宋体" w:hint="eastAsia"/>
          <w:sz w:val="24"/>
          <w:szCs w:val="24"/>
        </w:rPr>
        <w:t>创新创业活力进一步迸发</w:t>
      </w:r>
      <w:r w:rsidR="008C7362">
        <w:rPr>
          <w:rFonts w:ascii="宋体" w:hAnsi="宋体" w:hint="eastAsia"/>
          <w:sz w:val="24"/>
          <w:szCs w:val="24"/>
        </w:rPr>
        <w:t>。2015年</w:t>
      </w:r>
      <w:r w:rsidR="008C7362">
        <w:rPr>
          <w:rFonts w:ascii="宋体" w:hAnsi="宋体"/>
          <w:sz w:val="24"/>
          <w:szCs w:val="24"/>
        </w:rPr>
        <w:t>，</w:t>
      </w:r>
      <w:r w:rsidR="000A3989">
        <w:rPr>
          <w:rFonts w:ascii="宋体" w:hAnsi="宋体" w:hint="eastAsia"/>
          <w:sz w:val="24"/>
          <w:szCs w:val="24"/>
        </w:rPr>
        <w:t>战略性新兴产业上市公司平均研发投入达到了1.</w:t>
      </w:r>
      <w:r w:rsidR="0081430E">
        <w:rPr>
          <w:rFonts w:ascii="宋体" w:hAnsi="宋体"/>
          <w:sz w:val="24"/>
          <w:szCs w:val="24"/>
        </w:rPr>
        <w:t>53</w:t>
      </w:r>
      <w:r w:rsidR="000A3989">
        <w:rPr>
          <w:rFonts w:ascii="宋体" w:hAnsi="宋体" w:hint="eastAsia"/>
          <w:sz w:val="24"/>
          <w:szCs w:val="24"/>
        </w:rPr>
        <w:t>亿元，较201</w:t>
      </w:r>
      <w:r w:rsidR="0081430E">
        <w:rPr>
          <w:rFonts w:ascii="宋体" w:hAnsi="宋体"/>
          <w:sz w:val="24"/>
          <w:szCs w:val="24"/>
        </w:rPr>
        <w:t>4</w:t>
      </w:r>
      <w:r w:rsidR="000A3989">
        <w:rPr>
          <w:rFonts w:ascii="宋体" w:hAnsi="宋体" w:hint="eastAsia"/>
          <w:sz w:val="24"/>
          <w:szCs w:val="24"/>
        </w:rPr>
        <w:t>年提高了</w:t>
      </w:r>
      <w:r w:rsidR="0081430E">
        <w:rPr>
          <w:rFonts w:ascii="宋体" w:hAnsi="宋体"/>
          <w:sz w:val="24"/>
          <w:szCs w:val="24"/>
        </w:rPr>
        <w:t>21.4%</w:t>
      </w:r>
      <w:r w:rsidR="000A3989">
        <w:rPr>
          <w:rFonts w:ascii="宋体" w:hAnsi="宋体" w:hint="eastAsia"/>
          <w:sz w:val="24"/>
          <w:szCs w:val="24"/>
        </w:rPr>
        <w:t>，平均研发强度（占公司营收的比重）达到了</w:t>
      </w:r>
      <w:r w:rsidR="0081430E">
        <w:rPr>
          <w:rFonts w:ascii="宋体" w:hAnsi="宋体"/>
          <w:sz w:val="24"/>
          <w:szCs w:val="24"/>
        </w:rPr>
        <w:t>6.21</w:t>
      </w:r>
      <w:r w:rsidR="000A3989">
        <w:rPr>
          <w:rFonts w:ascii="宋体" w:hAnsi="宋体" w:hint="eastAsia"/>
          <w:sz w:val="24"/>
          <w:szCs w:val="24"/>
        </w:rPr>
        <w:t>%，明显高于上市公司平均</w:t>
      </w:r>
      <w:r w:rsidR="0081430E">
        <w:rPr>
          <w:rFonts w:ascii="宋体" w:hAnsi="宋体"/>
          <w:sz w:val="24"/>
          <w:szCs w:val="24"/>
        </w:rPr>
        <w:t>3.50</w:t>
      </w:r>
      <w:r w:rsidR="000A3989">
        <w:rPr>
          <w:rFonts w:ascii="宋体" w:hAnsi="宋体" w:hint="eastAsia"/>
          <w:sz w:val="24"/>
          <w:szCs w:val="24"/>
        </w:rPr>
        <w:t>%的研发强度</w:t>
      </w:r>
      <w:r w:rsidR="005C645E">
        <w:rPr>
          <w:rFonts w:ascii="宋体" w:hAnsi="宋体" w:hint="eastAsia"/>
          <w:sz w:val="24"/>
          <w:szCs w:val="24"/>
        </w:rPr>
        <w:t>（见图16</w:t>
      </w:r>
      <w:r w:rsidR="005C645E">
        <w:rPr>
          <w:rFonts w:ascii="宋体" w:hAnsi="宋体"/>
          <w:sz w:val="24"/>
          <w:szCs w:val="24"/>
        </w:rPr>
        <w:t>）</w:t>
      </w:r>
      <w:r w:rsidR="000A3989">
        <w:rPr>
          <w:rFonts w:ascii="宋体" w:hAnsi="宋体" w:hint="eastAsia"/>
          <w:sz w:val="24"/>
          <w:szCs w:val="24"/>
        </w:rPr>
        <w:t>。具体来看，共有</w:t>
      </w:r>
      <w:r w:rsidR="005335DE">
        <w:rPr>
          <w:rFonts w:ascii="宋体" w:hAnsi="宋体"/>
          <w:sz w:val="24"/>
          <w:szCs w:val="24"/>
        </w:rPr>
        <w:t>468</w:t>
      </w:r>
      <w:r w:rsidR="000A3989">
        <w:rPr>
          <w:rFonts w:ascii="宋体" w:hAnsi="宋体" w:hint="eastAsia"/>
          <w:sz w:val="24"/>
          <w:szCs w:val="24"/>
        </w:rPr>
        <w:t>家战略性新兴产业上市公司研发投入强度超过了5%，占战略性新兴产业上市公司总数</w:t>
      </w:r>
      <w:r w:rsidR="005335DE">
        <w:rPr>
          <w:rFonts w:ascii="宋体" w:hAnsi="宋体" w:hint="eastAsia"/>
          <w:sz w:val="24"/>
          <w:szCs w:val="24"/>
        </w:rPr>
        <w:t>的45.2</w:t>
      </w:r>
      <w:r w:rsidR="000A3989">
        <w:rPr>
          <w:rFonts w:ascii="宋体" w:hAnsi="宋体" w:hint="eastAsia"/>
          <w:sz w:val="24"/>
          <w:szCs w:val="24"/>
        </w:rPr>
        <w:t>%</w:t>
      </w:r>
      <w:r w:rsidR="000A3989">
        <w:rPr>
          <w:rFonts w:ascii="宋体" w:hAnsi="宋体"/>
          <w:sz w:val="24"/>
          <w:szCs w:val="24"/>
        </w:rPr>
        <w:t>。</w:t>
      </w:r>
    </w:p>
    <w:p w:rsidR="00743684" w:rsidRDefault="00743684" w:rsidP="00D566A1">
      <w:pPr>
        <w:spacing w:beforeLines="100" w:before="312" w:afterLines="50" w:after="156" w:line="360" w:lineRule="auto"/>
        <w:ind w:firstLineChars="250" w:firstLine="600"/>
        <w:rPr>
          <w:rFonts w:ascii="宋体" w:hAnsi="宋体"/>
          <w:sz w:val="24"/>
          <w:szCs w:val="24"/>
        </w:rPr>
      </w:pPr>
    </w:p>
    <w:p w:rsidR="000F1846" w:rsidRDefault="00B37F3B" w:rsidP="00D566A1">
      <w:pPr>
        <w:spacing w:beforeLines="100" w:before="312" w:afterLines="50" w:after="156" w:line="360" w:lineRule="auto"/>
        <w:ind w:firstLineChars="250" w:firstLine="703"/>
        <w:rPr>
          <w:rFonts w:ascii="宋体" w:hAnsi="宋体"/>
          <w:sz w:val="24"/>
          <w:szCs w:val="24"/>
        </w:rPr>
      </w:pPr>
      <w:r w:rsidRPr="00BF0C75">
        <w:rPr>
          <w:rFonts w:ascii="黑体" w:eastAsia="黑体" w:hAnsi="黑体" w:hint="eastAsia"/>
          <w:b/>
          <w:noProof/>
          <w:color w:val="FF0000"/>
          <w:sz w:val="28"/>
          <w:szCs w:val="28"/>
        </w:rPr>
        <w:drawing>
          <wp:anchor distT="0" distB="0" distL="114300" distR="114300" simplePos="0" relativeHeight="251710464" behindDoc="0" locked="0" layoutInCell="1" allowOverlap="1" wp14:anchorId="4D9458AF" wp14:editId="4F1B1B5F">
            <wp:simplePos x="0" y="0"/>
            <wp:positionH relativeFrom="column">
              <wp:posOffset>857250</wp:posOffset>
            </wp:positionH>
            <wp:positionV relativeFrom="paragraph">
              <wp:posOffset>-326390</wp:posOffset>
            </wp:positionV>
            <wp:extent cx="4457700" cy="2305050"/>
            <wp:effectExtent l="0" t="0" r="0" b="0"/>
            <wp:wrapNone/>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p w:rsidR="00A53D66" w:rsidRDefault="00A53D66" w:rsidP="00D566A1">
      <w:pPr>
        <w:spacing w:beforeLines="100" w:before="312" w:afterLines="50" w:after="156" w:line="360" w:lineRule="auto"/>
        <w:ind w:firstLineChars="200" w:firstLine="600"/>
        <w:rPr>
          <w:rFonts w:ascii="仿宋" w:eastAsia="仿宋" w:hAnsi="仿宋"/>
          <w:color w:val="FF0000"/>
          <w:sz w:val="30"/>
          <w:szCs w:val="30"/>
        </w:rPr>
      </w:pPr>
    </w:p>
    <w:p w:rsidR="008C7362" w:rsidRDefault="008C7362" w:rsidP="00D566A1">
      <w:pPr>
        <w:spacing w:beforeLines="100" w:before="312" w:afterLines="50" w:after="156" w:line="360" w:lineRule="auto"/>
        <w:ind w:firstLineChars="200" w:firstLine="600"/>
        <w:rPr>
          <w:rFonts w:ascii="仿宋" w:eastAsia="仿宋" w:hAnsi="仿宋"/>
          <w:color w:val="FF0000"/>
          <w:sz w:val="30"/>
          <w:szCs w:val="30"/>
        </w:rPr>
      </w:pPr>
    </w:p>
    <w:p w:rsidR="008C7362" w:rsidRDefault="006658E2" w:rsidP="00D566A1">
      <w:pPr>
        <w:spacing w:beforeLines="100" w:before="312" w:afterLines="50" w:after="156" w:line="360" w:lineRule="auto"/>
        <w:ind w:firstLineChars="200" w:firstLine="600"/>
        <w:rPr>
          <w:rFonts w:ascii="仿宋" w:eastAsia="仿宋" w:hAnsi="仿宋"/>
          <w:color w:val="FF0000"/>
          <w:sz w:val="30"/>
          <w:szCs w:val="30"/>
        </w:rPr>
      </w:pPr>
      <w:r>
        <w:rPr>
          <w:rFonts w:ascii="仿宋" w:eastAsia="仿宋" w:hAnsi="仿宋"/>
          <w:noProof/>
          <w:color w:val="FF0000"/>
          <w:sz w:val="30"/>
          <w:szCs w:val="30"/>
        </w:rPr>
        <mc:AlternateContent>
          <mc:Choice Requires="wps">
            <w:drawing>
              <wp:anchor distT="0" distB="0" distL="114300" distR="114300" simplePos="0" relativeHeight="251711488" behindDoc="0" locked="0" layoutInCell="1" allowOverlap="1" wp14:anchorId="5DF5F7A2" wp14:editId="4029DFD0">
                <wp:simplePos x="0" y="0"/>
                <wp:positionH relativeFrom="column">
                  <wp:posOffset>1304925</wp:posOffset>
                </wp:positionH>
                <wp:positionV relativeFrom="paragraph">
                  <wp:posOffset>330200</wp:posOffset>
                </wp:positionV>
                <wp:extent cx="3719195" cy="462280"/>
                <wp:effectExtent l="0" t="0" r="0" b="0"/>
                <wp:wrapNone/>
                <wp:docPr id="3"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9195"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3E6" w:rsidRPr="00290CC5" w:rsidRDefault="004673E6" w:rsidP="000F1846">
                            <w:pPr>
                              <w:jc w:val="center"/>
                            </w:pPr>
                            <w:r>
                              <w:rPr>
                                <w:rFonts w:hint="eastAsia"/>
                                <w:b/>
                              </w:rPr>
                              <w:t>图</w:t>
                            </w:r>
                            <w:r>
                              <w:rPr>
                                <w:rFonts w:hint="eastAsia"/>
                                <w:b/>
                              </w:rPr>
                              <w:t>1</w:t>
                            </w:r>
                            <w:r>
                              <w:rPr>
                                <w:b/>
                              </w:rPr>
                              <w:t>6</w:t>
                            </w:r>
                            <w:r>
                              <w:rPr>
                                <w:rFonts w:hint="eastAsia"/>
                                <w:b/>
                              </w:rPr>
                              <w:t xml:space="preserve"> </w:t>
                            </w:r>
                            <w:r>
                              <w:rPr>
                                <w:rFonts w:hint="eastAsia"/>
                                <w:b/>
                              </w:rPr>
                              <w:t>历年战略性</w:t>
                            </w:r>
                            <w:r>
                              <w:rPr>
                                <w:b/>
                              </w:rPr>
                              <w:t>新兴产业上市公司研发强度变化</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102.75pt;margin-top:26pt;width:292.85pt;height:36.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" filled="f" stroked="f">
                <v:textbox>
                  <w:txbxContent>
                    <w:p w:rsidR="004673E6" w:rsidRPr="00290CC5" w:rsidRDefault="004673E6" w:rsidP="000F1846">
                      <w:pPr>
                        <w:jc w:val="center"/>
                      </w:pPr>
                      <w:r>
                        <w:rPr>
                          <w:rFonts w:hint="eastAsia"/>
                          <w:b/>
                        </w:rPr>
                        <w:t>图</w:t>
                      </w:r>
                      <w:r>
                        <w:rPr>
                          <w:rFonts w:hint="eastAsia"/>
                          <w:b/>
                        </w:rPr>
                        <w:t>1</w:t>
                      </w:r>
                      <w:r>
                        <w:rPr>
                          <w:b/>
                        </w:rPr>
                        <w:t>6</w:t>
                      </w:r>
                      <w:r>
                        <w:rPr>
                          <w:rFonts w:hint="eastAsia"/>
                          <w:b/>
                        </w:rPr>
                        <w:t xml:space="preserve"> </w:t>
                      </w:r>
                      <w:r>
                        <w:rPr>
                          <w:rFonts w:hint="eastAsia"/>
                          <w:b/>
                        </w:rPr>
                        <w:t>历年战略性</w:t>
                      </w:r>
                      <w:r>
                        <w:rPr>
                          <w:b/>
                        </w:rPr>
                        <w:t>新兴产业上市公司研发强度变化</w:t>
                      </w:r>
                    </w:p>
                  </w:txbxContent>
                </v:textbox>
              </v:shape>
            </w:pict>
          </mc:Fallback>
        </mc:AlternateContent>
      </w:r>
    </w:p>
    <w:p w:rsidR="0070199F" w:rsidRPr="0070199F" w:rsidRDefault="00D36B3A" w:rsidP="00D566A1">
      <w:pPr>
        <w:spacing w:beforeLines="100" w:before="312" w:afterLines="50" w:after="156" w:line="360" w:lineRule="auto"/>
        <w:rPr>
          <w:rFonts w:ascii="黑体" w:eastAsia="黑体" w:hAnsi="黑体"/>
          <w:b/>
          <w:sz w:val="28"/>
          <w:szCs w:val="28"/>
        </w:rPr>
      </w:pPr>
      <w:r>
        <w:rPr>
          <w:rFonts w:ascii="黑体" w:eastAsia="黑体" w:hAnsi="黑体" w:hint="eastAsia"/>
          <w:b/>
          <w:sz w:val="28"/>
          <w:szCs w:val="28"/>
        </w:rPr>
        <w:t>（五）</w:t>
      </w:r>
      <w:r w:rsidR="00567B3B" w:rsidRPr="00492302">
        <w:rPr>
          <w:rFonts w:ascii="黑体" w:eastAsia="黑体" w:hAnsi="黑体" w:hint="eastAsia"/>
          <w:b/>
          <w:sz w:val="28"/>
          <w:szCs w:val="28"/>
        </w:rPr>
        <w:t>战略性新兴产业企业</w:t>
      </w:r>
      <w:r w:rsidR="00567B3B">
        <w:rPr>
          <w:rFonts w:ascii="黑体" w:eastAsia="黑体" w:hAnsi="黑体" w:hint="eastAsia"/>
          <w:b/>
          <w:sz w:val="28"/>
          <w:szCs w:val="28"/>
        </w:rPr>
        <w:t>对</w:t>
      </w:r>
      <w:r w:rsidR="0070199F" w:rsidRPr="0070199F">
        <w:rPr>
          <w:rFonts w:ascii="黑体" w:eastAsia="黑体" w:hAnsi="黑体" w:hint="eastAsia"/>
          <w:b/>
          <w:sz w:val="28"/>
          <w:szCs w:val="28"/>
        </w:rPr>
        <w:t>社会</w:t>
      </w:r>
      <w:r w:rsidR="005021FF">
        <w:rPr>
          <w:rFonts w:ascii="黑体" w:eastAsia="黑体" w:hAnsi="黑体" w:hint="eastAsia"/>
          <w:b/>
          <w:sz w:val="28"/>
          <w:szCs w:val="28"/>
        </w:rPr>
        <w:t>发展</w:t>
      </w:r>
      <w:r w:rsidR="0070199F" w:rsidRPr="0070199F">
        <w:rPr>
          <w:rFonts w:ascii="黑体" w:eastAsia="黑体" w:hAnsi="黑体" w:hint="eastAsia"/>
          <w:b/>
          <w:sz w:val="28"/>
          <w:szCs w:val="28"/>
        </w:rPr>
        <w:t>贡献</w:t>
      </w:r>
      <w:r w:rsidR="005021FF">
        <w:rPr>
          <w:rFonts w:ascii="黑体" w:eastAsia="黑体" w:hAnsi="黑体" w:hint="eastAsia"/>
          <w:b/>
          <w:sz w:val="28"/>
          <w:szCs w:val="28"/>
        </w:rPr>
        <w:t>愈发突出</w:t>
      </w:r>
    </w:p>
    <w:p w:rsidR="00161BFE" w:rsidRDefault="009415C4" w:rsidP="00D566A1">
      <w:pPr>
        <w:spacing w:beforeLines="100" w:before="312" w:afterLines="50" w:after="156" w:line="360" w:lineRule="auto"/>
        <w:ind w:firstLineChars="250" w:firstLine="600"/>
        <w:rPr>
          <w:rFonts w:ascii="宋体" w:hAnsi="宋体"/>
          <w:sz w:val="24"/>
          <w:szCs w:val="24"/>
        </w:rPr>
      </w:pPr>
      <w:r>
        <w:rPr>
          <w:rFonts w:ascii="宋体" w:hAnsi="宋体" w:hint="eastAsia"/>
          <w:noProof/>
          <w:sz w:val="24"/>
          <w:szCs w:val="24"/>
        </w:rPr>
        <w:drawing>
          <wp:anchor distT="0" distB="0" distL="114300" distR="114300" simplePos="0" relativeHeight="251650560" behindDoc="0" locked="0" layoutInCell="1" allowOverlap="1" wp14:anchorId="217BFFDD" wp14:editId="2D1377D6">
            <wp:simplePos x="0" y="0"/>
            <wp:positionH relativeFrom="margin">
              <wp:align>center</wp:align>
            </wp:positionH>
            <wp:positionV relativeFrom="paragraph">
              <wp:posOffset>1837055</wp:posOffset>
            </wp:positionV>
            <wp:extent cx="4457700" cy="1562100"/>
            <wp:effectExtent l="0" t="0" r="0" b="0"/>
            <wp:wrapNone/>
            <wp:docPr id="5"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V relativeFrom="margin">
              <wp14:pctHeight>0</wp14:pctHeight>
            </wp14:sizeRelV>
          </wp:anchor>
        </w:drawing>
      </w:r>
      <w:r w:rsidR="00814233" w:rsidRPr="00814233">
        <w:rPr>
          <w:rFonts w:ascii="宋体" w:hAnsi="宋体" w:hint="eastAsia"/>
          <w:sz w:val="24"/>
          <w:szCs w:val="24"/>
        </w:rPr>
        <w:t>2015年，随着战略性新兴产业维持快速增长态势，战略性新兴产业</w:t>
      </w:r>
      <w:r w:rsidR="00814233">
        <w:rPr>
          <w:rFonts w:ascii="宋体" w:hAnsi="宋体" w:hint="eastAsia"/>
          <w:sz w:val="24"/>
          <w:szCs w:val="24"/>
        </w:rPr>
        <w:t>企业在税收、</w:t>
      </w:r>
      <w:r w:rsidR="00654970" w:rsidRPr="00814233">
        <w:rPr>
          <w:rFonts w:ascii="宋体" w:hAnsi="宋体" w:hint="eastAsia"/>
          <w:sz w:val="24"/>
          <w:szCs w:val="24"/>
        </w:rPr>
        <w:t>就业</w:t>
      </w:r>
      <w:r w:rsidR="00814233">
        <w:rPr>
          <w:rFonts w:ascii="宋体" w:hAnsi="宋体" w:hint="eastAsia"/>
          <w:sz w:val="24"/>
          <w:szCs w:val="24"/>
        </w:rPr>
        <w:t>等方面对国民经济与社会发展</w:t>
      </w:r>
      <w:r w:rsidR="00654970" w:rsidRPr="00814233">
        <w:rPr>
          <w:rFonts w:ascii="宋体" w:hAnsi="宋体" w:hint="eastAsia"/>
          <w:sz w:val="24"/>
          <w:szCs w:val="24"/>
        </w:rPr>
        <w:t>的贡献</w:t>
      </w:r>
      <w:r w:rsidR="00814233">
        <w:rPr>
          <w:rFonts w:ascii="宋体" w:hAnsi="宋体" w:hint="eastAsia"/>
          <w:sz w:val="24"/>
          <w:szCs w:val="24"/>
        </w:rPr>
        <w:t>更加突出</w:t>
      </w:r>
      <w:r w:rsidR="00654970" w:rsidRPr="00814233">
        <w:rPr>
          <w:rFonts w:ascii="宋体" w:hAnsi="宋体" w:hint="eastAsia"/>
          <w:sz w:val="24"/>
          <w:szCs w:val="24"/>
        </w:rPr>
        <w:t>。</w:t>
      </w:r>
      <w:r w:rsidR="00845457">
        <w:rPr>
          <w:rFonts w:ascii="宋体" w:hAnsi="宋体" w:hint="eastAsia"/>
          <w:sz w:val="24"/>
          <w:szCs w:val="24"/>
        </w:rPr>
        <w:t>2015年，战略性新兴产业</w:t>
      </w:r>
      <w:r w:rsidR="005546DD">
        <w:rPr>
          <w:rFonts w:ascii="宋体" w:hAnsi="宋体" w:hint="eastAsia"/>
          <w:sz w:val="24"/>
          <w:szCs w:val="24"/>
        </w:rPr>
        <w:t>上市</w:t>
      </w:r>
      <w:r w:rsidR="00161BFE">
        <w:rPr>
          <w:rFonts w:ascii="宋体" w:hAnsi="宋体" w:hint="eastAsia"/>
          <w:sz w:val="24"/>
          <w:szCs w:val="24"/>
        </w:rPr>
        <w:t>公司支付的所得</w:t>
      </w:r>
      <w:r w:rsidR="00161BFE" w:rsidRPr="00161BFE">
        <w:rPr>
          <w:rFonts w:ascii="宋体" w:hAnsi="宋体" w:hint="eastAsia"/>
          <w:sz w:val="24"/>
          <w:szCs w:val="24"/>
        </w:rPr>
        <w:t>税费共计</w:t>
      </w:r>
      <w:r w:rsidR="00161BFE">
        <w:rPr>
          <w:rFonts w:ascii="宋体" w:hAnsi="宋体" w:hint="eastAsia"/>
          <w:sz w:val="24"/>
          <w:szCs w:val="24"/>
        </w:rPr>
        <w:t>496</w:t>
      </w:r>
      <w:r w:rsidR="00161BFE" w:rsidRPr="00161BFE">
        <w:rPr>
          <w:rFonts w:ascii="宋体" w:hAnsi="宋体" w:hint="eastAsia"/>
          <w:sz w:val="24"/>
          <w:szCs w:val="24"/>
        </w:rPr>
        <w:t>亿元，同比增长</w:t>
      </w:r>
      <w:r w:rsidR="00161BFE">
        <w:rPr>
          <w:rFonts w:ascii="宋体" w:hAnsi="宋体" w:hint="eastAsia"/>
          <w:sz w:val="24"/>
          <w:szCs w:val="24"/>
        </w:rPr>
        <w:t>16.8</w:t>
      </w:r>
      <w:r w:rsidR="00161BFE" w:rsidRPr="00161BFE">
        <w:rPr>
          <w:rFonts w:ascii="宋体" w:hAnsi="宋体" w:hint="eastAsia"/>
          <w:sz w:val="24"/>
          <w:szCs w:val="24"/>
        </w:rPr>
        <w:t>%</w:t>
      </w:r>
      <w:r w:rsidR="00161BFE">
        <w:rPr>
          <w:rFonts w:ascii="宋体" w:hAnsi="宋体" w:hint="eastAsia"/>
          <w:sz w:val="24"/>
          <w:szCs w:val="24"/>
        </w:rPr>
        <w:t>，高于上市公司总体10.9个百分点</w:t>
      </w:r>
      <w:r w:rsidR="00E92F81">
        <w:rPr>
          <w:rFonts w:ascii="宋体" w:hAnsi="宋体" w:hint="eastAsia"/>
          <w:sz w:val="24"/>
          <w:szCs w:val="24"/>
        </w:rPr>
        <w:t>；</w:t>
      </w:r>
      <w:r w:rsidR="005546DD">
        <w:rPr>
          <w:rFonts w:ascii="宋体" w:hAnsi="宋体" w:hint="eastAsia"/>
          <w:sz w:val="24"/>
          <w:szCs w:val="24"/>
        </w:rPr>
        <w:t>战略性新兴产业上市公司</w:t>
      </w:r>
      <w:r w:rsidR="007216FB">
        <w:rPr>
          <w:rFonts w:ascii="宋体" w:hAnsi="宋体" w:hint="eastAsia"/>
          <w:sz w:val="24"/>
          <w:szCs w:val="24"/>
        </w:rPr>
        <w:t>就业稳步上升，</w:t>
      </w:r>
      <w:r w:rsidR="005546DD">
        <w:rPr>
          <w:rFonts w:ascii="宋体" w:hAnsi="宋体" w:hint="eastAsia"/>
          <w:sz w:val="24"/>
          <w:szCs w:val="24"/>
        </w:rPr>
        <w:t>期末员工数达420万人，</w:t>
      </w:r>
      <w:r w:rsidR="007216FB">
        <w:rPr>
          <w:rFonts w:ascii="宋体" w:hAnsi="宋体" w:hint="eastAsia"/>
          <w:sz w:val="24"/>
          <w:szCs w:val="24"/>
        </w:rPr>
        <w:t>当年支付工资薪酬达1650亿元，</w:t>
      </w:r>
      <w:r w:rsidR="005546DD">
        <w:rPr>
          <w:rFonts w:ascii="宋体" w:hAnsi="宋体" w:hint="eastAsia"/>
          <w:sz w:val="24"/>
          <w:szCs w:val="24"/>
        </w:rPr>
        <w:t>同比增长</w:t>
      </w:r>
      <w:r w:rsidR="007216FB">
        <w:rPr>
          <w:rFonts w:ascii="宋体" w:hAnsi="宋体" w:hint="eastAsia"/>
          <w:sz w:val="24"/>
          <w:szCs w:val="24"/>
        </w:rPr>
        <w:t>分别增长</w:t>
      </w:r>
      <w:r w:rsidR="005546DD">
        <w:rPr>
          <w:rFonts w:ascii="宋体" w:hAnsi="宋体" w:hint="eastAsia"/>
          <w:sz w:val="24"/>
          <w:szCs w:val="24"/>
        </w:rPr>
        <w:t>12.0%</w:t>
      </w:r>
      <w:r w:rsidR="007216FB">
        <w:rPr>
          <w:rFonts w:ascii="宋体" w:hAnsi="宋体" w:hint="eastAsia"/>
          <w:sz w:val="24"/>
          <w:szCs w:val="24"/>
        </w:rPr>
        <w:t>和19.0%</w:t>
      </w:r>
      <w:r w:rsidR="005546DD">
        <w:rPr>
          <w:rFonts w:ascii="宋体" w:hAnsi="宋体" w:hint="eastAsia"/>
          <w:sz w:val="24"/>
          <w:szCs w:val="24"/>
        </w:rPr>
        <w:t>，</w:t>
      </w:r>
      <w:r w:rsidR="007216FB">
        <w:rPr>
          <w:rFonts w:ascii="宋体" w:hAnsi="宋体" w:hint="eastAsia"/>
          <w:sz w:val="24"/>
          <w:szCs w:val="24"/>
        </w:rPr>
        <w:t>增速均明显高于上市公司总体。</w:t>
      </w:r>
      <w:r w:rsidR="00694822">
        <w:rPr>
          <w:rFonts w:ascii="宋体" w:hAnsi="宋体" w:hint="eastAsia"/>
          <w:sz w:val="24"/>
          <w:szCs w:val="24"/>
        </w:rPr>
        <w:t>（见</w:t>
      </w:r>
      <w:r w:rsidR="00694822">
        <w:rPr>
          <w:rFonts w:ascii="宋体" w:hAnsi="宋体"/>
          <w:sz w:val="24"/>
          <w:szCs w:val="24"/>
        </w:rPr>
        <w:t>图</w:t>
      </w:r>
      <w:r w:rsidR="00694822">
        <w:rPr>
          <w:rFonts w:ascii="宋体" w:hAnsi="宋体" w:hint="eastAsia"/>
          <w:sz w:val="24"/>
          <w:szCs w:val="24"/>
        </w:rPr>
        <w:t>17</w:t>
      </w:r>
      <w:r w:rsidR="00694822">
        <w:rPr>
          <w:rFonts w:ascii="宋体" w:hAnsi="宋体"/>
          <w:sz w:val="24"/>
          <w:szCs w:val="24"/>
        </w:rPr>
        <w:t>）</w:t>
      </w:r>
    </w:p>
    <w:p w:rsidR="000521B6" w:rsidRDefault="000521B6" w:rsidP="00D566A1">
      <w:pPr>
        <w:spacing w:beforeLines="100" w:before="312" w:afterLines="50" w:after="156" w:line="360" w:lineRule="auto"/>
        <w:rPr>
          <w:rFonts w:ascii="黑体" w:eastAsia="黑体" w:hAnsi="黑体"/>
          <w:b/>
          <w:sz w:val="28"/>
          <w:szCs w:val="28"/>
        </w:rPr>
      </w:pPr>
    </w:p>
    <w:p w:rsidR="000521B6" w:rsidRDefault="000521B6" w:rsidP="00D566A1">
      <w:pPr>
        <w:spacing w:beforeLines="100" w:before="312" w:afterLines="50" w:after="156" w:line="360" w:lineRule="auto"/>
        <w:rPr>
          <w:rFonts w:ascii="黑体" w:eastAsia="黑体" w:hAnsi="黑体"/>
          <w:b/>
          <w:sz w:val="28"/>
          <w:szCs w:val="28"/>
        </w:rPr>
      </w:pPr>
    </w:p>
    <w:p w:rsidR="000521B6" w:rsidRDefault="006658E2" w:rsidP="00D566A1">
      <w:pPr>
        <w:spacing w:beforeLines="100" w:before="312" w:afterLines="50" w:after="156" w:line="360" w:lineRule="auto"/>
        <w:rPr>
          <w:rFonts w:ascii="黑体" w:eastAsia="黑体" w:hAnsi="黑体"/>
          <w:b/>
          <w:sz w:val="28"/>
          <w:szCs w:val="28"/>
        </w:rPr>
      </w:pPr>
      <w:r>
        <w:rPr>
          <w:rFonts w:ascii="黑体" w:eastAsia="黑体" w:hAnsi="黑体"/>
          <w:b/>
          <w:noProof/>
          <w:sz w:val="28"/>
          <w:szCs w:val="28"/>
        </w:rPr>
        <w:lastRenderedPageBreak/>
        <mc:AlternateContent>
          <mc:Choice Requires="wps">
            <w:drawing>
              <wp:anchor distT="0" distB="0" distL="114300" distR="114300" simplePos="0" relativeHeight="251716608" behindDoc="0" locked="0" layoutInCell="1" allowOverlap="1" wp14:anchorId="5EE90935" wp14:editId="2D13267F">
                <wp:simplePos x="0" y="0"/>
                <wp:positionH relativeFrom="margin">
                  <wp:align>center</wp:align>
                </wp:positionH>
                <wp:positionV relativeFrom="paragraph">
                  <wp:posOffset>231140</wp:posOffset>
                </wp:positionV>
                <wp:extent cx="3147060" cy="462280"/>
                <wp:effectExtent l="0" t="0" r="0" b="0"/>
                <wp:wrapNone/>
                <wp:docPr id="2"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06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3E6" w:rsidRPr="00290CC5" w:rsidRDefault="004673E6" w:rsidP="006B19C8">
                            <w:pPr>
                              <w:jc w:val="center"/>
                            </w:pPr>
                            <w:r>
                              <w:rPr>
                                <w:rFonts w:hint="eastAsia"/>
                                <w:b/>
                              </w:rPr>
                              <w:t>图</w:t>
                            </w:r>
                            <w:r>
                              <w:rPr>
                                <w:rFonts w:hint="eastAsia"/>
                                <w:b/>
                              </w:rPr>
                              <w:t>1</w:t>
                            </w:r>
                            <w:r>
                              <w:rPr>
                                <w:b/>
                              </w:rPr>
                              <w:t xml:space="preserve">7  </w:t>
                            </w:r>
                            <w:r>
                              <w:rPr>
                                <w:rFonts w:hint="eastAsia"/>
                                <w:b/>
                              </w:rPr>
                              <w:t>2015</w:t>
                            </w:r>
                            <w:r>
                              <w:rPr>
                                <w:rFonts w:hint="eastAsia"/>
                                <w:b/>
                              </w:rPr>
                              <w:t>年战略性</w:t>
                            </w:r>
                            <w:r>
                              <w:rPr>
                                <w:b/>
                              </w:rPr>
                              <w:t>新兴产业上市公司</w:t>
                            </w:r>
                            <w:r>
                              <w:rPr>
                                <w:rFonts w:hint="eastAsia"/>
                                <w:b/>
                              </w:rPr>
                              <w:t>所得税、期末员工数以及工资薪酬增速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0;margin-top:18.2pt;width:247.8pt;height:36.4pt;z-index:251716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" filled="f" stroked="f">
                <v:textbox>
                  <w:txbxContent>
                    <w:p w:rsidR="004673E6" w:rsidRPr="00290CC5" w:rsidRDefault="004673E6" w:rsidP="006B19C8">
                      <w:pPr>
                        <w:jc w:val="center"/>
                      </w:pPr>
                      <w:r>
                        <w:rPr>
                          <w:rFonts w:hint="eastAsia"/>
                          <w:b/>
                        </w:rPr>
                        <w:t>图</w:t>
                      </w:r>
                      <w:r>
                        <w:rPr>
                          <w:rFonts w:hint="eastAsia"/>
                          <w:b/>
                        </w:rPr>
                        <w:t>1</w:t>
                      </w:r>
                      <w:r>
                        <w:rPr>
                          <w:b/>
                        </w:rPr>
                        <w:t xml:space="preserve">7  </w:t>
                      </w:r>
                      <w:r>
                        <w:rPr>
                          <w:rFonts w:hint="eastAsia"/>
                          <w:b/>
                        </w:rPr>
                        <w:t>2015</w:t>
                      </w:r>
                      <w:r>
                        <w:rPr>
                          <w:rFonts w:hint="eastAsia"/>
                          <w:b/>
                        </w:rPr>
                        <w:t>年战略性</w:t>
                      </w:r>
                      <w:r>
                        <w:rPr>
                          <w:b/>
                        </w:rPr>
                        <w:t>新兴产业上市公司</w:t>
                      </w:r>
                      <w:r>
                        <w:rPr>
                          <w:rFonts w:hint="eastAsia"/>
                          <w:b/>
                        </w:rPr>
                        <w:t>所得税、期末员工数以及工资薪酬增速</w:t>
                      </w:r>
                    </w:p>
                  </w:txbxContent>
                </v:textbox>
                <w10:wrap anchorx="margin"/>
              </v:shape>
            </w:pict>
          </mc:Fallback>
        </mc:AlternateContent>
      </w:r>
    </w:p>
    <w:p w:rsidR="009023AE" w:rsidRDefault="00E34E32" w:rsidP="00D566A1">
      <w:pPr>
        <w:spacing w:beforeLines="100" w:before="312" w:afterLines="50" w:after="156" w:line="360" w:lineRule="auto"/>
        <w:rPr>
          <w:rFonts w:ascii="黑体" w:eastAsia="黑体" w:hAnsi="黑体"/>
          <w:b/>
          <w:sz w:val="28"/>
          <w:szCs w:val="28"/>
        </w:rPr>
      </w:pPr>
      <w:r w:rsidRPr="00E34E32">
        <w:rPr>
          <w:rFonts w:ascii="黑体" w:eastAsia="黑体" w:hAnsi="黑体" w:hint="eastAsia"/>
          <w:b/>
          <w:sz w:val="28"/>
          <w:szCs w:val="28"/>
        </w:rPr>
        <w:t>三、存在问题</w:t>
      </w:r>
    </w:p>
    <w:p w:rsidR="00616E84" w:rsidRDefault="00D36B3A" w:rsidP="00D566A1">
      <w:pPr>
        <w:spacing w:beforeLines="100" w:before="312" w:afterLines="50" w:after="156" w:line="360" w:lineRule="auto"/>
        <w:rPr>
          <w:rFonts w:ascii="黑体" w:eastAsia="黑体" w:hAnsi="黑体"/>
          <w:b/>
          <w:sz w:val="28"/>
          <w:szCs w:val="28"/>
        </w:rPr>
      </w:pPr>
      <w:r>
        <w:rPr>
          <w:rFonts w:ascii="黑体" w:eastAsia="黑体" w:hAnsi="黑体" w:hint="eastAsia"/>
          <w:b/>
          <w:sz w:val="28"/>
          <w:szCs w:val="28"/>
        </w:rPr>
        <w:t>（一）</w:t>
      </w:r>
      <w:r w:rsidR="003E263C" w:rsidRPr="003E263C">
        <w:rPr>
          <w:rFonts w:ascii="黑体" w:eastAsia="黑体" w:hAnsi="黑体" w:hint="eastAsia"/>
          <w:b/>
          <w:sz w:val="28"/>
          <w:szCs w:val="28"/>
        </w:rPr>
        <w:t>国有企业业绩下滑，经营活力有待</w:t>
      </w:r>
      <w:r w:rsidR="007043C4">
        <w:rPr>
          <w:rFonts w:ascii="黑体" w:eastAsia="黑体" w:hAnsi="黑体" w:hint="eastAsia"/>
          <w:b/>
          <w:sz w:val="28"/>
          <w:szCs w:val="28"/>
        </w:rPr>
        <w:t>提升</w:t>
      </w:r>
    </w:p>
    <w:p w:rsidR="006B3718" w:rsidRDefault="00EF71BA" w:rsidP="004F0626">
      <w:pPr>
        <w:spacing w:line="360" w:lineRule="auto"/>
        <w:ind w:firstLineChars="208" w:firstLine="499"/>
        <w:rPr>
          <w:rFonts w:ascii="宋体" w:hAnsi="宋体"/>
          <w:color w:val="FF0000"/>
          <w:sz w:val="24"/>
          <w:szCs w:val="24"/>
        </w:rPr>
      </w:pPr>
      <w:r w:rsidRPr="00AD50E1">
        <w:rPr>
          <w:rFonts w:ascii="宋体" w:hAnsi="宋体" w:hint="eastAsia"/>
          <w:sz w:val="24"/>
          <w:szCs w:val="24"/>
        </w:rPr>
        <w:t>近几年，战略性新兴产业上市公司国有企业发展活力持续低于民营企业，2015年两者差距进一步加大。</w:t>
      </w:r>
      <w:r w:rsidR="004F0626" w:rsidRPr="00AD50E1">
        <w:rPr>
          <w:rFonts w:ascii="宋体" w:hAnsi="宋体" w:hint="eastAsia"/>
          <w:sz w:val="24"/>
          <w:szCs w:val="24"/>
        </w:rPr>
        <w:t>2015年</w:t>
      </w:r>
      <w:r w:rsidRPr="00AD50E1">
        <w:rPr>
          <w:rFonts w:ascii="宋体" w:hAnsi="宋体" w:hint="eastAsia"/>
          <w:sz w:val="24"/>
          <w:szCs w:val="24"/>
        </w:rPr>
        <w:t>，战略性新兴产业</w:t>
      </w:r>
      <w:r w:rsidR="004F0626" w:rsidRPr="00AD50E1">
        <w:rPr>
          <w:rFonts w:ascii="宋体" w:hAnsi="宋体" w:hint="eastAsia"/>
          <w:sz w:val="24"/>
          <w:szCs w:val="24"/>
        </w:rPr>
        <w:t>国企</w:t>
      </w:r>
      <w:r w:rsidRPr="00AD50E1">
        <w:rPr>
          <w:rFonts w:ascii="宋体" w:hAnsi="宋体" w:hint="eastAsia"/>
          <w:sz w:val="24"/>
          <w:szCs w:val="24"/>
        </w:rPr>
        <w:t>上市公司</w:t>
      </w:r>
      <w:r w:rsidR="00AD50E1" w:rsidRPr="00AD50E1">
        <w:rPr>
          <w:rFonts w:ascii="宋体" w:hAnsi="宋体" w:hint="eastAsia"/>
          <w:sz w:val="24"/>
          <w:szCs w:val="24"/>
        </w:rPr>
        <w:t>营收达</w:t>
      </w:r>
      <w:r w:rsidR="00AD50E1" w:rsidRPr="00AD50E1">
        <w:rPr>
          <w:rFonts w:ascii="宋体" w:hAnsi="宋体"/>
          <w:sz w:val="24"/>
          <w:szCs w:val="24"/>
        </w:rPr>
        <w:t>16844.3</w:t>
      </w:r>
      <w:r w:rsidR="00AD50E1" w:rsidRPr="00AD50E1">
        <w:rPr>
          <w:rFonts w:ascii="宋体" w:hAnsi="宋体" w:hint="eastAsia"/>
          <w:sz w:val="24"/>
          <w:szCs w:val="24"/>
        </w:rPr>
        <w:t>亿元，同比增长6.5%，</w:t>
      </w:r>
      <w:r w:rsidR="00C10815">
        <w:rPr>
          <w:rFonts w:ascii="宋体" w:hAnsi="宋体" w:hint="eastAsia"/>
          <w:sz w:val="24"/>
          <w:szCs w:val="24"/>
        </w:rPr>
        <w:t>较2014年下滑5.2个百分点；同期，</w:t>
      </w:r>
      <w:r w:rsidR="00C10815" w:rsidRPr="00AD50E1">
        <w:rPr>
          <w:rFonts w:ascii="宋体" w:hAnsi="宋体" w:hint="eastAsia"/>
          <w:sz w:val="24"/>
          <w:szCs w:val="24"/>
        </w:rPr>
        <w:t>战略性新兴产业国企上市公司</w:t>
      </w:r>
      <w:r w:rsidR="00C10815">
        <w:rPr>
          <w:rFonts w:ascii="宋体" w:hAnsi="宋体" w:hint="eastAsia"/>
          <w:sz w:val="24"/>
          <w:szCs w:val="24"/>
        </w:rPr>
        <w:t>利润总额</w:t>
      </w:r>
      <w:r w:rsidR="00C10815" w:rsidRPr="00AD50E1">
        <w:rPr>
          <w:rFonts w:ascii="宋体" w:hAnsi="宋体" w:hint="eastAsia"/>
          <w:sz w:val="24"/>
          <w:szCs w:val="24"/>
        </w:rPr>
        <w:t>达</w:t>
      </w:r>
      <w:r w:rsidR="00C10815" w:rsidRPr="00C10815">
        <w:rPr>
          <w:rFonts w:ascii="宋体" w:hAnsi="宋体"/>
          <w:sz w:val="24"/>
          <w:szCs w:val="24"/>
        </w:rPr>
        <w:t>1090.6</w:t>
      </w:r>
      <w:r w:rsidR="00C10815" w:rsidRPr="00AD50E1">
        <w:rPr>
          <w:rFonts w:ascii="宋体" w:hAnsi="宋体" w:hint="eastAsia"/>
          <w:sz w:val="24"/>
          <w:szCs w:val="24"/>
        </w:rPr>
        <w:t>亿元，</w:t>
      </w:r>
      <w:r w:rsidR="00C10815" w:rsidRPr="00C10815">
        <w:rPr>
          <w:rFonts w:ascii="宋体" w:hAnsi="宋体" w:hint="eastAsia"/>
          <w:sz w:val="24"/>
          <w:szCs w:val="24"/>
        </w:rPr>
        <w:t>同比负增长3.6%</w:t>
      </w:r>
      <w:r w:rsidR="004F0626" w:rsidRPr="00C10815">
        <w:rPr>
          <w:rFonts w:ascii="宋体" w:hAnsi="宋体" w:hint="eastAsia"/>
          <w:sz w:val="24"/>
          <w:szCs w:val="24"/>
        </w:rPr>
        <w:t>，</w:t>
      </w:r>
      <w:r w:rsidR="00C10815" w:rsidRPr="00C10815">
        <w:rPr>
          <w:rFonts w:ascii="宋体" w:hAnsi="宋体" w:hint="eastAsia"/>
          <w:sz w:val="24"/>
          <w:szCs w:val="24"/>
        </w:rPr>
        <w:t>较2014年下滑超过20个百分点。</w:t>
      </w:r>
      <w:r w:rsidR="004F0626" w:rsidRPr="00C10815">
        <w:rPr>
          <w:rFonts w:ascii="宋体" w:hAnsi="宋体" w:hint="eastAsia"/>
          <w:sz w:val="24"/>
          <w:szCs w:val="24"/>
        </w:rPr>
        <w:t>相比之下，</w:t>
      </w:r>
      <w:r w:rsidR="00C10815" w:rsidRPr="00C10815">
        <w:rPr>
          <w:rFonts w:ascii="宋体" w:hAnsi="宋体" w:hint="eastAsia"/>
          <w:sz w:val="24"/>
          <w:szCs w:val="24"/>
        </w:rPr>
        <w:t>民营企业业绩表现明显好于国有企业，2015年营收及利润增速均超过20%，增速较2014年实现进一步提升</w:t>
      </w:r>
      <w:r w:rsidR="004F0626" w:rsidRPr="00C10815">
        <w:rPr>
          <w:rFonts w:ascii="宋体" w:hAnsi="宋体" w:hint="eastAsia"/>
          <w:sz w:val="24"/>
          <w:szCs w:val="24"/>
        </w:rPr>
        <w:t>。</w:t>
      </w:r>
      <w:r w:rsidR="007A4BB5">
        <w:rPr>
          <w:rFonts w:ascii="宋体" w:hAnsi="宋体" w:hint="eastAsia"/>
          <w:sz w:val="24"/>
          <w:szCs w:val="24"/>
        </w:rPr>
        <w:t>（见</w:t>
      </w:r>
      <w:r w:rsidR="007A4BB5">
        <w:rPr>
          <w:rFonts w:ascii="宋体" w:hAnsi="宋体"/>
          <w:sz w:val="24"/>
          <w:szCs w:val="24"/>
        </w:rPr>
        <w:t>图</w:t>
      </w:r>
      <w:r w:rsidR="007A4BB5">
        <w:rPr>
          <w:rFonts w:ascii="宋体" w:hAnsi="宋体" w:hint="eastAsia"/>
          <w:sz w:val="24"/>
          <w:szCs w:val="24"/>
        </w:rPr>
        <w:t>18</w:t>
      </w:r>
      <w:r w:rsidR="007A4BB5">
        <w:rPr>
          <w:rFonts w:ascii="宋体" w:hAnsi="宋体"/>
          <w:sz w:val="24"/>
          <w:szCs w:val="24"/>
        </w:rPr>
        <w:t>）</w:t>
      </w:r>
    </w:p>
    <w:p w:rsidR="00304B00" w:rsidRDefault="004F0626" w:rsidP="00E2143C">
      <w:pPr>
        <w:spacing w:line="360" w:lineRule="auto"/>
        <w:ind w:firstLineChars="208" w:firstLine="499"/>
        <w:rPr>
          <w:rFonts w:ascii="宋体" w:hAnsi="宋体"/>
          <w:color w:val="FF0000"/>
          <w:sz w:val="24"/>
          <w:szCs w:val="24"/>
        </w:rPr>
      </w:pPr>
      <w:r>
        <w:rPr>
          <w:rFonts w:ascii="宋体" w:hAnsi="宋体"/>
          <w:noProof/>
          <w:color w:val="FF0000"/>
          <w:sz w:val="24"/>
          <w:szCs w:val="24"/>
        </w:rPr>
        <w:drawing>
          <wp:anchor distT="0" distB="0" distL="114300" distR="114300" simplePos="0" relativeHeight="251715584" behindDoc="0" locked="0" layoutInCell="1" allowOverlap="1" wp14:anchorId="52B8B3B9" wp14:editId="12D39507">
            <wp:simplePos x="0" y="0"/>
            <wp:positionH relativeFrom="column">
              <wp:posOffset>233045</wp:posOffset>
            </wp:positionH>
            <wp:positionV relativeFrom="paragraph">
              <wp:posOffset>38735</wp:posOffset>
            </wp:positionV>
            <wp:extent cx="5162550" cy="2343150"/>
            <wp:effectExtent l="0" t="0" r="0" b="0"/>
            <wp:wrapNone/>
            <wp:docPr id="6"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p>
    <w:p w:rsidR="00AF309C" w:rsidRDefault="00AF309C" w:rsidP="00E2143C">
      <w:pPr>
        <w:spacing w:line="360" w:lineRule="auto"/>
        <w:ind w:firstLineChars="208" w:firstLine="499"/>
        <w:rPr>
          <w:rFonts w:ascii="宋体" w:hAnsi="宋体"/>
          <w:color w:val="FF0000"/>
          <w:sz w:val="24"/>
          <w:szCs w:val="24"/>
        </w:rPr>
      </w:pPr>
    </w:p>
    <w:p w:rsidR="00782AE4" w:rsidRDefault="00782AE4" w:rsidP="00E2143C">
      <w:pPr>
        <w:spacing w:line="360" w:lineRule="auto"/>
        <w:ind w:firstLineChars="208" w:firstLine="499"/>
        <w:rPr>
          <w:rFonts w:ascii="宋体" w:hAnsi="宋体"/>
          <w:color w:val="FF0000"/>
          <w:sz w:val="24"/>
          <w:szCs w:val="24"/>
        </w:rPr>
      </w:pPr>
    </w:p>
    <w:p w:rsidR="00782AE4" w:rsidRDefault="00782AE4" w:rsidP="00E2143C">
      <w:pPr>
        <w:spacing w:line="360" w:lineRule="auto"/>
        <w:ind w:firstLineChars="208" w:firstLine="499"/>
        <w:rPr>
          <w:rFonts w:ascii="宋体" w:hAnsi="宋体"/>
          <w:color w:val="FF0000"/>
          <w:sz w:val="24"/>
          <w:szCs w:val="24"/>
        </w:rPr>
      </w:pPr>
    </w:p>
    <w:p w:rsidR="00782AE4" w:rsidRDefault="00782AE4" w:rsidP="00782AE4">
      <w:pPr>
        <w:spacing w:line="360" w:lineRule="auto"/>
        <w:ind w:firstLineChars="208" w:firstLine="499"/>
        <w:rPr>
          <w:rFonts w:ascii="宋体" w:hAnsi="宋体"/>
          <w:color w:val="FF0000"/>
          <w:sz w:val="24"/>
          <w:szCs w:val="24"/>
        </w:rPr>
      </w:pPr>
    </w:p>
    <w:p w:rsidR="00782AE4" w:rsidRDefault="00782AE4" w:rsidP="00E2143C">
      <w:pPr>
        <w:spacing w:line="360" w:lineRule="auto"/>
        <w:ind w:firstLineChars="208" w:firstLine="499"/>
        <w:rPr>
          <w:rFonts w:ascii="宋体" w:hAnsi="宋体"/>
          <w:color w:val="FF0000"/>
          <w:sz w:val="24"/>
          <w:szCs w:val="24"/>
        </w:rPr>
      </w:pPr>
    </w:p>
    <w:p w:rsidR="00782AE4" w:rsidRDefault="00782AE4" w:rsidP="00E2143C">
      <w:pPr>
        <w:spacing w:line="360" w:lineRule="auto"/>
        <w:ind w:firstLineChars="208" w:firstLine="499"/>
        <w:rPr>
          <w:rFonts w:ascii="宋体" w:hAnsi="宋体"/>
          <w:color w:val="FF0000"/>
          <w:sz w:val="24"/>
          <w:szCs w:val="24"/>
        </w:rPr>
      </w:pPr>
    </w:p>
    <w:p w:rsidR="00782AE4" w:rsidRDefault="006658E2" w:rsidP="00E2143C">
      <w:pPr>
        <w:spacing w:line="360" w:lineRule="auto"/>
        <w:ind w:firstLineChars="208" w:firstLine="499"/>
        <w:rPr>
          <w:rFonts w:ascii="宋体" w:hAnsi="宋体"/>
          <w:color w:val="FF0000"/>
          <w:sz w:val="24"/>
          <w:szCs w:val="24"/>
        </w:rPr>
      </w:pPr>
      <w:r>
        <w:rPr>
          <w:rFonts w:ascii="宋体" w:hAnsi="宋体"/>
          <w:noProof/>
          <w:color w:val="FF0000"/>
          <w:sz w:val="24"/>
          <w:szCs w:val="24"/>
        </w:rPr>
        <mc:AlternateContent>
          <mc:Choice Requires="wps">
            <w:drawing>
              <wp:anchor distT="0" distB="0" distL="114300" distR="114300" simplePos="0" relativeHeight="251717632" behindDoc="0" locked="0" layoutInCell="1" allowOverlap="1" wp14:anchorId="5A08F8B2" wp14:editId="2539A5A0">
                <wp:simplePos x="0" y="0"/>
                <wp:positionH relativeFrom="column">
                  <wp:posOffset>1209675</wp:posOffset>
                </wp:positionH>
                <wp:positionV relativeFrom="paragraph">
                  <wp:posOffset>128905</wp:posOffset>
                </wp:positionV>
                <wp:extent cx="3147060" cy="462280"/>
                <wp:effectExtent l="0" t="0" r="0" b="0"/>
                <wp:wrapNone/>
                <wp:docPr id="1"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06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3E6" w:rsidRPr="00290CC5" w:rsidRDefault="004673E6" w:rsidP="00C11179">
                            <w:pPr>
                              <w:jc w:val="center"/>
                            </w:pPr>
                            <w:r>
                              <w:rPr>
                                <w:rFonts w:hint="eastAsia"/>
                                <w:b/>
                              </w:rPr>
                              <w:t>图</w:t>
                            </w:r>
                            <w:r>
                              <w:rPr>
                                <w:rFonts w:hint="eastAsia"/>
                                <w:b/>
                              </w:rPr>
                              <w:t>1</w:t>
                            </w:r>
                            <w:r>
                              <w:rPr>
                                <w:b/>
                              </w:rPr>
                              <w:t>8</w:t>
                            </w:r>
                            <w:r>
                              <w:rPr>
                                <w:rFonts w:hint="eastAsia"/>
                                <w:b/>
                              </w:rPr>
                              <w:t xml:space="preserve"> </w:t>
                            </w:r>
                            <w:r>
                              <w:rPr>
                                <w:b/>
                              </w:rPr>
                              <w:t xml:space="preserve"> </w:t>
                            </w:r>
                            <w:r>
                              <w:rPr>
                                <w:rFonts w:hint="eastAsia"/>
                                <w:b/>
                              </w:rPr>
                              <w:t>2013-2015</w:t>
                            </w:r>
                            <w:r>
                              <w:rPr>
                                <w:rFonts w:hint="eastAsia"/>
                                <w:b/>
                              </w:rPr>
                              <w:t>年民营及国有战略性</w:t>
                            </w:r>
                            <w:r>
                              <w:rPr>
                                <w:b/>
                              </w:rPr>
                              <w:t>新兴产业上市公司</w:t>
                            </w:r>
                            <w:r>
                              <w:rPr>
                                <w:rFonts w:hint="eastAsia"/>
                                <w:b/>
                              </w:rPr>
                              <w:t>营收和利润增速对比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95.25pt;margin-top:10.15pt;width:247.8pt;height:36.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" filled="f" stroked="f">
                <v:textbox>
                  <w:txbxContent>
                    <w:p w:rsidR="004673E6" w:rsidRPr="00290CC5" w:rsidRDefault="004673E6" w:rsidP="00C11179">
                      <w:pPr>
                        <w:jc w:val="center"/>
                      </w:pPr>
                      <w:r>
                        <w:rPr>
                          <w:rFonts w:hint="eastAsia"/>
                          <w:b/>
                        </w:rPr>
                        <w:t>图</w:t>
                      </w:r>
                      <w:r>
                        <w:rPr>
                          <w:rFonts w:hint="eastAsia"/>
                          <w:b/>
                        </w:rPr>
                        <w:t>1</w:t>
                      </w:r>
                      <w:r>
                        <w:rPr>
                          <w:b/>
                        </w:rPr>
                        <w:t>8</w:t>
                      </w:r>
                      <w:r>
                        <w:rPr>
                          <w:rFonts w:hint="eastAsia"/>
                          <w:b/>
                        </w:rPr>
                        <w:t xml:space="preserve"> </w:t>
                      </w:r>
                      <w:r>
                        <w:rPr>
                          <w:b/>
                        </w:rPr>
                        <w:t xml:space="preserve"> </w:t>
                      </w:r>
                      <w:r>
                        <w:rPr>
                          <w:rFonts w:hint="eastAsia"/>
                          <w:b/>
                        </w:rPr>
                        <w:t>2013-2015</w:t>
                      </w:r>
                      <w:r>
                        <w:rPr>
                          <w:rFonts w:hint="eastAsia"/>
                          <w:b/>
                        </w:rPr>
                        <w:t>年民营及国有战略性</w:t>
                      </w:r>
                      <w:r>
                        <w:rPr>
                          <w:b/>
                        </w:rPr>
                        <w:t>新兴产业上市公司</w:t>
                      </w:r>
                      <w:r>
                        <w:rPr>
                          <w:rFonts w:hint="eastAsia"/>
                          <w:b/>
                        </w:rPr>
                        <w:t>营收和利润增速对比</w:t>
                      </w:r>
                    </w:p>
                  </w:txbxContent>
                </v:textbox>
              </v:shape>
            </w:pict>
          </mc:Fallback>
        </mc:AlternateContent>
      </w:r>
    </w:p>
    <w:p w:rsidR="00FB5AB9" w:rsidRDefault="00FB5AB9" w:rsidP="005D5460">
      <w:pPr>
        <w:spacing w:line="360" w:lineRule="auto"/>
        <w:jc w:val="left"/>
        <w:rPr>
          <w:rFonts w:ascii="黑体" w:eastAsia="黑体" w:hAnsi="黑体"/>
          <w:b/>
          <w:sz w:val="28"/>
          <w:szCs w:val="28"/>
        </w:rPr>
      </w:pPr>
    </w:p>
    <w:p w:rsidR="00FB5AB9" w:rsidRPr="00D566A1" w:rsidRDefault="00FB5AB9" w:rsidP="00D566A1">
      <w:pPr>
        <w:spacing w:line="360" w:lineRule="auto"/>
        <w:ind w:firstLineChars="200" w:firstLine="480"/>
        <w:jc w:val="left"/>
        <w:rPr>
          <w:rFonts w:ascii="宋体" w:hAnsi="宋体"/>
          <w:sz w:val="24"/>
          <w:szCs w:val="24"/>
        </w:rPr>
      </w:pPr>
    </w:p>
    <w:p w:rsidR="005D5460" w:rsidRPr="00E94555" w:rsidRDefault="00D36B3A" w:rsidP="005119A8">
      <w:pPr>
        <w:spacing w:beforeLines="100" w:before="312" w:afterLines="50" w:after="156" w:line="360" w:lineRule="auto"/>
        <w:rPr>
          <w:rFonts w:ascii="黑体" w:eastAsia="黑体" w:hAnsi="黑体"/>
          <w:b/>
          <w:sz w:val="28"/>
          <w:szCs w:val="28"/>
        </w:rPr>
      </w:pPr>
      <w:r>
        <w:rPr>
          <w:rFonts w:ascii="黑体" w:eastAsia="黑体" w:hAnsi="黑体" w:hint="eastAsia"/>
          <w:b/>
          <w:sz w:val="28"/>
          <w:szCs w:val="28"/>
        </w:rPr>
        <w:t>（二）</w:t>
      </w:r>
      <w:r w:rsidR="005119A8">
        <w:rPr>
          <w:rFonts w:ascii="黑体" w:eastAsia="黑体" w:hAnsi="黑体" w:hint="eastAsia"/>
          <w:b/>
          <w:sz w:val="28"/>
          <w:szCs w:val="28"/>
        </w:rPr>
        <w:t>战略性</w:t>
      </w:r>
      <w:r w:rsidR="005D5460" w:rsidRPr="005119A8">
        <w:rPr>
          <w:rFonts w:ascii="黑体" w:eastAsia="黑体" w:hAnsi="黑体" w:hint="eastAsia"/>
          <w:b/>
          <w:sz w:val="28"/>
          <w:szCs w:val="28"/>
        </w:rPr>
        <w:t>新兴产业</w:t>
      </w:r>
      <w:r w:rsidR="005119A8">
        <w:rPr>
          <w:rFonts w:ascii="黑体" w:eastAsia="黑体" w:hAnsi="黑体" w:hint="eastAsia"/>
          <w:b/>
          <w:sz w:val="28"/>
          <w:szCs w:val="28"/>
        </w:rPr>
        <w:t>上市公司</w:t>
      </w:r>
      <w:r w:rsidR="005119A8" w:rsidRPr="005119A8">
        <w:rPr>
          <w:rFonts w:ascii="黑体" w:eastAsia="黑体" w:hAnsi="黑体" w:hint="eastAsia"/>
          <w:b/>
          <w:sz w:val="28"/>
          <w:szCs w:val="28"/>
        </w:rPr>
        <w:t>股价</w:t>
      </w:r>
      <w:r w:rsidR="005119A8">
        <w:rPr>
          <w:rFonts w:ascii="黑体" w:eastAsia="黑体" w:hAnsi="黑体" w:hint="eastAsia"/>
          <w:b/>
          <w:sz w:val="28"/>
          <w:szCs w:val="28"/>
        </w:rPr>
        <w:t>大幅波动</w:t>
      </w:r>
    </w:p>
    <w:p w:rsidR="00C558E4" w:rsidRDefault="00C30EC2" w:rsidP="005D0255">
      <w:pPr>
        <w:spacing w:line="360" w:lineRule="auto"/>
        <w:ind w:firstLineChars="200" w:firstLine="480"/>
        <w:rPr>
          <w:rFonts w:ascii="宋体" w:hAnsi="宋体"/>
          <w:sz w:val="24"/>
          <w:szCs w:val="24"/>
        </w:rPr>
      </w:pPr>
      <w:r>
        <w:rPr>
          <w:rFonts w:ascii="宋体" w:hAnsi="宋体" w:hint="eastAsia"/>
          <w:sz w:val="24"/>
          <w:szCs w:val="24"/>
        </w:rPr>
        <w:t>在新一轮牛市带动下，</w:t>
      </w:r>
      <w:r w:rsidR="00E47244" w:rsidRPr="005D0255">
        <w:rPr>
          <w:rFonts w:ascii="宋体" w:hAnsi="宋体" w:hint="eastAsia"/>
          <w:sz w:val="24"/>
          <w:szCs w:val="24"/>
        </w:rPr>
        <w:t>战略性新兴产业上市公司</w:t>
      </w:r>
      <w:r w:rsidR="00E47244">
        <w:rPr>
          <w:rFonts w:ascii="宋体" w:hAnsi="宋体" w:hint="eastAsia"/>
          <w:sz w:val="24"/>
          <w:szCs w:val="24"/>
        </w:rPr>
        <w:t>股价出现大幅上涨，</w:t>
      </w:r>
      <w:r w:rsidR="00A77C06" w:rsidRPr="00E6533B">
        <w:rPr>
          <w:rFonts w:ascii="宋体" w:hAnsi="宋体" w:hint="eastAsia"/>
          <w:sz w:val="24"/>
          <w:szCs w:val="24"/>
        </w:rPr>
        <w:t>2015年2季度末较201</w:t>
      </w:r>
      <w:r w:rsidR="00E6533B" w:rsidRPr="00E6533B">
        <w:rPr>
          <w:rFonts w:ascii="宋体" w:hAnsi="宋体"/>
          <w:sz w:val="24"/>
          <w:szCs w:val="24"/>
        </w:rPr>
        <w:t>5</w:t>
      </w:r>
      <w:r w:rsidR="00A77C06" w:rsidRPr="00E6533B">
        <w:rPr>
          <w:rFonts w:ascii="宋体" w:hAnsi="宋体" w:hint="eastAsia"/>
          <w:sz w:val="24"/>
          <w:szCs w:val="24"/>
        </w:rPr>
        <w:t>年初股价累计涨幅达</w:t>
      </w:r>
      <w:r w:rsidR="00E6533B" w:rsidRPr="00E6533B">
        <w:rPr>
          <w:rFonts w:ascii="宋体" w:hAnsi="宋体" w:hint="eastAsia"/>
          <w:sz w:val="24"/>
          <w:szCs w:val="24"/>
        </w:rPr>
        <w:t>7</w:t>
      </w:r>
      <w:r w:rsidR="00E6533B" w:rsidRPr="00E6533B">
        <w:rPr>
          <w:rFonts w:ascii="宋体" w:hAnsi="宋体"/>
          <w:sz w:val="24"/>
          <w:szCs w:val="24"/>
        </w:rPr>
        <w:t>9.6</w:t>
      </w:r>
      <w:r w:rsidR="00A77C06" w:rsidRPr="00E6533B">
        <w:rPr>
          <w:rFonts w:ascii="宋体" w:hAnsi="宋体" w:hint="eastAsia"/>
          <w:sz w:val="24"/>
          <w:szCs w:val="24"/>
        </w:rPr>
        <w:t>%</w:t>
      </w:r>
      <w:r w:rsidR="00E6533B" w:rsidRPr="00E6533B">
        <w:rPr>
          <w:rFonts w:ascii="宋体" w:hAnsi="宋体" w:hint="eastAsia"/>
          <w:sz w:val="24"/>
          <w:szCs w:val="24"/>
        </w:rPr>
        <w:t>，高于</w:t>
      </w:r>
      <w:r w:rsidR="00E6533B" w:rsidRPr="00E6533B">
        <w:rPr>
          <w:rFonts w:ascii="宋体" w:hAnsi="宋体"/>
          <w:sz w:val="24"/>
          <w:szCs w:val="24"/>
        </w:rPr>
        <w:t>同期</w:t>
      </w:r>
      <w:r w:rsidR="00E6533B" w:rsidRPr="00E6533B">
        <w:rPr>
          <w:rFonts w:ascii="宋体" w:hAnsi="宋体" w:hint="eastAsia"/>
          <w:sz w:val="24"/>
          <w:szCs w:val="24"/>
        </w:rPr>
        <w:t>上市公司</w:t>
      </w:r>
      <w:r w:rsidR="00E6533B" w:rsidRPr="00E6533B">
        <w:rPr>
          <w:rFonts w:ascii="宋体" w:hAnsi="宋体"/>
          <w:sz w:val="24"/>
          <w:szCs w:val="24"/>
        </w:rPr>
        <w:t>总体</w:t>
      </w:r>
      <w:r w:rsidR="00E6533B" w:rsidRPr="00E6533B">
        <w:rPr>
          <w:rFonts w:ascii="宋体" w:hAnsi="宋体" w:hint="eastAsia"/>
          <w:sz w:val="24"/>
          <w:szCs w:val="24"/>
        </w:rPr>
        <w:t>43.1</w:t>
      </w:r>
      <w:r w:rsidR="00E6533B" w:rsidRPr="00E6533B">
        <w:rPr>
          <w:rFonts w:ascii="宋体" w:hAnsi="宋体"/>
          <w:sz w:val="24"/>
          <w:szCs w:val="24"/>
        </w:rPr>
        <w:t>%的涨幅</w:t>
      </w:r>
      <w:r w:rsidR="006A308F">
        <w:rPr>
          <w:rFonts w:ascii="宋体" w:hAnsi="宋体" w:hint="eastAsia"/>
          <w:sz w:val="24"/>
          <w:szCs w:val="24"/>
        </w:rPr>
        <w:t>。</w:t>
      </w:r>
      <w:r w:rsidR="00A77C06" w:rsidRPr="00C8314F">
        <w:rPr>
          <w:rFonts w:ascii="宋体" w:hAnsi="宋体" w:hint="eastAsia"/>
          <w:sz w:val="24"/>
          <w:szCs w:val="24"/>
        </w:rPr>
        <w:t>但是</w:t>
      </w:r>
      <w:r w:rsidR="006A308F">
        <w:rPr>
          <w:rFonts w:ascii="宋体" w:hAnsi="宋体" w:hint="eastAsia"/>
          <w:sz w:val="24"/>
          <w:szCs w:val="24"/>
        </w:rPr>
        <w:t>，</w:t>
      </w:r>
      <w:r w:rsidR="00C8314F" w:rsidRPr="00C8314F">
        <w:rPr>
          <w:rFonts w:ascii="宋体" w:hAnsi="宋体" w:hint="eastAsia"/>
          <w:sz w:val="24"/>
          <w:szCs w:val="24"/>
        </w:rPr>
        <w:t>在</w:t>
      </w:r>
      <w:r w:rsidR="00C8314F" w:rsidRPr="00C8314F">
        <w:rPr>
          <w:rFonts w:ascii="宋体" w:hAnsi="宋体"/>
          <w:sz w:val="24"/>
          <w:szCs w:val="24"/>
        </w:rPr>
        <w:t>股市</w:t>
      </w:r>
      <w:r w:rsidR="00C8314F" w:rsidRPr="00C8314F">
        <w:rPr>
          <w:rFonts w:ascii="宋体" w:hAnsi="宋体" w:hint="eastAsia"/>
          <w:sz w:val="24"/>
          <w:szCs w:val="24"/>
        </w:rPr>
        <w:t>泡沫快速</w:t>
      </w:r>
      <w:r w:rsidR="00C8314F" w:rsidRPr="00C8314F">
        <w:rPr>
          <w:rFonts w:ascii="宋体" w:hAnsi="宋体"/>
          <w:sz w:val="24"/>
          <w:szCs w:val="24"/>
        </w:rPr>
        <w:t>破裂的</w:t>
      </w:r>
      <w:r w:rsidR="00C8314F" w:rsidRPr="00C8314F">
        <w:rPr>
          <w:rFonts w:ascii="宋体" w:hAnsi="宋体" w:hint="eastAsia"/>
          <w:sz w:val="24"/>
          <w:szCs w:val="24"/>
        </w:rPr>
        <w:t>影响</w:t>
      </w:r>
      <w:r w:rsidR="006A308F">
        <w:rPr>
          <w:rFonts w:ascii="宋体" w:hAnsi="宋体" w:hint="eastAsia"/>
          <w:sz w:val="24"/>
          <w:szCs w:val="24"/>
        </w:rPr>
        <w:t>下</w:t>
      </w:r>
      <w:r w:rsidR="00C8314F" w:rsidRPr="00C8314F">
        <w:rPr>
          <w:rFonts w:ascii="宋体" w:hAnsi="宋体"/>
          <w:sz w:val="24"/>
          <w:szCs w:val="24"/>
        </w:rPr>
        <w:t>，</w:t>
      </w:r>
      <w:r w:rsidR="00A77C06" w:rsidRPr="00C8314F">
        <w:rPr>
          <w:rFonts w:ascii="宋体" w:hAnsi="宋体" w:hint="eastAsia"/>
          <w:sz w:val="24"/>
          <w:szCs w:val="24"/>
        </w:rPr>
        <w:t>2015年3季度末</w:t>
      </w:r>
      <w:r w:rsidR="00C8314F" w:rsidRPr="005D0255">
        <w:rPr>
          <w:rFonts w:ascii="宋体" w:hAnsi="宋体" w:hint="eastAsia"/>
          <w:sz w:val="24"/>
          <w:szCs w:val="24"/>
        </w:rPr>
        <w:t>战略性新兴产业上市公司</w:t>
      </w:r>
      <w:r w:rsidR="00C8314F">
        <w:rPr>
          <w:rFonts w:ascii="宋体" w:hAnsi="宋体" w:hint="eastAsia"/>
          <w:sz w:val="24"/>
          <w:szCs w:val="24"/>
        </w:rPr>
        <w:t>股价</w:t>
      </w:r>
      <w:r w:rsidR="00C8314F" w:rsidRPr="00C8314F">
        <w:rPr>
          <w:rFonts w:ascii="宋体" w:hAnsi="宋体" w:hint="eastAsia"/>
          <w:sz w:val="24"/>
          <w:szCs w:val="24"/>
        </w:rPr>
        <w:t>较</w:t>
      </w:r>
      <w:r w:rsidR="00C8314F" w:rsidRPr="00C8314F">
        <w:rPr>
          <w:rFonts w:ascii="宋体" w:hAnsi="宋体"/>
          <w:sz w:val="24"/>
          <w:szCs w:val="24"/>
        </w:rPr>
        <w:t>年初</w:t>
      </w:r>
      <w:r w:rsidR="00A77C06" w:rsidRPr="00C8314F">
        <w:rPr>
          <w:rFonts w:ascii="宋体" w:hAnsi="宋体" w:hint="eastAsia"/>
          <w:sz w:val="24"/>
          <w:szCs w:val="24"/>
        </w:rPr>
        <w:t>累计涨幅大幅下滑至</w:t>
      </w:r>
      <w:r w:rsidR="00C8314F" w:rsidRPr="00C8314F">
        <w:rPr>
          <w:rFonts w:ascii="宋体" w:hAnsi="宋体" w:hint="eastAsia"/>
          <w:sz w:val="24"/>
          <w:szCs w:val="24"/>
        </w:rPr>
        <w:t>2</w:t>
      </w:r>
      <w:r w:rsidR="00C8314F" w:rsidRPr="00C8314F">
        <w:rPr>
          <w:rFonts w:ascii="宋体" w:hAnsi="宋体"/>
          <w:sz w:val="24"/>
          <w:szCs w:val="24"/>
        </w:rPr>
        <w:t>7.3</w:t>
      </w:r>
      <w:r w:rsidR="00A77C06" w:rsidRPr="00C8314F">
        <w:rPr>
          <w:rFonts w:ascii="宋体" w:hAnsi="宋体" w:hint="eastAsia"/>
          <w:sz w:val="24"/>
          <w:szCs w:val="24"/>
        </w:rPr>
        <w:t>%，涨幅</w:t>
      </w:r>
      <w:r w:rsidR="00C8314F" w:rsidRPr="00C8314F">
        <w:rPr>
          <w:rFonts w:ascii="宋体" w:hAnsi="宋体" w:hint="eastAsia"/>
          <w:sz w:val="24"/>
          <w:szCs w:val="24"/>
        </w:rPr>
        <w:t>较2季度末</w:t>
      </w:r>
      <w:r w:rsidR="00A77C06" w:rsidRPr="00C8314F">
        <w:rPr>
          <w:rFonts w:ascii="宋体" w:hAnsi="宋体" w:hint="eastAsia"/>
          <w:sz w:val="24"/>
          <w:szCs w:val="24"/>
        </w:rPr>
        <w:t>下降幅度达</w:t>
      </w:r>
      <w:r w:rsidR="00C8314F" w:rsidRPr="00C8314F">
        <w:rPr>
          <w:rFonts w:ascii="宋体" w:hAnsi="宋体" w:hint="eastAsia"/>
          <w:sz w:val="24"/>
          <w:szCs w:val="24"/>
        </w:rPr>
        <w:t>5</w:t>
      </w:r>
      <w:r w:rsidR="00C8314F" w:rsidRPr="00C8314F">
        <w:rPr>
          <w:rFonts w:ascii="宋体" w:hAnsi="宋体"/>
          <w:sz w:val="24"/>
          <w:szCs w:val="24"/>
        </w:rPr>
        <w:t>2.3</w:t>
      </w:r>
      <w:r w:rsidR="00C8314F" w:rsidRPr="00C8314F">
        <w:rPr>
          <w:rFonts w:ascii="宋体" w:hAnsi="宋体" w:hint="eastAsia"/>
          <w:sz w:val="24"/>
          <w:szCs w:val="24"/>
        </w:rPr>
        <w:t>个</w:t>
      </w:r>
      <w:r w:rsidR="00A77C06" w:rsidRPr="00C8314F">
        <w:rPr>
          <w:rFonts w:ascii="宋体" w:hAnsi="宋体" w:hint="eastAsia"/>
          <w:sz w:val="24"/>
          <w:szCs w:val="24"/>
        </w:rPr>
        <w:t>百分点，明显高于</w:t>
      </w:r>
      <w:r w:rsidR="00A77C06">
        <w:rPr>
          <w:rFonts w:ascii="宋体" w:hAnsi="宋体" w:hint="eastAsia"/>
          <w:sz w:val="24"/>
          <w:szCs w:val="24"/>
        </w:rPr>
        <w:t>同期上市公司总体股价</w:t>
      </w:r>
      <w:r w:rsidR="00C8314F">
        <w:rPr>
          <w:rFonts w:ascii="宋体" w:hAnsi="宋体" w:hint="eastAsia"/>
          <w:sz w:val="24"/>
          <w:szCs w:val="24"/>
        </w:rPr>
        <w:t>4</w:t>
      </w:r>
      <w:r w:rsidR="00C8314F">
        <w:rPr>
          <w:rFonts w:ascii="宋体" w:hAnsi="宋体"/>
          <w:sz w:val="24"/>
          <w:szCs w:val="24"/>
        </w:rPr>
        <w:t>0.7%的回撤</w:t>
      </w:r>
      <w:r w:rsidR="00A77C06">
        <w:rPr>
          <w:rFonts w:ascii="宋体" w:hAnsi="宋体" w:hint="eastAsia"/>
          <w:sz w:val="24"/>
          <w:szCs w:val="24"/>
        </w:rPr>
        <w:t>幅度。</w:t>
      </w:r>
      <w:r w:rsidR="006A308F">
        <w:rPr>
          <w:rFonts w:ascii="宋体" w:hAnsi="宋体" w:hint="eastAsia"/>
          <w:sz w:val="24"/>
          <w:szCs w:val="24"/>
        </w:rPr>
        <w:t>与此同时</w:t>
      </w:r>
      <w:r w:rsidR="006A308F">
        <w:rPr>
          <w:rFonts w:ascii="宋体" w:hAnsi="宋体"/>
          <w:sz w:val="24"/>
          <w:szCs w:val="24"/>
        </w:rPr>
        <w:t>，</w:t>
      </w:r>
      <w:r w:rsidR="00A77C06">
        <w:rPr>
          <w:rFonts w:ascii="宋体" w:hAnsi="宋体" w:hint="eastAsia"/>
          <w:sz w:val="24"/>
          <w:szCs w:val="24"/>
        </w:rPr>
        <w:t>2015年，战略性新兴产业上市公司</w:t>
      </w:r>
      <w:r w:rsidR="00A77C06">
        <w:rPr>
          <w:rFonts w:ascii="宋体" w:hAnsi="宋体" w:hint="eastAsia"/>
          <w:sz w:val="24"/>
          <w:szCs w:val="24"/>
        </w:rPr>
        <w:lastRenderedPageBreak/>
        <w:t>日均换手率达5.44%，高于同期上市公司总体5.10%换手率水平</w:t>
      </w:r>
      <w:r w:rsidR="006D1744">
        <w:rPr>
          <w:rFonts w:ascii="宋体" w:hAnsi="宋体" w:hint="eastAsia"/>
          <w:sz w:val="24"/>
          <w:szCs w:val="24"/>
        </w:rPr>
        <w:t>，大量战略性新兴产业上市公司成为资金炒作的对象</w:t>
      </w:r>
      <w:r w:rsidR="00A77C06">
        <w:rPr>
          <w:rFonts w:ascii="宋体" w:hAnsi="宋体" w:hint="eastAsia"/>
          <w:sz w:val="24"/>
          <w:szCs w:val="24"/>
        </w:rPr>
        <w:t>。</w:t>
      </w:r>
      <w:r w:rsidR="00C558E4">
        <w:rPr>
          <w:rFonts w:ascii="宋体" w:hAnsi="宋体" w:hint="eastAsia"/>
          <w:sz w:val="24"/>
          <w:szCs w:val="24"/>
        </w:rPr>
        <w:t>股价的大幅波动，不利于战略性新兴产业上市公司长远发展，给股权结构稳定带来不利影响，同时侵害中小投资者的利益。</w:t>
      </w:r>
    </w:p>
    <w:p w:rsidR="002E092A" w:rsidRDefault="002E092A" w:rsidP="002A4C48">
      <w:pPr>
        <w:spacing w:line="360" w:lineRule="auto"/>
        <w:ind w:firstLineChars="200" w:firstLine="480"/>
        <w:rPr>
          <w:rFonts w:ascii="宋体" w:hAnsi="宋体"/>
          <w:sz w:val="24"/>
          <w:szCs w:val="24"/>
        </w:rPr>
      </w:pPr>
    </w:p>
    <w:sectPr w:rsidR="002E092A" w:rsidSect="009C0B42">
      <w:headerReference w:type="even" r:id="rId29"/>
      <w:headerReference w:type="default" r:id="rId30"/>
      <w:footerReference w:type="even" r:id="rId31"/>
      <w:footerReference w:type="default" r:id="rId32"/>
      <w:pgSz w:w="11907" w:h="16839"/>
      <w:pgMar w:top="1871" w:right="1418" w:bottom="1304" w:left="1418" w:header="1361" w:footer="680" w:gutter="0"/>
      <w:pgNumType w:fmt="numberInDash"/>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E14" w:rsidRDefault="00A47E14">
      <w:r>
        <w:separator/>
      </w:r>
    </w:p>
  </w:endnote>
  <w:endnote w:type="continuationSeparator" w:id="0">
    <w:p w:rsidR="00A47E14" w:rsidRDefault="00A47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3E6" w:rsidRDefault="004673E6">
    <w:pPr>
      <w:pStyle w:val="a4"/>
      <w:jc w:val="center"/>
    </w:pPr>
    <w:r>
      <w:fldChar w:fldCharType="begin"/>
    </w:r>
    <w:r>
      <w:instrText>PAGE   \* MERGEFORMAT</w:instrText>
    </w:r>
    <w:r>
      <w:fldChar w:fldCharType="separate"/>
    </w:r>
    <w:r>
      <w:rPr>
        <w:lang w:val="zh-CN"/>
      </w:rPr>
      <w:t>-</w:t>
    </w:r>
    <w:r>
      <w:t xml:space="preserve"> 6 -</w:t>
    </w:r>
    <w:r>
      <w:fldChar w:fldCharType="end"/>
    </w:r>
  </w:p>
  <w:p w:rsidR="004673E6" w:rsidRDefault="004673E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3E6" w:rsidRDefault="004673E6">
    <w:pPr>
      <w:pStyle w:val="a4"/>
      <w:jc w:val="center"/>
    </w:pPr>
    <w:r>
      <w:fldChar w:fldCharType="begin"/>
    </w:r>
    <w:r>
      <w:instrText>PAGE   \* MERGEFORMAT</w:instrText>
    </w:r>
    <w:r>
      <w:fldChar w:fldCharType="separate"/>
    </w:r>
    <w:r w:rsidR="00823B3E" w:rsidRPr="00823B3E">
      <w:rPr>
        <w:noProof/>
        <w:lang w:val="zh-CN"/>
      </w:rPr>
      <w:t>-</w:t>
    </w:r>
    <w:r w:rsidR="00823B3E">
      <w:rPr>
        <w:noProof/>
      </w:rPr>
      <w:t xml:space="preserve"> 10 -</w:t>
    </w:r>
    <w:r>
      <w:fldChar w:fldCharType="end"/>
    </w:r>
  </w:p>
  <w:p w:rsidR="004673E6" w:rsidRDefault="004673E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E14" w:rsidRDefault="00A47E14">
      <w:r>
        <w:separator/>
      </w:r>
    </w:p>
  </w:footnote>
  <w:footnote w:type="continuationSeparator" w:id="0">
    <w:p w:rsidR="00A47E14" w:rsidRDefault="00A47E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3E6" w:rsidRDefault="004673E6">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3E6" w:rsidRDefault="004673E6">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HorizontalSpacing w:val="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F04"/>
    <w:rsid w:val="000049C8"/>
    <w:rsid w:val="00005930"/>
    <w:rsid w:val="00007948"/>
    <w:rsid w:val="00007F23"/>
    <w:rsid w:val="000110AD"/>
    <w:rsid w:val="0001506E"/>
    <w:rsid w:val="000165E8"/>
    <w:rsid w:val="00025564"/>
    <w:rsid w:val="00030596"/>
    <w:rsid w:val="00031056"/>
    <w:rsid w:val="00034D3A"/>
    <w:rsid w:val="000356B2"/>
    <w:rsid w:val="00036493"/>
    <w:rsid w:val="0004058E"/>
    <w:rsid w:val="00040F0B"/>
    <w:rsid w:val="00041D16"/>
    <w:rsid w:val="00043655"/>
    <w:rsid w:val="000465A2"/>
    <w:rsid w:val="000521B6"/>
    <w:rsid w:val="00053965"/>
    <w:rsid w:val="00053F56"/>
    <w:rsid w:val="00055135"/>
    <w:rsid w:val="000554E5"/>
    <w:rsid w:val="00055518"/>
    <w:rsid w:val="000666ED"/>
    <w:rsid w:val="0006755E"/>
    <w:rsid w:val="00067CBA"/>
    <w:rsid w:val="00071713"/>
    <w:rsid w:val="00085CD2"/>
    <w:rsid w:val="00091B6E"/>
    <w:rsid w:val="00094DFA"/>
    <w:rsid w:val="000A23DD"/>
    <w:rsid w:val="000A2714"/>
    <w:rsid w:val="000A3989"/>
    <w:rsid w:val="000A39AF"/>
    <w:rsid w:val="000A5070"/>
    <w:rsid w:val="000A580A"/>
    <w:rsid w:val="000A6AE1"/>
    <w:rsid w:val="000B47EF"/>
    <w:rsid w:val="000B7367"/>
    <w:rsid w:val="000C156E"/>
    <w:rsid w:val="000D2283"/>
    <w:rsid w:val="000D5EEA"/>
    <w:rsid w:val="000D5EF4"/>
    <w:rsid w:val="000E2414"/>
    <w:rsid w:val="000E2894"/>
    <w:rsid w:val="000E3B25"/>
    <w:rsid w:val="000E4EB4"/>
    <w:rsid w:val="000F1846"/>
    <w:rsid w:val="000F485A"/>
    <w:rsid w:val="000F5124"/>
    <w:rsid w:val="000F69CD"/>
    <w:rsid w:val="00112C64"/>
    <w:rsid w:val="00121FD4"/>
    <w:rsid w:val="00122294"/>
    <w:rsid w:val="00122AF1"/>
    <w:rsid w:val="001234E5"/>
    <w:rsid w:val="00124568"/>
    <w:rsid w:val="001245C4"/>
    <w:rsid w:val="001266A1"/>
    <w:rsid w:val="0012731C"/>
    <w:rsid w:val="001312E9"/>
    <w:rsid w:val="0013290A"/>
    <w:rsid w:val="001329B2"/>
    <w:rsid w:val="001338B7"/>
    <w:rsid w:val="00133E86"/>
    <w:rsid w:val="00133F42"/>
    <w:rsid w:val="0014053C"/>
    <w:rsid w:val="00141A05"/>
    <w:rsid w:val="00141F0A"/>
    <w:rsid w:val="0014451F"/>
    <w:rsid w:val="001466AC"/>
    <w:rsid w:val="00146B40"/>
    <w:rsid w:val="00147AA8"/>
    <w:rsid w:val="00147AF6"/>
    <w:rsid w:val="00152C6F"/>
    <w:rsid w:val="00155E8C"/>
    <w:rsid w:val="00157AE9"/>
    <w:rsid w:val="00161BFE"/>
    <w:rsid w:val="00163BCB"/>
    <w:rsid w:val="00166F63"/>
    <w:rsid w:val="0017067E"/>
    <w:rsid w:val="00172D20"/>
    <w:rsid w:val="00172FCA"/>
    <w:rsid w:val="00173D9E"/>
    <w:rsid w:val="0018156D"/>
    <w:rsid w:val="0018319E"/>
    <w:rsid w:val="00183C98"/>
    <w:rsid w:val="00186954"/>
    <w:rsid w:val="00186966"/>
    <w:rsid w:val="0019156A"/>
    <w:rsid w:val="00191596"/>
    <w:rsid w:val="0019621A"/>
    <w:rsid w:val="001A016C"/>
    <w:rsid w:val="001A0F24"/>
    <w:rsid w:val="001A4A92"/>
    <w:rsid w:val="001A5927"/>
    <w:rsid w:val="001B2316"/>
    <w:rsid w:val="001B47C8"/>
    <w:rsid w:val="001B58D0"/>
    <w:rsid w:val="001B71E8"/>
    <w:rsid w:val="001C23EA"/>
    <w:rsid w:val="001C5E07"/>
    <w:rsid w:val="001C721C"/>
    <w:rsid w:val="001D2D77"/>
    <w:rsid w:val="001D2E91"/>
    <w:rsid w:val="001D4BC1"/>
    <w:rsid w:val="001D5F33"/>
    <w:rsid w:val="001D6F05"/>
    <w:rsid w:val="001E1289"/>
    <w:rsid w:val="001E14C7"/>
    <w:rsid w:val="001E18E5"/>
    <w:rsid w:val="001E2292"/>
    <w:rsid w:val="001E33E5"/>
    <w:rsid w:val="001F198F"/>
    <w:rsid w:val="001F1F86"/>
    <w:rsid w:val="001F249E"/>
    <w:rsid w:val="001F3EAB"/>
    <w:rsid w:val="00203343"/>
    <w:rsid w:val="00205193"/>
    <w:rsid w:val="00205802"/>
    <w:rsid w:val="002060B1"/>
    <w:rsid w:val="0021222C"/>
    <w:rsid w:val="00213B1B"/>
    <w:rsid w:val="00214615"/>
    <w:rsid w:val="0021602D"/>
    <w:rsid w:val="00220C7F"/>
    <w:rsid w:val="002214D7"/>
    <w:rsid w:val="00226905"/>
    <w:rsid w:val="0022747A"/>
    <w:rsid w:val="00240F04"/>
    <w:rsid w:val="00241363"/>
    <w:rsid w:val="00253B17"/>
    <w:rsid w:val="00254F8D"/>
    <w:rsid w:val="00256B77"/>
    <w:rsid w:val="002575B7"/>
    <w:rsid w:val="002613D3"/>
    <w:rsid w:val="00270613"/>
    <w:rsid w:val="00270854"/>
    <w:rsid w:val="00270C45"/>
    <w:rsid w:val="00271E78"/>
    <w:rsid w:val="00271ED9"/>
    <w:rsid w:val="00273A2E"/>
    <w:rsid w:val="00273B76"/>
    <w:rsid w:val="002754AB"/>
    <w:rsid w:val="00275927"/>
    <w:rsid w:val="002768E7"/>
    <w:rsid w:val="00276E0E"/>
    <w:rsid w:val="00276F52"/>
    <w:rsid w:val="00283337"/>
    <w:rsid w:val="00291AD1"/>
    <w:rsid w:val="002A0EB0"/>
    <w:rsid w:val="002A4C48"/>
    <w:rsid w:val="002A7919"/>
    <w:rsid w:val="002B0891"/>
    <w:rsid w:val="002B646E"/>
    <w:rsid w:val="002C01D5"/>
    <w:rsid w:val="002C04AA"/>
    <w:rsid w:val="002C2AD8"/>
    <w:rsid w:val="002C6261"/>
    <w:rsid w:val="002C7542"/>
    <w:rsid w:val="002D09AA"/>
    <w:rsid w:val="002D0F30"/>
    <w:rsid w:val="002D4631"/>
    <w:rsid w:val="002D526D"/>
    <w:rsid w:val="002D5935"/>
    <w:rsid w:val="002D5954"/>
    <w:rsid w:val="002D62B5"/>
    <w:rsid w:val="002D6F1D"/>
    <w:rsid w:val="002D71EE"/>
    <w:rsid w:val="002D7AAC"/>
    <w:rsid w:val="002E092A"/>
    <w:rsid w:val="002E203A"/>
    <w:rsid w:val="002E5837"/>
    <w:rsid w:val="002E60AD"/>
    <w:rsid w:val="002E7665"/>
    <w:rsid w:val="002F28CD"/>
    <w:rsid w:val="002F5C48"/>
    <w:rsid w:val="00301630"/>
    <w:rsid w:val="00304B00"/>
    <w:rsid w:val="003103C0"/>
    <w:rsid w:val="00314B05"/>
    <w:rsid w:val="0031543A"/>
    <w:rsid w:val="003157AF"/>
    <w:rsid w:val="00315E2A"/>
    <w:rsid w:val="003160E2"/>
    <w:rsid w:val="003164C1"/>
    <w:rsid w:val="003177F2"/>
    <w:rsid w:val="00320CE2"/>
    <w:rsid w:val="0032662A"/>
    <w:rsid w:val="00336565"/>
    <w:rsid w:val="00343439"/>
    <w:rsid w:val="00343E9C"/>
    <w:rsid w:val="00343EC7"/>
    <w:rsid w:val="00345ECD"/>
    <w:rsid w:val="00347CB7"/>
    <w:rsid w:val="00350F5A"/>
    <w:rsid w:val="003514ED"/>
    <w:rsid w:val="00352492"/>
    <w:rsid w:val="00356E26"/>
    <w:rsid w:val="00370A42"/>
    <w:rsid w:val="00370EE9"/>
    <w:rsid w:val="0037100B"/>
    <w:rsid w:val="00374063"/>
    <w:rsid w:val="00374353"/>
    <w:rsid w:val="00374F06"/>
    <w:rsid w:val="00376FCA"/>
    <w:rsid w:val="00381EF9"/>
    <w:rsid w:val="00384FC9"/>
    <w:rsid w:val="00391950"/>
    <w:rsid w:val="00392585"/>
    <w:rsid w:val="00394426"/>
    <w:rsid w:val="00397CDF"/>
    <w:rsid w:val="003A35D9"/>
    <w:rsid w:val="003A4DB7"/>
    <w:rsid w:val="003B6198"/>
    <w:rsid w:val="003C07AF"/>
    <w:rsid w:val="003C3314"/>
    <w:rsid w:val="003C3AFD"/>
    <w:rsid w:val="003C7792"/>
    <w:rsid w:val="003D12DE"/>
    <w:rsid w:val="003D2853"/>
    <w:rsid w:val="003D5A36"/>
    <w:rsid w:val="003D633B"/>
    <w:rsid w:val="003E005A"/>
    <w:rsid w:val="003E263C"/>
    <w:rsid w:val="003E4796"/>
    <w:rsid w:val="003E49A8"/>
    <w:rsid w:val="003F5826"/>
    <w:rsid w:val="003F6851"/>
    <w:rsid w:val="004029E9"/>
    <w:rsid w:val="004040D6"/>
    <w:rsid w:val="00404901"/>
    <w:rsid w:val="00410E26"/>
    <w:rsid w:val="004115D8"/>
    <w:rsid w:val="00412582"/>
    <w:rsid w:val="00412E2F"/>
    <w:rsid w:val="00414AED"/>
    <w:rsid w:val="00417389"/>
    <w:rsid w:val="004175B1"/>
    <w:rsid w:val="004216D0"/>
    <w:rsid w:val="00421B1E"/>
    <w:rsid w:val="004236EA"/>
    <w:rsid w:val="004253CE"/>
    <w:rsid w:val="004257EB"/>
    <w:rsid w:val="00426DB9"/>
    <w:rsid w:val="0043311B"/>
    <w:rsid w:val="004353CC"/>
    <w:rsid w:val="00437B0F"/>
    <w:rsid w:val="00441853"/>
    <w:rsid w:val="004432AE"/>
    <w:rsid w:val="0045090B"/>
    <w:rsid w:val="00450FEF"/>
    <w:rsid w:val="004567A6"/>
    <w:rsid w:val="00457072"/>
    <w:rsid w:val="00457368"/>
    <w:rsid w:val="00460322"/>
    <w:rsid w:val="00461B6C"/>
    <w:rsid w:val="00461C8D"/>
    <w:rsid w:val="0046393D"/>
    <w:rsid w:val="00463BCD"/>
    <w:rsid w:val="004673E6"/>
    <w:rsid w:val="0047169C"/>
    <w:rsid w:val="0047539B"/>
    <w:rsid w:val="0047690D"/>
    <w:rsid w:val="004771C7"/>
    <w:rsid w:val="00483512"/>
    <w:rsid w:val="00492302"/>
    <w:rsid w:val="00497735"/>
    <w:rsid w:val="004A2630"/>
    <w:rsid w:val="004A3392"/>
    <w:rsid w:val="004B0789"/>
    <w:rsid w:val="004B156B"/>
    <w:rsid w:val="004B42CD"/>
    <w:rsid w:val="004B6F78"/>
    <w:rsid w:val="004C65EA"/>
    <w:rsid w:val="004C7DBF"/>
    <w:rsid w:val="004D3EB6"/>
    <w:rsid w:val="004E3433"/>
    <w:rsid w:val="004F0626"/>
    <w:rsid w:val="004F4690"/>
    <w:rsid w:val="004F5ABD"/>
    <w:rsid w:val="005010A3"/>
    <w:rsid w:val="005021FF"/>
    <w:rsid w:val="005023BC"/>
    <w:rsid w:val="005119A8"/>
    <w:rsid w:val="00516BB2"/>
    <w:rsid w:val="0052149A"/>
    <w:rsid w:val="00521F9E"/>
    <w:rsid w:val="005243C4"/>
    <w:rsid w:val="0053061E"/>
    <w:rsid w:val="005335DE"/>
    <w:rsid w:val="00533601"/>
    <w:rsid w:val="00533797"/>
    <w:rsid w:val="0053587A"/>
    <w:rsid w:val="00537084"/>
    <w:rsid w:val="00542414"/>
    <w:rsid w:val="005424F8"/>
    <w:rsid w:val="00545BF4"/>
    <w:rsid w:val="00551207"/>
    <w:rsid w:val="005546DD"/>
    <w:rsid w:val="00556F46"/>
    <w:rsid w:val="005578F2"/>
    <w:rsid w:val="00557A98"/>
    <w:rsid w:val="00562BED"/>
    <w:rsid w:val="00562E89"/>
    <w:rsid w:val="00566D54"/>
    <w:rsid w:val="005676C2"/>
    <w:rsid w:val="00567B3B"/>
    <w:rsid w:val="005769E9"/>
    <w:rsid w:val="00577752"/>
    <w:rsid w:val="00586826"/>
    <w:rsid w:val="00590CD4"/>
    <w:rsid w:val="00591600"/>
    <w:rsid w:val="00592AEE"/>
    <w:rsid w:val="00593F44"/>
    <w:rsid w:val="005A506F"/>
    <w:rsid w:val="005B01A7"/>
    <w:rsid w:val="005B02E1"/>
    <w:rsid w:val="005B0EA0"/>
    <w:rsid w:val="005B1143"/>
    <w:rsid w:val="005B27CC"/>
    <w:rsid w:val="005B51AC"/>
    <w:rsid w:val="005B5F41"/>
    <w:rsid w:val="005B77EF"/>
    <w:rsid w:val="005C2CDB"/>
    <w:rsid w:val="005C2F6F"/>
    <w:rsid w:val="005C3107"/>
    <w:rsid w:val="005C47DB"/>
    <w:rsid w:val="005C4B86"/>
    <w:rsid w:val="005C645E"/>
    <w:rsid w:val="005D0255"/>
    <w:rsid w:val="005D32A1"/>
    <w:rsid w:val="005D397C"/>
    <w:rsid w:val="005D47CF"/>
    <w:rsid w:val="005D5460"/>
    <w:rsid w:val="005D7652"/>
    <w:rsid w:val="005D76B5"/>
    <w:rsid w:val="005D7C03"/>
    <w:rsid w:val="005E0D0D"/>
    <w:rsid w:val="005F5A5E"/>
    <w:rsid w:val="005F5C0C"/>
    <w:rsid w:val="005F6DB5"/>
    <w:rsid w:val="0060125F"/>
    <w:rsid w:val="00602D39"/>
    <w:rsid w:val="00606FE5"/>
    <w:rsid w:val="006123B6"/>
    <w:rsid w:val="00616E84"/>
    <w:rsid w:val="00617584"/>
    <w:rsid w:val="00621BDF"/>
    <w:rsid w:val="00623636"/>
    <w:rsid w:val="0062626D"/>
    <w:rsid w:val="00640702"/>
    <w:rsid w:val="00640E04"/>
    <w:rsid w:val="00641A3B"/>
    <w:rsid w:val="00642AC1"/>
    <w:rsid w:val="00645DF8"/>
    <w:rsid w:val="00650EE6"/>
    <w:rsid w:val="0065179A"/>
    <w:rsid w:val="00654970"/>
    <w:rsid w:val="00655137"/>
    <w:rsid w:val="006576A6"/>
    <w:rsid w:val="00664CB9"/>
    <w:rsid w:val="006658E2"/>
    <w:rsid w:val="00670C42"/>
    <w:rsid w:val="00673C71"/>
    <w:rsid w:val="00675CDA"/>
    <w:rsid w:val="00677F90"/>
    <w:rsid w:val="00680800"/>
    <w:rsid w:val="00682895"/>
    <w:rsid w:val="00682900"/>
    <w:rsid w:val="0068516B"/>
    <w:rsid w:val="00686F64"/>
    <w:rsid w:val="00694822"/>
    <w:rsid w:val="00697F9F"/>
    <w:rsid w:val="006A0642"/>
    <w:rsid w:val="006A0E74"/>
    <w:rsid w:val="006A28FC"/>
    <w:rsid w:val="006A308F"/>
    <w:rsid w:val="006A42FC"/>
    <w:rsid w:val="006A7708"/>
    <w:rsid w:val="006B0CE5"/>
    <w:rsid w:val="006B0D3A"/>
    <w:rsid w:val="006B16F7"/>
    <w:rsid w:val="006B19C8"/>
    <w:rsid w:val="006B1CE8"/>
    <w:rsid w:val="006B2CCC"/>
    <w:rsid w:val="006B3718"/>
    <w:rsid w:val="006B4924"/>
    <w:rsid w:val="006B68AC"/>
    <w:rsid w:val="006B7BF8"/>
    <w:rsid w:val="006C0611"/>
    <w:rsid w:val="006C0D02"/>
    <w:rsid w:val="006C0F5D"/>
    <w:rsid w:val="006C0F7B"/>
    <w:rsid w:val="006C294C"/>
    <w:rsid w:val="006D0931"/>
    <w:rsid w:val="006D1744"/>
    <w:rsid w:val="006E444A"/>
    <w:rsid w:val="006F1867"/>
    <w:rsid w:val="006F65C7"/>
    <w:rsid w:val="0070099B"/>
    <w:rsid w:val="00700EE0"/>
    <w:rsid w:val="0070199F"/>
    <w:rsid w:val="007043C4"/>
    <w:rsid w:val="00707F5A"/>
    <w:rsid w:val="00714284"/>
    <w:rsid w:val="00715A08"/>
    <w:rsid w:val="0071678F"/>
    <w:rsid w:val="0071777F"/>
    <w:rsid w:val="007216FB"/>
    <w:rsid w:val="00723174"/>
    <w:rsid w:val="00727663"/>
    <w:rsid w:val="00727771"/>
    <w:rsid w:val="00732F9C"/>
    <w:rsid w:val="007360AC"/>
    <w:rsid w:val="00737175"/>
    <w:rsid w:val="00740837"/>
    <w:rsid w:val="00741691"/>
    <w:rsid w:val="00743684"/>
    <w:rsid w:val="0074392F"/>
    <w:rsid w:val="00751089"/>
    <w:rsid w:val="00752A96"/>
    <w:rsid w:val="00770AED"/>
    <w:rsid w:val="00774302"/>
    <w:rsid w:val="0078211E"/>
    <w:rsid w:val="00782AE4"/>
    <w:rsid w:val="00783DA4"/>
    <w:rsid w:val="00784212"/>
    <w:rsid w:val="00784436"/>
    <w:rsid w:val="007845F6"/>
    <w:rsid w:val="007906F8"/>
    <w:rsid w:val="00792A48"/>
    <w:rsid w:val="0079355C"/>
    <w:rsid w:val="007A447F"/>
    <w:rsid w:val="007A4BB5"/>
    <w:rsid w:val="007A649E"/>
    <w:rsid w:val="007B31CE"/>
    <w:rsid w:val="007B60DB"/>
    <w:rsid w:val="007B64B1"/>
    <w:rsid w:val="007B68AA"/>
    <w:rsid w:val="007C0093"/>
    <w:rsid w:val="007C6AAB"/>
    <w:rsid w:val="007D1880"/>
    <w:rsid w:val="007D1F0B"/>
    <w:rsid w:val="007D3BA9"/>
    <w:rsid w:val="007D4E44"/>
    <w:rsid w:val="007E2D11"/>
    <w:rsid w:val="007E49B9"/>
    <w:rsid w:val="007E4D2C"/>
    <w:rsid w:val="007E6C59"/>
    <w:rsid w:val="007F3CB7"/>
    <w:rsid w:val="007F47A2"/>
    <w:rsid w:val="0080067E"/>
    <w:rsid w:val="00800AC4"/>
    <w:rsid w:val="00800AEA"/>
    <w:rsid w:val="0080257C"/>
    <w:rsid w:val="00804335"/>
    <w:rsid w:val="00806A5F"/>
    <w:rsid w:val="00806DC9"/>
    <w:rsid w:val="008074D1"/>
    <w:rsid w:val="00811C2A"/>
    <w:rsid w:val="00814233"/>
    <w:rsid w:val="0081430E"/>
    <w:rsid w:val="008150CC"/>
    <w:rsid w:val="00815584"/>
    <w:rsid w:val="00816490"/>
    <w:rsid w:val="00820E9A"/>
    <w:rsid w:val="00822A19"/>
    <w:rsid w:val="00822BD1"/>
    <w:rsid w:val="00823B3E"/>
    <w:rsid w:val="00823CAC"/>
    <w:rsid w:val="008245D4"/>
    <w:rsid w:val="00825D46"/>
    <w:rsid w:val="008269FB"/>
    <w:rsid w:val="00827206"/>
    <w:rsid w:val="008312BE"/>
    <w:rsid w:val="00832503"/>
    <w:rsid w:val="00834916"/>
    <w:rsid w:val="0083525A"/>
    <w:rsid w:val="0084434D"/>
    <w:rsid w:val="00845457"/>
    <w:rsid w:val="008473BF"/>
    <w:rsid w:val="008509F4"/>
    <w:rsid w:val="0085319A"/>
    <w:rsid w:val="00854212"/>
    <w:rsid w:val="00854999"/>
    <w:rsid w:val="008566C1"/>
    <w:rsid w:val="00860FB2"/>
    <w:rsid w:val="00862610"/>
    <w:rsid w:val="00863F59"/>
    <w:rsid w:val="008734B1"/>
    <w:rsid w:val="0087385D"/>
    <w:rsid w:val="00875387"/>
    <w:rsid w:val="008777ED"/>
    <w:rsid w:val="008875BD"/>
    <w:rsid w:val="0089072E"/>
    <w:rsid w:val="00890E41"/>
    <w:rsid w:val="00891CC8"/>
    <w:rsid w:val="008956DC"/>
    <w:rsid w:val="00896255"/>
    <w:rsid w:val="0089672C"/>
    <w:rsid w:val="008968B6"/>
    <w:rsid w:val="008A2E6C"/>
    <w:rsid w:val="008A32EE"/>
    <w:rsid w:val="008A52DE"/>
    <w:rsid w:val="008B0A84"/>
    <w:rsid w:val="008B325C"/>
    <w:rsid w:val="008B66D5"/>
    <w:rsid w:val="008B6FFB"/>
    <w:rsid w:val="008B7F92"/>
    <w:rsid w:val="008C1705"/>
    <w:rsid w:val="008C488F"/>
    <w:rsid w:val="008C7362"/>
    <w:rsid w:val="008D097D"/>
    <w:rsid w:val="008D154F"/>
    <w:rsid w:val="008D3094"/>
    <w:rsid w:val="008D44C0"/>
    <w:rsid w:val="008D53ED"/>
    <w:rsid w:val="008E33BF"/>
    <w:rsid w:val="008E3CF9"/>
    <w:rsid w:val="008E552A"/>
    <w:rsid w:val="008E63B5"/>
    <w:rsid w:val="008E7E94"/>
    <w:rsid w:val="008F5564"/>
    <w:rsid w:val="008F6085"/>
    <w:rsid w:val="00901BCA"/>
    <w:rsid w:val="009023AE"/>
    <w:rsid w:val="00903D46"/>
    <w:rsid w:val="00903EAE"/>
    <w:rsid w:val="00904DB6"/>
    <w:rsid w:val="00911F95"/>
    <w:rsid w:val="00913230"/>
    <w:rsid w:val="00916964"/>
    <w:rsid w:val="00917D25"/>
    <w:rsid w:val="009216DE"/>
    <w:rsid w:val="00922EE4"/>
    <w:rsid w:val="009266D6"/>
    <w:rsid w:val="009272B5"/>
    <w:rsid w:val="00927A2C"/>
    <w:rsid w:val="00930677"/>
    <w:rsid w:val="009348CF"/>
    <w:rsid w:val="00934C59"/>
    <w:rsid w:val="009415C4"/>
    <w:rsid w:val="00941D26"/>
    <w:rsid w:val="00945BC5"/>
    <w:rsid w:val="00947028"/>
    <w:rsid w:val="00950C97"/>
    <w:rsid w:val="00953918"/>
    <w:rsid w:val="00957763"/>
    <w:rsid w:val="00960ABA"/>
    <w:rsid w:val="009632E6"/>
    <w:rsid w:val="0096339F"/>
    <w:rsid w:val="00963CD9"/>
    <w:rsid w:val="00965FA7"/>
    <w:rsid w:val="0096615C"/>
    <w:rsid w:val="00971FB7"/>
    <w:rsid w:val="0097495D"/>
    <w:rsid w:val="00974BAE"/>
    <w:rsid w:val="00975D9E"/>
    <w:rsid w:val="00984CA5"/>
    <w:rsid w:val="009925E5"/>
    <w:rsid w:val="00993540"/>
    <w:rsid w:val="0099430C"/>
    <w:rsid w:val="009943D6"/>
    <w:rsid w:val="00995FE4"/>
    <w:rsid w:val="009969F1"/>
    <w:rsid w:val="009A007C"/>
    <w:rsid w:val="009A0461"/>
    <w:rsid w:val="009A0A25"/>
    <w:rsid w:val="009A25E1"/>
    <w:rsid w:val="009A7624"/>
    <w:rsid w:val="009B0432"/>
    <w:rsid w:val="009B177A"/>
    <w:rsid w:val="009B2335"/>
    <w:rsid w:val="009B79E7"/>
    <w:rsid w:val="009C0B42"/>
    <w:rsid w:val="009C0E9B"/>
    <w:rsid w:val="009C4D21"/>
    <w:rsid w:val="009C7877"/>
    <w:rsid w:val="009C794F"/>
    <w:rsid w:val="009D1837"/>
    <w:rsid w:val="009D5D9A"/>
    <w:rsid w:val="009D6BA7"/>
    <w:rsid w:val="009E0C89"/>
    <w:rsid w:val="009E6D13"/>
    <w:rsid w:val="009F1003"/>
    <w:rsid w:val="009F4B17"/>
    <w:rsid w:val="009F7CDA"/>
    <w:rsid w:val="00A00D65"/>
    <w:rsid w:val="00A01DF5"/>
    <w:rsid w:val="00A04547"/>
    <w:rsid w:val="00A046C6"/>
    <w:rsid w:val="00A05CB0"/>
    <w:rsid w:val="00A0709E"/>
    <w:rsid w:val="00A14FA8"/>
    <w:rsid w:val="00A223C8"/>
    <w:rsid w:val="00A27162"/>
    <w:rsid w:val="00A27997"/>
    <w:rsid w:val="00A3226B"/>
    <w:rsid w:val="00A329CD"/>
    <w:rsid w:val="00A33F23"/>
    <w:rsid w:val="00A3474E"/>
    <w:rsid w:val="00A35C86"/>
    <w:rsid w:val="00A4225F"/>
    <w:rsid w:val="00A423B7"/>
    <w:rsid w:val="00A44F6C"/>
    <w:rsid w:val="00A46D81"/>
    <w:rsid w:val="00A47E14"/>
    <w:rsid w:val="00A51F0E"/>
    <w:rsid w:val="00A53D66"/>
    <w:rsid w:val="00A540FD"/>
    <w:rsid w:val="00A6434B"/>
    <w:rsid w:val="00A66A08"/>
    <w:rsid w:val="00A66EDD"/>
    <w:rsid w:val="00A67DCE"/>
    <w:rsid w:val="00A73022"/>
    <w:rsid w:val="00A73715"/>
    <w:rsid w:val="00A754F4"/>
    <w:rsid w:val="00A77C06"/>
    <w:rsid w:val="00A80580"/>
    <w:rsid w:val="00A80814"/>
    <w:rsid w:val="00A8769F"/>
    <w:rsid w:val="00A903FD"/>
    <w:rsid w:val="00A90625"/>
    <w:rsid w:val="00A92E0E"/>
    <w:rsid w:val="00A9715D"/>
    <w:rsid w:val="00AA01BF"/>
    <w:rsid w:val="00AA0920"/>
    <w:rsid w:val="00AA171B"/>
    <w:rsid w:val="00AA3BCD"/>
    <w:rsid w:val="00AA4C9B"/>
    <w:rsid w:val="00AA5F33"/>
    <w:rsid w:val="00AB14A8"/>
    <w:rsid w:val="00AB1657"/>
    <w:rsid w:val="00AB361D"/>
    <w:rsid w:val="00AC6F6D"/>
    <w:rsid w:val="00AC7714"/>
    <w:rsid w:val="00AD0DB2"/>
    <w:rsid w:val="00AD3C65"/>
    <w:rsid w:val="00AD50E1"/>
    <w:rsid w:val="00AD76FB"/>
    <w:rsid w:val="00AE4D4C"/>
    <w:rsid w:val="00AE5AE2"/>
    <w:rsid w:val="00AE7245"/>
    <w:rsid w:val="00AF309C"/>
    <w:rsid w:val="00AF49B9"/>
    <w:rsid w:val="00B07194"/>
    <w:rsid w:val="00B12DF8"/>
    <w:rsid w:val="00B1658A"/>
    <w:rsid w:val="00B166B4"/>
    <w:rsid w:val="00B22841"/>
    <w:rsid w:val="00B22F13"/>
    <w:rsid w:val="00B2478C"/>
    <w:rsid w:val="00B27B01"/>
    <w:rsid w:val="00B30371"/>
    <w:rsid w:val="00B323BC"/>
    <w:rsid w:val="00B32878"/>
    <w:rsid w:val="00B37F3B"/>
    <w:rsid w:val="00B41855"/>
    <w:rsid w:val="00B454E8"/>
    <w:rsid w:val="00B4687E"/>
    <w:rsid w:val="00B5074A"/>
    <w:rsid w:val="00B51947"/>
    <w:rsid w:val="00B537E6"/>
    <w:rsid w:val="00B5526E"/>
    <w:rsid w:val="00B55533"/>
    <w:rsid w:val="00B57B51"/>
    <w:rsid w:val="00B57F5D"/>
    <w:rsid w:val="00B60EBF"/>
    <w:rsid w:val="00B61DEA"/>
    <w:rsid w:val="00B63C83"/>
    <w:rsid w:val="00B67838"/>
    <w:rsid w:val="00B70149"/>
    <w:rsid w:val="00B70684"/>
    <w:rsid w:val="00B7111F"/>
    <w:rsid w:val="00B74093"/>
    <w:rsid w:val="00B76F45"/>
    <w:rsid w:val="00B7748E"/>
    <w:rsid w:val="00B802AA"/>
    <w:rsid w:val="00B93E68"/>
    <w:rsid w:val="00B94D30"/>
    <w:rsid w:val="00BA250B"/>
    <w:rsid w:val="00BA2C18"/>
    <w:rsid w:val="00BA36CF"/>
    <w:rsid w:val="00BA37FB"/>
    <w:rsid w:val="00BA7E95"/>
    <w:rsid w:val="00BB068F"/>
    <w:rsid w:val="00BB19EF"/>
    <w:rsid w:val="00BB335B"/>
    <w:rsid w:val="00BB5FD1"/>
    <w:rsid w:val="00BC2056"/>
    <w:rsid w:val="00BC2478"/>
    <w:rsid w:val="00BC3E52"/>
    <w:rsid w:val="00BC461C"/>
    <w:rsid w:val="00BC77A0"/>
    <w:rsid w:val="00BC7CA6"/>
    <w:rsid w:val="00BD6931"/>
    <w:rsid w:val="00BD69AF"/>
    <w:rsid w:val="00BE0B0C"/>
    <w:rsid w:val="00BE1E91"/>
    <w:rsid w:val="00BF0C75"/>
    <w:rsid w:val="00BF3174"/>
    <w:rsid w:val="00BF31C3"/>
    <w:rsid w:val="00BF4089"/>
    <w:rsid w:val="00BF79E6"/>
    <w:rsid w:val="00C012F2"/>
    <w:rsid w:val="00C017BB"/>
    <w:rsid w:val="00C02146"/>
    <w:rsid w:val="00C10815"/>
    <w:rsid w:val="00C11179"/>
    <w:rsid w:val="00C14857"/>
    <w:rsid w:val="00C165C4"/>
    <w:rsid w:val="00C16740"/>
    <w:rsid w:val="00C22119"/>
    <w:rsid w:val="00C301E3"/>
    <w:rsid w:val="00C30EC2"/>
    <w:rsid w:val="00C40712"/>
    <w:rsid w:val="00C408C9"/>
    <w:rsid w:val="00C41A28"/>
    <w:rsid w:val="00C41DE5"/>
    <w:rsid w:val="00C42A2D"/>
    <w:rsid w:val="00C453D3"/>
    <w:rsid w:val="00C4582C"/>
    <w:rsid w:val="00C470B1"/>
    <w:rsid w:val="00C47838"/>
    <w:rsid w:val="00C510DD"/>
    <w:rsid w:val="00C511F7"/>
    <w:rsid w:val="00C558E4"/>
    <w:rsid w:val="00C57D12"/>
    <w:rsid w:val="00C6240F"/>
    <w:rsid w:val="00C63149"/>
    <w:rsid w:val="00C651FC"/>
    <w:rsid w:val="00C662FA"/>
    <w:rsid w:val="00C700EB"/>
    <w:rsid w:val="00C70C2C"/>
    <w:rsid w:val="00C750A1"/>
    <w:rsid w:val="00C77B0D"/>
    <w:rsid w:val="00C82000"/>
    <w:rsid w:val="00C8314F"/>
    <w:rsid w:val="00C83F7A"/>
    <w:rsid w:val="00C85FB1"/>
    <w:rsid w:val="00C873B1"/>
    <w:rsid w:val="00C913AA"/>
    <w:rsid w:val="00C94BEC"/>
    <w:rsid w:val="00CA2ED9"/>
    <w:rsid w:val="00CA6867"/>
    <w:rsid w:val="00CC3169"/>
    <w:rsid w:val="00CD6FD6"/>
    <w:rsid w:val="00CE1A8D"/>
    <w:rsid w:val="00CE3366"/>
    <w:rsid w:val="00CF136D"/>
    <w:rsid w:val="00CF3364"/>
    <w:rsid w:val="00CF4296"/>
    <w:rsid w:val="00CF724F"/>
    <w:rsid w:val="00CF7818"/>
    <w:rsid w:val="00CF7863"/>
    <w:rsid w:val="00D01562"/>
    <w:rsid w:val="00D03FA0"/>
    <w:rsid w:val="00D124B6"/>
    <w:rsid w:val="00D151E4"/>
    <w:rsid w:val="00D1755A"/>
    <w:rsid w:val="00D20643"/>
    <w:rsid w:val="00D21081"/>
    <w:rsid w:val="00D210C2"/>
    <w:rsid w:val="00D25097"/>
    <w:rsid w:val="00D2642B"/>
    <w:rsid w:val="00D36B3A"/>
    <w:rsid w:val="00D41955"/>
    <w:rsid w:val="00D41956"/>
    <w:rsid w:val="00D4389C"/>
    <w:rsid w:val="00D4525F"/>
    <w:rsid w:val="00D5081B"/>
    <w:rsid w:val="00D50AF4"/>
    <w:rsid w:val="00D516CF"/>
    <w:rsid w:val="00D517DA"/>
    <w:rsid w:val="00D5184B"/>
    <w:rsid w:val="00D51DF8"/>
    <w:rsid w:val="00D54741"/>
    <w:rsid w:val="00D566A1"/>
    <w:rsid w:val="00D6466F"/>
    <w:rsid w:val="00D64FCC"/>
    <w:rsid w:val="00D7322F"/>
    <w:rsid w:val="00D75B95"/>
    <w:rsid w:val="00D82625"/>
    <w:rsid w:val="00D86CB1"/>
    <w:rsid w:val="00D908D0"/>
    <w:rsid w:val="00D96108"/>
    <w:rsid w:val="00DA05EE"/>
    <w:rsid w:val="00DA1103"/>
    <w:rsid w:val="00DA32F5"/>
    <w:rsid w:val="00DB35F4"/>
    <w:rsid w:val="00DB5224"/>
    <w:rsid w:val="00DB74D8"/>
    <w:rsid w:val="00DB7E02"/>
    <w:rsid w:val="00DC0361"/>
    <w:rsid w:val="00DC5475"/>
    <w:rsid w:val="00DC5AEB"/>
    <w:rsid w:val="00DC6DA8"/>
    <w:rsid w:val="00DD176A"/>
    <w:rsid w:val="00DD1E81"/>
    <w:rsid w:val="00DD29BC"/>
    <w:rsid w:val="00DD336A"/>
    <w:rsid w:val="00DD4038"/>
    <w:rsid w:val="00DD567E"/>
    <w:rsid w:val="00DD677E"/>
    <w:rsid w:val="00DD79B4"/>
    <w:rsid w:val="00DE0DB7"/>
    <w:rsid w:val="00DE1475"/>
    <w:rsid w:val="00DE1DEC"/>
    <w:rsid w:val="00DE4122"/>
    <w:rsid w:val="00DE7AA7"/>
    <w:rsid w:val="00DF1BB5"/>
    <w:rsid w:val="00DF3B8D"/>
    <w:rsid w:val="00DF4480"/>
    <w:rsid w:val="00E021A0"/>
    <w:rsid w:val="00E024D3"/>
    <w:rsid w:val="00E03622"/>
    <w:rsid w:val="00E07E71"/>
    <w:rsid w:val="00E1123A"/>
    <w:rsid w:val="00E142CA"/>
    <w:rsid w:val="00E14DDA"/>
    <w:rsid w:val="00E20D05"/>
    <w:rsid w:val="00E20FFC"/>
    <w:rsid w:val="00E21239"/>
    <w:rsid w:val="00E2143C"/>
    <w:rsid w:val="00E24041"/>
    <w:rsid w:val="00E3097B"/>
    <w:rsid w:val="00E30C34"/>
    <w:rsid w:val="00E336BF"/>
    <w:rsid w:val="00E346F5"/>
    <w:rsid w:val="00E34E32"/>
    <w:rsid w:val="00E409AE"/>
    <w:rsid w:val="00E4193E"/>
    <w:rsid w:val="00E46E35"/>
    <w:rsid w:val="00E47244"/>
    <w:rsid w:val="00E558C4"/>
    <w:rsid w:val="00E62745"/>
    <w:rsid w:val="00E62D47"/>
    <w:rsid w:val="00E6314D"/>
    <w:rsid w:val="00E6533B"/>
    <w:rsid w:val="00E6693C"/>
    <w:rsid w:val="00E7031B"/>
    <w:rsid w:val="00E7070E"/>
    <w:rsid w:val="00E755A1"/>
    <w:rsid w:val="00E76D0D"/>
    <w:rsid w:val="00E80CC4"/>
    <w:rsid w:val="00E84742"/>
    <w:rsid w:val="00E862DF"/>
    <w:rsid w:val="00E863A6"/>
    <w:rsid w:val="00E8701D"/>
    <w:rsid w:val="00E9030F"/>
    <w:rsid w:val="00E90AC1"/>
    <w:rsid w:val="00E91313"/>
    <w:rsid w:val="00E92F81"/>
    <w:rsid w:val="00E92FCC"/>
    <w:rsid w:val="00E94555"/>
    <w:rsid w:val="00E95EC6"/>
    <w:rsid w:val="00E96B06"/>
    <w:rsid w:val="00E971E4"/>
    <w:rsid w:val="00E97C82"/>
    <w:rsid w:val="00EA07F0"/>
    <w:rsid w:val="00EA1C84"/>
    <w:rsid w:val="00EA36AE"/>
    <w:rsid w:val="00EA3C15"/>
    <w:rsid w:val="00EB042A"/>
    <w:rsid w:val="00EB48BA"/>
    <w:rsid w:val="00EC08FB"/>
    <w:rsid w:val="00EC3C8B"/>
    <w:rsid w:val="00EC5AE4"/>
    <w:rsid w:val="00EE13FD"/>
    <w:rsid w:val="00EE1A47"/>
    <w:rsid w:val="00EE2DD3"/>
    <w:rsid w:val="00EE42D1"/>
    <w:rsid w:val="00EE7619"/>
    <w:rsid w:val="00EF17DB"/>
    <w:rsid w:val="00EF71BA"/>
    <w:rsid w:val="00F03989"/>
    <w:rsid w:val="00F075A4"/>
    <w:rsid w:val="00F0777B"/>
    <w:rsid w:val="00F128DC"/>
    <w:rsid w:val="00F15C03"/>
    <w:rsid w:val="00F17DBE"/>
    <w:rsid w:val="00F27AE8"/>
    <w:rsid w:val="00F31EE9"/>
    <w:rsid w:val="00F31F22"/>
    <w:rsid w:val="00F352B7"/>
    <w:rsid w:val="00F35F11"/>
    <w:rsid w:val="00F41A56"/>
    <w:rsid w:val="00F44DE6"/>
    <w:rsid w:val="00F50570"/>
    <w:rsid w:val="00F53B02"/>
    <w:rsid w:val="00F54539"/>
    <w:rsid w:val="00F54912"/>
    <w:rsid w:val="00F55349"/>
    <w:rsid w:val="00F61F9A"/>
    <w:rsid w:val="00F63742"/>
    <w:rsid w:val="00F70192"/>
    <w:rsid w:val="00F70B1C"/>
    <w:rsid w:val="00F72504"/>
    <w:rsid w:val="00F7492A"/>
    <w:rsid w:val="00F75C0B"/>
    <w:rsid w:val="00F76D2C"/>
    <w:rsid w:val="00F80B7E"/>
    <w:rsid w:val="00F817A2"/>
    <w:rsid w:val="00F829CD"/>
    <w:rsid w:val="00F835AE"/>
    <w:rsid w:val="00F87513"/>
    <w:rsid w:val="00F90631"/>
    <w:rsid w:val="00F92CD6"/>
    <w:rsid w:val="00FA03CA"/>
    <w:rsid w:val="00FA0853"/>
    <w:rsid w:val="00FA29BA"/>
    <w:rsid w:val="00FA3866"/>
    <w:rsid w:val="00FA63FC"/>
    <w:rsid w:val="00FB0193"/>
    <w:rsid w:val="00FB1EA1"/>
    <w:rsid w:val="00FB34F7"/>
    <w:rsid w:val="00FB4AD5"/>
    <w:rsid w:val="00FB4FDA"/>
    <w:rsid w:val="00FB5AB9"/>
    <w:rsid w:val="00FC01B2"/>
    <w:rsid w:val="00FC10D1"/>
    <w:rsid w:val="00FC1469"/>
    <w:rsid w:val="00FC6F25"/>
    <w:rsid w:val="00FD02F3"/>
    <w:rsid w:val="00FD0F87"/>
    <w:rsid w:val="00FD1DBD"/>
    <w:rsid w:val="00FD2850"/>
    <w:rsid w:val="00FD5FCD"/>
    <w:rsid w:val="00FD6DBD"/>
    <w:rsid w:val="00FD7A62"/>
    <w:rsid w:val="00FE0E96"/>
    <w:rsid w:val="00FE38FB"/>
    <w:rsid w:val="00FE53B4"/>
    <w:rsid w:val="00FF17ED"/>
    <w:rsid w:val="00FF1F90"/>
    <w:rsid w:val="00FF2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826"/>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F5826"/>
    <w:rPr>
      <w:sz w:val="18"/>
      <w:szCs w:val="18"/>
    </w:rPr>
  </w:style>
  <w:style w:type="paragraph" w:styleId="a4">
    <w:name w:val="footer"/>
    <w:basedOn w:val="a"/>
    <w:link w:val="Char0"/>
    <w:uiPriority w:val="99"/>
    <w:unhideWhenUsed/>
    <w:rsid w:val="003F5826"/>
    <w:pPr>
      <w:tabs>
        <w:tab w:val="center" w:pos="4153"/>
        <w:tab w:val="right" w:pos="8306"/>
      </w:tabs>
      <w:snapToGrid w:val="0"/>
      <w:jc w:val="left"/>
    </w:pPr>
    <w:rPr>
      <w:sz w:val="18"/>
      <w:szCs w:val="18"/>
    </w:rPr>
  </w:style>
  <w:style w:type="paragraph" w:styleId="a5">
    <w:name w:val="header"/>
    <w:basedOn w:val="a"/>
    <w:link w:val="Char1"/>
    <w:uiPriority w:val="99"/>
    <w:unhideWhenUsed/>
    <w:rsid w:val="003F582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3F5826"/>
    <w:rPr>
      <w:sz w:val="18"/>
      <w:szCs w:val="18"/>
    </w:rPr>
  </w:style>
  <w:style w:type="character" w:customStyle="1" w:styleId="Char0">
    <w:name w:val="页脚 Char"/>
    <w:basedOn w:val="a0"/>
    <w:link w:val="a4"/>
    <w:uiPriority w:val="99"/>
    <w:rsid w:val="003F5826"/>
    <w:rPr>
      <w:sz w:val="18"/>
      <w:szCs w:val="18"/>
    </w:rPr>
  </w:style>
  <w:style w:type="character" w:customStyle="1" w:styleId="Char">
    <w:name w:val="批注框文本 Char"/>
    <w:basedOn w:val="a0"/>
    <w:link w:val="a3"/>
    <w:uiPriority w:val="99"/>
    <w:semiHidden/>
    <w:rsid w:val="003F5826"/>
    <w:rPr>
      <w:sz w:val="18"/>
      <w:szCs w:val="18"/>
    </w:rPr>
  </w:style>
  <w:style w:type="paragraph" w:styleId="a6">
    <w:name w:val="List Paragraph"/>
    <w:basedOn w:val="a"/>
    <w:uiPriority w:val="34"/>
    <w:qFormat/>
    <w:rsid w:val="006C0F7B"/>
    <w:pPr>
      <w:ind w:firstLineChars="200" w:firstLine="420"/>
    </w:pPr>
    <w:rPr>
      <w:rFonts w:asciiTheme="minorHAnsi" w:eastAsiaTheme="minorEastAsia" w:hAnsiTheme="minorHAnsi" w:cstheme="minorBidi"/>
    </w:rPr>
  </w:style>
  <w:style w:type="character" w:styleId="a7">
    <w:name w:val="Hyperlink"/>
    <w:basedOn w:val="a0"/>
    <w:uiPriority w:val="99"/>
    <w:semiHidden/>
    <w:unhideWhenUsed/>
    <w:rsid w:val="00682900"/>
    <w:rPr>
      <w:color w:val="0000FF"/>
      <w:u w:val="single"/>
    </w:rPr>
  </w:style>
  <w:style w:type="character" w:styleId="a8">
    <w:name w:val="annotation reference"/>
    <w:basedOn w:val="a0"/>
    <w:semiHidden/>
    <w:unhideWhenUsed/>
    <w:rsid w:val="00AA0920"/>
    <w:rPr>
      <w:sz w:val="21"/>
      <w:szCs w:val="21"/>
    </w:rPr>
  </w:style>
  <w:style w:type="paragraph" w:styleId="a9">
    <w:name w:val="annotation text"/>
    <w:basedOn w:val="a"/>
    <w:link w:val="Char2"/>
    <w:semiHidden/>
    <w:unhideWhenUsed/>
    <w:rsid w:val="00AA0920"/>
    <w:pPr>
      <w:jc w:val="left"/>
    </w:pPr>
  </w:style>
  <w:style w:type="character" w:customStyle="1" w:styleId="Char2">
    <w:name w:val="批注文字 Char"/>
    <w:basedOn w:val="a0"/>
    <w:link w:val="a9"/>
    <w:semiHidden/>
    <w:rsid w:val="00AA0920"/>
    <w:rPr>
      <w:rFonts w:ascii="Calibri" w:hAnsi="Calibri" w:cs="黑体"/>
      <w:kern w:val="2"/>
      <w:sz w:val="21"/>
      <w:szCs w:val="22"/>
    </w:rPr>
  </w:style>
  <w:style w:type="paragraph" w:styleId="aa">
    <w:name w:val="annotation subject"/>
    <w:basedOn w:val="a9"/>
    <w:next w:val="a9"/>
    <w:link w:val="Char3"/>
    <w:semiHidden/>
    <w:unhideWhenUsed/>
    <w:rsid w:val="00AA0920"/>
    <w:rPr>
      <w:b/>
      <w:bCs/>
    </w:rPr>
  </w:style>
  <w:style w:type="character" w:customStyle="1" w:styleId="Char3">
    <w:name w:val="批注主题 Char"/>
    <w:basedOn w:val="Char2"/>
    <w:link w:val="aa"/>
    <w:semiHidden/>
    <w:rsid w:val="00AA0920"/>
    <w:rPr>
      <w:rFonts w:ascii="Calibri" w:hAnsi="Calibri" w:cs="黑体"/>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826"/>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F5826"/>
    <w:rPr>
      <w:sz w:val="18"/>
      <w:szCs w:val="18"/>
    </w:rPr>
  </w:style>
  <w:style w:type="paragraph" w:styleId="a4">
    <w:name w:val="footer"/>
    <w:basedOn w:val="a"/>
    <w:link w:val="Char0"/>
    <w:uiPriority w:val="99"/>
    <w:unhideWhenUsed/>
    <w:rsid w:val="003F5826"/>
    <w:pPr>
      <w:tabs>
        <w:tab w:val="center" w:pos="4153"/>
        <w:tab w:val="right" w:pos="8306"/>
      </w:tabs>
      <w:snapToGrid w:val="0"/>
      <w:jc w:val="left"/>
    </w:pPr>
    <w:rPr>
      <w:sz w:val="18"/>
      <w:szCs w:val="18"/>
    </w:rPr>
  </w:style>
  <w:style w:type="paragraph" w:styleId="a5">
    <w:name w:val="header"/>
    <w:basedOn w:val="a"/>
    <w:link w:val="Char1"/>
    <w:uiPriority w:val="99"/>
    <w:unhideWhenUsed/>
    <w:rsid w:val="003F582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3F5826"/>
    <w:rPr>
      <w:sz w:val="18"/>
      <w:szCs w:val="18"/>
    </w:rPr>
  </w:style>
  <w:style w:type="character" w:customStyle="1" w:styleId="Char0">
    <w:name w:val="页脚 Char"/>
    <w:basedOn w:val="a0"/>
    <w:link w:val="a4"/>
    <w:uiPriority w:val="99"/>
    <w:rsid w:val="003F5826"/>
    <w:rPr>
      <w:sz w:val="18"/>
      <w:szCs w:val="18"/>
    </w:rPr>
  </w:style>
  <w:style w:type="character" w:customStyle="1" w:styleId="Char">
    <w:name w:val="批注框文本 Char"/>
    <w:basedOn w:val="a0"/>
    <w:link w:val="a3"/>
    <w:uiPriority w:val="99"/>
    <w:semiHidden/>
    <w:rsid w:val="003F5826"/>
    <w:rPr>
      <w:sz w:val="18"/>
      <w:szCs w:val="18"/>
    </w:rPr>
  </w:style>
  <w:style w:type="paragraph" w:styleId="a6">
    <w:name w:val="List Paragraph"/>
    <w:basedOn w:val="a"/>
    <w:uiPriority w:val="34"/>
    <w:qFormat/>
    <w:rsid w:val="006C0F7B"/>
    <w:pPr>
      <w:ind w:firstLineChars="200" w:firstLine="420"/>
    </w:pPr>
    <w:rPr>
      <w:rFonts w:asciiTheme="minorHAnsi" w:eastAsiaTheme="minorEastAsia" w:hAnsiTheme="minorHAnsi" w:cstheme="minorBidi"/>
    </w:rPr>
  </w:style>
  <w:style w:type="character" w:styleId="a7">
    <w:name w:val="Hyperlink"/>
    <w:basedOn w:val="a0"/>
    <w:uiPriority w:val="99"/>
    <w:semiHidden/>
    <w:unhideWhenUsed/>
    <w:rsid w:val="00682900"/>
    <w:rPr>
      <w:color w:val="0000FF"/>
      <w:u w:val="single"/>
    </w:rPr>
  </w:style>
  <w:style w:type="character" w:styleId="a8">
    <w:name w:val="annotation reference"/>
    <w:basedOn w:val="a0"/>
    <w:semiHidden/>
    <w:unhideWhenUsed/>
    <w:rsid w:val="00AA0920"/>
    <w:rPr>
      <w:sz w:val="21"/>
      <w:szCs w:val="21"/>
    </w:rPr>
  </w:style>
  <w:style w:type="paragraph" w:styleId="a9">
    <w:name w:val="annotation text"/>
    <w:basedOn w:val="a"/>
    <w:link w:val="Char2"/>
    <w:semiHidden/>
    <w:unhideWhenUsed/>
    <w:rsid w:val="00AA0920"/>
    <w:pPr>
      <w:jc w:val="left"/>
    </w:pPr>
  </w:style>
  <w:style w:type="character" w:customStyle="1" w:styleId="Char2">
    <w:name w:val="批注文字 Char"/>
    <w:basedOn w:val="a0"/>
    <w:link w:val="a9"/>
    <w:semiHidden/>
    <w:rsid w:val="00AA0920"/>
    <w:rPr>
      <w:rFonts w:ascii="Calibri" w:hAnsi="Calibri" w:cs="黑体"/>
      <w:kern w:val="2"/>
      <w:sz w:val="21"/>
      <w:szCs w:val="22"/>
    </w:rPr>
  </w:style>
  <w:style w:type="paragraph" w:styleId="aa">
    <w:name w:val="annotation subject"/>
    <w:basedOn w:val="a9"/>
    <w:next w:val="a9"/>
    <w:link w:val="Char3"/>
    <w:semiHidden/>
    <w:unhideWhenUsed/>
    <w:rsid w:val="00AA0920"/>
    <w:rPr>
      <w:b/>
      <w:bCs/>
    </w:rPr>
  </w:style>
  <w:style w:type="character" w:customStyle="1" w:styleId="Char3">
    <w:name w:val="批注主题 Char"/>
    <w:basedOn w:val="Char2"/>
    <w:link w:val="aa"/>
    <w:semiHidden/>
    <w:rsid w:val="00AA0920"/>
    <w:rPr>
      <w:rFonts w:ascii="Calibri" w:hAnsi="Calibri" w:cs="黑体"/>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09872">
      <w:bodyDiv w:val="1"/>
      <w:marLeft w:val="0"/>
      <w:marRight w:val="0"/>
      <w:marTop w:val="0"/>
      <w:marBottom w:val="0"/>
      <w:divBdr>
        <w:top w:val="none" w:sz="0" w:space="0" w:color="auto"/>
        <w:left w:val="none" w:sz="0" w:space="0" w:color="auto"/>
        <w:bottom w:val="none" w:sz="0" w:space="0" w:color="auto"/>
        <w:right w:val="none" w:sz="0" w:space="0" w:color="auto"/>
      </w:divBdr>
    </w:div>
    <w:div w:id="271016305">
      <w:bodyDiv w:val="1"/>
      <w:marLeft w:val="0"/>
      <w:marRight w:val="0"/>
      <w:marTop w:val="0"/>
      <w:marBottom w:val="0"/>
      <w:divBdr>
        <w:top w:val="none" w:sz="0" w:space="0" w:color="auto"/>
        <w:left w:val="none" w:sz="0" w:space="0" w:color="auto"/>
        <w:bottom w:val="none" w:sz="0" w:space="0" w:color="auto"/>
        <w:right w:val="none" w:sz="0" w:space="0" w:color="auto"/>
      </w:divBdr>
    </w:div>
    <w:div w:id="736509726">
      <w:bodyDiv w:val="1"/>
      <w:marLeft w:val="0"/>
      <w:marRight w:val="0"/>
      <w:marTop w:val="0"/>
      <w:marBottom w:val="0"/>
      <w:divBdr>
        <w:top w:val="none" w:sz="0" w:space="0" w:color="auto"/>
        <w:left w:val="none" w:sz="0" w:space="0" w:color="auto"/>
        <w:bottom w:val="none" w:sz="0" w:space="0" w:color="auto"/>
        <w:right w:val="none" w:sz="0" w:space="0" w:color="auto"/>
      </w:divBdr>
    </w:div>
    <w:div w:id="893807032">
      <w:bodyDiv w:val="1"/>
      <w:marLeft w:val="0"/>
      <w:marRight w:val="0"/>
      <w:marTop w:val="0"/>
      <w:marBottom w:val="0"/>
      <w:divBdr>
        <w:top w:val="none" w:sz="0" w:space="0" w:color="auto"/>
        <w:left w:val="none" w:sz="0" w:space="0" w:color="auto"/>
        <w:bottom w:val="none" w:sz="0" w:space="0" w:color="auto"/>
        <w:right w:val="none" w:sz="0" w:space="0" w:color="auto"/>
      </w:divBdr>
    </w:div>
    <w:div w:id="1110782718">
      <w:bodyDiv w:val="1"/>
      <w:marLeft w:val="0"/>
      <w:marRight w:val="0"/>
      <w:marTop w:val="0"/>
      <w:marBottom w:val="0"/>
      <w:divBdr>
        <w:top w:val="none" w:sz="0" w:space="0" w:color="auto"/>
        <w:left w:val="none" w:sz="0" w:space="0" w:color="auto"/>
        <w:bottom w:val="none" w:sz="0" w:space="0" w:color="auto"/>
        <w:right w:val="none" w:sz="0" w:space="0" w:color="auto"/>
      </w:divBdr>
    </w:div>
    <w:div w:id="1391922635">
      <w:bodyDiv w:val="1"/>
      <w:marLeft w:val="0"/>
      <w:marRight w:val="0"/>
      <w:marTop w:val="0"/>
      <w:marBottom w:val="0"/>
      <w:divBdr>
        <w:top w:val="none" w:sz="0" w:space="0" w:color="auto"/>
        <w:left w:val="none" w:sz="0" w:space="0" w:color="auto"/>
        <w:bottom w:val="none" w:sz="0" w:space="0" w:color="auto"/>
        <w:right w:val="none" w:sz="0" w:space="0" w:color="auto"/>
      </w:divBdr>
    </w:div>
    <w:div w:id="1624733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2621082621082712E-2"/>
          <c:y val="0.1597796143250689"/>
          <c:w val="0.87183906498867203"/>
          <c:h val="0.7088340816902019"/>
        </c:manualLayout>
      </c:layout>
      <c:barChart>
        <c:barDir val="col"/>
        <c:grouping val="clustered"/>
        <c:varyColors val="0"/>
        <c:ser>
          <c:idx val="0"/>
          <c:order val="0"/>
          <c:tx>
            <c:strRef>
              <c:f>Sheet1!$B$1</c:f>
              <c:strCache>
                <c:ptCount val="1"/>
                <c:pt idx="0">
                  <c:v>战略性新兴产业上市公司</c:v>
                </c:pt>
              </c:strCache>
            </c:strRef>
          </c:tx>
          <c:spPr>
            <a:solidFill>
              <a:schemeClr val="accent1"/>
            </a:solidFill>
          </c:spPr>
          <c:invertIfNegative val="0"/>
          <c:dLbls>
            <c:numFmt formatCode="0.0%" sourceLinked="0"/>
            <c:spPr>
              <a:noFill/>
              <a:ln>
                <a:noFill/>
              </a:ln>
              <a:effectLst/>
            </c:spPr>
            <c:txPr>
              <a:bodyPr/>
              <a:lstStyle/>
              <a:p>
                <a:pPr>
                  <a:defRPr b="1"/>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2"/>
                <c:pt idx="0">
                  <c:v>营收增速</c:v>
                </c:pt>
                <c:pt idx="1">
                  <c:v>利润增速</c:v>
                </c:pt>
              </c:strCache>
            </c:strRef>
          </c:cat>
          <c:val>
            <c:numRef>
              <c:f>Sheet1!$B$2:$B$4</c:f>
              <c:numCache>
                <c:formatCode>0.00%</c:formatCode>
                <c:ptCount val="2"/>
                <c:pt idx="0">
                  <c:v>0.16400000000000001</c:v>
                </c:pt>
                <c:pt idx="1">
                  <c:v>0.125</c:v>
                </c:pt>
              </c:numCache>
            </c:numRef>
          </c:val>
        </c:ser>
        <c:ser>
          <c:idx val="1"/>
          <c:order val="1"/>
          <c:tx>
            <c:strRef>
              <c:f>Sheet1!$C$1</c:f>
              <c:strCache>
                <c:ptCount val="1"/>
                <c:pt idx="0">
                  <c:v>上市公司总体</c:v>
                </c:pt>
              </c:strCache>
            </c:strRef>
          </c:tx>
          <c:spPr>
            <a:solidFill>
              <a:schemeClr val="bg1">
                <a:lumMod val="75000"/>
              </a:schemeClr>
            </a:solidFill>
          </c:spPr>
          <c:invertIfNegative val="0"/>
          <c:dLbls>
            <c:numFmt formatCode="0.0%" sourceLinked="0"/>
            <c:spPr>
              <a:noFill/>
              <a:ln>
                <a:noFill/>
              </a:ln>
              <a:effectLst/>
            </c:spPr>
            <c:txPr>
              <a:bodyPr/>
              <a:lstStyle/>
              <a:p>
                <a:pPr>
                  <a:defRPr b="1"/>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2"/>
                <c:pt idx="0">
                  <c:v>营收增速</c:v>
                </c:pt>
                <c:pt idx="1">
                  <c:v>利润增速</c:v>
                </c:pt>
              </c:strCache>
            </c:strRef>
          </c:cat>
          <c:val>
            <c:numRef>
              <c:f>Sheet1!$C$2:$C$4</c:f>
              <c:numCache>
                <c:formatCode>0.00%</c:formatCode>
                <c:ptCount val="2"/>
                <c:pt idx="0">
                  <c:v>1.0999999999999999E-2</c:v>
                </c:pt>
                <c:pt idx="1">
                  <c:v>2.1999999999999999E-2</c:v>
                </c:pt>
              </c:numCache>
            </c:numRef>
          </c:val>
        </c:ser>
        <c:dLbls>
          <c:showLegendKey val="0"/>
          <c:showVal val="0"/>
          <c:showCatName val="0"/>
          <c:showSerName val="0"/>
          <c:showPercent val="0"/>
          <c:showBubbleSize val="0"/>
        </c:dLbls>
        <c:gapWidth val="150"/>
        <c:axId val="352289920"/>
        <c:axId val="352291456"/>
      </c:barChart>
      <c:catAx>
        <c:axId val="352289920"/>
        <c:scaling>
          <c:orientation val="minMax"/>
        </c:scaling>
        <c:delete val="0"/>
        <c:axPos val="b"/>
        <c:numFmt formatCode="General" sourceLinked="0"/>
        <c:majorTickMark val="out"/>
        <c:minorTickMark val="none"/>
        <c:tickLblPos val="nextTo"/>
        <c:crossAx val="352291456"/>
        <c:crosses val="autoZero"/>
        <c:auto val="1"/>
        <c:lblAlgn val="ctr"/>
        <c:lblOffset val="100"/>
        <c:noMultiLvlLbl val="0"/>
      </c:catAx>
      <c:valAx>
        <c:axId val="352291456"/>
        <c:scaling>
          <c:orientation val="minMax"/>
          <c:max val="0.2"/>
          <c:min val="0"/>
        </c:scaling>
        <c:delete val="1"/>
        <c:axPos val="l"/>
        <c:majorGridlines>
          <c:spPr>
            <a:ln>
              <a:noFill/>
            </a:ln>
          </c:spPr>
        </c:majorGridlines>
        <c:numFmt formatCode="0.00%" sourceLinked="1"/>
        <c:majorTickMark val="out"/>
        <c:minorTickMark val="none"/>
        <c:tickLblPos val="none"/>
        <c:crossAx val="352289920"/>
        <c:crosses val="autoZero"/>
        <c:crossBetween val="between"/>
      </c:valAx>
    </c:plotArea>
    <c:legend>
      <c:legendPos val="r"/>
      <c:layout>
        <c:manualLayout>
          <c:xMode val="edge"/>
          <c:yMode val="edge"/>
          <c:x val="0.17668236983197624"/>
          <c:y val="1.9747510899980499E-2"/>
          <c:w val="0.65522646207685575"/>
          <c:h val="0.11752977158846879"/>
        </c:manualLayout>
      </c:layout>
      <c:overlay val="0"/>
    </c:legend>
    <c:plotVisOnly val="1"/>
    <c:dispBlanksAs val="gap"/>
    <c:showDLblsOverMax val="0"/>
  </c:chart>
  <c:spPr>
    <a:no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36355824434632"/>
          <c:y val="4.7905541552348489E-2"/>
          <c:w val="0.64416260676445569"/>
          <c:h val="0.89996921772880423"/>
        </c:manualLayout>
      </c:layout>
      <c:barChart>
        <c:barDir val="bar"/>
        <c:grouping val="clustered"/>
        <c:varyColors val="0"/>
        <c:ser>
          <c:idx val="0"/>
          <c:order val="0"/>
          <c:tx>
            <c:strRef>
              <c:f>Sheet1!$B$1</c:f>
              <c:strCache>
                <c:ptCount val="1"/>
                <c:pt idx="0">
                  <c:v>股价</c:v>
                </c:pt>
              </c:strCache>
            </c:strRef>
          </c:tx>
          <c:spPr>
            <a:solidFill>
              <a:schemeClr val="accent1"/>
            </a:solidFill>
            <a:ln>
              <a:solidFill>
                <a:schemeClr val="accent1"/>
              </a:solidFill>
            </a:ln>
          </c:spPr>
          <c:invertIfNegative val="0"/>
          <c:dLbls>
            <c:dLbl>
              <c:idx val="0"/>
              <c:layout>
                <c:manualLayout>
                  <c:x val="0"/>
                  <c:y val="4.549093064526822E-3"/>
                </c:manualLayout>
              </c:layout>
              <c:numFmt formatCode="0.0%" sourceLinked="0"/>
              <c:spPr>
                <a:noFill/>
                <a:ln>
                  <a:noFill/>
                </a:ln>
                <a:effectLst/>
              </c:spPr>
              <c:txPr>
                <a:bodyPr wrap="square" lIns="38100" tIns="19050" rIns="38100" bIns="19050" anchor="ctr">
                  <a:noAutofit/>
                </a:bodyPr>
                <a:lstStyle/>
                <a:p>
                  <a:pPr>
                    <a:defRPr/>
                  </a:pPr>
                  <a:endParaRPr lang="zh-CN"/>
                </a:p>
              </c:txPr>
              <c:showLegendKey val="0"/>
              <c:showVal val="1"/>
              <c:showCatName val="0"/>
              <c:showSerName val="0"/>
              <c:showPercent val="0"/>
              <c:showBubbleSize val="0"/>
              <c:extLst>
                <c:ext xmlns:c15="http://schemas.microsoft.com/office/drawing/2012/chart" uri="{CE6537A1-D6FC-4f65-9D91-7224C49458BB}">
                  <c15:layout>
                    <c:manualLayout>
                      <c:w val="0.16935236452333918"/>
                      <c:h val="9.5451623243478445E-2"/>
                    </c:manualLayout>
                  </c15:layout>
                </c:ext>
              </c:extLst>
            </c:dLbl>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新一代信息技术</c:v>
                </c:pt>
                <c:pt idx="1">
                  <c:v>高端装备</c:v>
                </c:pt>
                <c:pt idx="2">
                  <c:v>生物</c:v>
                </c:pt>
                <c:pt idx="3">
                  <c:v>节能环保</c:v>
                </c:pt>
                <c:pt idx="4">
                  <c:v>新能源汽车</c:v>
                </c:pt>
                <c:pt idx="5">
                  <c:v>新能源</c:v>
                </c:pt>
                <c:pt idx="6">
                  <c:v>新材料</c:v>
                </c:pt>
              </c:strCache>
            </c:strRef>
          </c:cat>
          <c:val>
            <c:numRef>
              <c:f>Sheet1!$B$2:$B$8</c:f>
              <c:numCache>
                <c:formatCode>0.0%</c:formatCode>
                <c:ptCount val="7"/>
                <c:pt idx="0">
                  <c:v>1.3246686359550568</c:v>
                </c:pt>
                <c:pt idx="1">
                  <c:v>1.19946151923077</c:v>
                </c:pt>
                <c:pt idx="2">
                  <c:v>0.88982603676470595</c:v>
                </c:pt>
                <c:pt idx="3">
                  <c:v>0.86763404651162812</c:v>
                </c:pt>
                <c:pt idx="4">
                  <c:v>0.84000000000000041</c:v>
                </c:pt>
                <c:pt idx="5">
                  <c:v>0.80137560638297933</c:v>
                </c:pt>
                <c:pt idx="6">
                  <c:v>0.66033348192771057</c:v>
                </c:pt>
              </c:numCache>
            </c:numRef>
          </c:val>
        </c:ser>
        <c:dLbls>
          <c:showLegendKey val="0"/>
          <c:showVal val="0"/>
          <c:showCatName val="0"/>
          <c:showSerName val="0"/>
          <c:showPercent val="0"/>
          <c:showBubbleSize val="0"/>
        </c:dLbls>
        <c:gapWidth val="75"/>
        <c:axId val="362330752"/>
        <c:axId val="362336640"/>
      </c:barChart>
      <c:catAx>
        <c:axId val="362330752"/>
        <c:scaling>
          <c:orientation val="maxMin"/>
        </c:scaling>
        <c:delete val="0"/>
        <c:axPos val="l"/>
        <c:numFmt formatCode="General" sourceLinked="1"/>
        <c:majorTickMark val="out"/>
        <c:minorTickMark val="none"/>
        <c:tickLblPos val="nextTo"/>
        <c:crossAx val="362336640"/>
        <c:crosses val="autoZero"/>
        <c:auto val="1"/>
        <c:lblAlgn val="ctr"/>
        <c:lblOffset val="100"/>
        <c:noMultiLvlLbl val="0"/>
      </c:catAx>
      <c:valAx>
        <c:axId val="362336640"/>
        <c:scaling>
          <c:orientation val="minMax"/>
          <c:max val="1.5"/>
        </c:scaling>
        <c:delete val="0"/>
        <c:axPos val="t"/>
        <c:majorGridlines>
          <c:spPr>
            <a:ln>
              <a:noFill/>
            </a:ln>
          </c:spPr>
        </c:majorGridlines>
        <c:numFmt formatCode="0.0%" sourceLinked="1"/>
        <c:majorTickMark val="none"/>
        <c:minorTickMark val="none"/>
        <c:tickLblPos val="none"/>
        <c:spPr>
          <a:ln>
            <a:noFill/>
          </a:ln>
        </c:spPr>
        <c:crossAx val="362330752"/>
        <c:crosses val="autoZero"/>
        <c:crossBetween val="between"/>
      </c:valAx>
      <c:spPr>
        <a:noFill/>
      </c:spPr>
    </c:plotArea>
    <c:plotVisOnly val="1"/>
    <c:dispBlanksAs val="gap"/>
    <c:showDLblsOverMax val="0"/>
  </c:chart>
  <c:spPr>
    <a:noFill/>
    <a:ln>
      <a:noFill/>
    </a:ln>
  </c:spPr>
  <c:txPr>
    <a:bodyPr/>
    <a:lstStyle/>
    <a:p>
      <a:pPr>
        <a:defRPr sz="900"/>
      </a:pPr>
      <a:endParaRPr lang="zh-CN"/>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6839699257416203"/>
          <c:y val="3.9668913795365204E-2"/>
          <c:w val="0.54916924883898832"/>
          <c:h val="0.94436996675699958"/>
        </c:manualLayout>
      </c:layout>
      <c:barChart>
        <c:barDir val="bar"/>
        <c:grouping val="clustered"/>
        <c:varyColors val="0"/>
        <c:ser>
          <c:idx val="0"/>
          <c:order val="0"/>
          <c:tx>
            <c:strRef>
              <c:f>Sheet1!$B$1</c:f>
              <c:strCache>
                <c:ptCount val="1"/>
                <c:pt idx="0">
                  <c:v>股价</c:v>
                </c:pt>
              </c:strCache>
            </c:strRef>
          </c:tx>
          <c:spPr>
            <a:solidFill>
              <a:schemeClr val="accent1"/>
            </a:solidFill>
            <a:ln>
              <a:solidFill>
                <a:schemeClr val="accent1"/>
              </a:solidFill>
            </a:ln>
          </c:spPr>
          <c:invertIfNegative val="0"/>
          <c:dLbls>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Sheet1!$A$2:$A$11</c:f>
              <c:strCache>
                <c:ptCount val="10"/>
                <c:pt idx="0">
                  <c:v>高端软件和
新兴信息服务</c:v>
                </c:pt>
                <c:pt idx="1">
                  <c:v>智能制造</c:v>
                </c:pt>
                <c:pt idx="2">
                  <c:v>轨道交通装备</c:v>
                </c:pt>
                <c:pt idx="3">
                  <c:v>生物质能</c:v>
                </c:pt>
                <c:pt idx="4">
                  <c:v>卫星及其应用</c:v>
                </c:pt>
                <c:pt idx="5">
                  <c:v>电子核心基础</c:v>
                </c:pt>
                <c:pt idx="6">
                  <c:v>下一代信息网络</c:v>
                </c:pt>
                <c:pt idx="7">
                  <c:v>生物医学工程</c:v>
                </c:pt>
                <c:pt idx="8">
                  <c:v>生物农业</c:v>
                </c:pt>
                <c:pt idx="9">
                  <c:v>高效节能</c:v>
                </c:pt>
              </c:strCache>
            </c:strRef>
          </c:cat>
          <c:val>
            <c:numRef>
              <c:f>Sheet1!$B$2:$B$11</c:f>
              <c:numCache>
                <c:formatCode>0.0%</c:formatCode>
                <c:ptCount val="10"/>
                <c:pt idx="0">
                  <c:v>1.5582585961538471</c:v>
                </c:pt>
                <c:pt idx="1">
                  <c:v>1.5032599245283027</c:v>
                </c:pt>
                <c:pt idx="2">
                  <c:v>1.2341922777777776</c:v>
                </c:pt>
                <c:pt idx="3">
                  <c:v>1.2034396666666658</c:v>
                </c:pt>
                <c:pt idx="4">
                  <c:v>1.1925764444444444</c:v>
                </c:pt>
                <c:pt idx="5">
                  <c:v>1.1411059545454543</c:v>
                </c:pt>
                <c:pt idx="6">
                  <c:v>1.0798727469879519</c:v>
                </c:pt>
                <c:pt idx="7">
                  <c:v>1.0712401951219515</c:v>
                </c:pt>
                <c:pt idx="8">
                  <c:v>0.98885883333333402</c:v>
                </c:pt>
                <c:pt idx="9">
                  <c:v>0.94777007999999985</c:v>
                </c:pt>
              </c:numCache>
            </c:numRef>
          </c:val>
        </c:ser>
        <c:dLbls>
          <c:showLegendKey val="0"/>
          <c:showVal val="0"/>
          <c:showCatName val="0"/>
          <c:showSerName val="0"/>
          <c:showPercent val="0"/>
          <c:showBubbleSize val="0"/>
        </c:dLbls>
        <c:gapWidth val="75"/>
        <c:axId val="363536384"/>
        <c:axId val="363537920"/>
      </c:barChart>
      <c:catAx>
        <c:axId val="363536384"/>
        <c:scaling>
          <c:orientation val="maxMin"/>
        </c:scaling>
        <c:delete val="0"/>
        <c:axPos val="l"/>
        <c:numFmt formatCode="General" sourceLinked="1"/>
        <c:majorTickMark val="out"/>
        <c:minorTickMark val="none"/>
        <c:tickLblPos val="nextTo"/>
        <c:crossAx val="363537920"/>
        <c:crosses val="autoZero"/>
        <c:auto val="1"/>
        <c:lblAlgn val="ctr"/>
        <c:lblOffset val="100"/>
        <c:noMultiLvlLbl val="0"/>
      </c:catAx>
      <c:valAx>
        <c:axId val="363537920"/>
        <c:scaling>
          <c:orientation val="minMax"/>
          <c:max val="1.8"/>
          <c:min val="0.5"/>
        </c:scaling>
        <c:delete val="1"/>
        <c:axPos val="t"/>
        <c:majorGridlines>
          <c:spPr>
            <a:ln>
              <a:noFill/>
            </a:ln>
          </c:spPr>
        </c:majorGridlines>
        <c:numFmt formatCode="0.0%" sourceLinked="1"/>
        <c:majorTickMark val="out"/>
        <c:minorTickMark val="none"/>
        <c:tickLblPos val="none"/>
        <c:crossAx val="363536384"/>
        <c:crosses val="autoZero"/>
        <c:crossBetween val="between"/>
      </c:valAx>
      <c:spPr>
        <a:noFill/>
      </c:spPr>
    </c:plotArea>
    <c:plotVisOnly val="1"/>
    <c:dispBlanksAs val="gap"/>
    <c:showDLblsOverMax val="0"/>
  </c:chart>
  <c:spPr>
    <a:noFill/>
    <a:ln>
      <a:noFill/>
    </a:ln>
  </c:spPr>
  <c:txPr>
    <a:bodyPr/>
    <a:lstStyle/>
    <a:p>
      <a:pPr>
        <a:defRPr sz="900"/>
      </a:pPr>
      <a:endParaRPr lang="zh-CN"/>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5462962962962982E-2"/>
          <c:y val="0.21234178796553424"/>
          <c:w val="0.96064814814814903"/>
          <c:h val="0.67033141543070085"/>
        </c:manualLayout>
      </c:layout>
      <c:barChart>
        <c:barDir val="col"/>
        <c:grouping val="clustered"/>
        <c:varyColors val="0"/>
        <c:ser>
          <c:idx val="0"/>
          <c:order val="0"/>
          <c:tx>
            <c:strRef>
              <c:f>Sheet1!$B$1</c:f>
              <c:strCache>
                <c:ptCount val="1"/>
                <c:pt idx="0">
                  <c:v>固定资产净值（亿元）</c:v>
                </c:pt>
              </c:strCache>
            </c:strRef>
          </c:tx>
          <c:spPr>
            <a:solidFill>
              <a:schemeClr val="accent1"/>
            </a:solidFill>
          </c:spPr>
          <c:invertIfNegative val="0"/>
          <c:dLbls>
            <c:dLbl>
              <c:idx val="2"/>
              <c:layout>
                <c:manualLayout>
                  <c:x val="5.3333333333333496E-2"/>
                  <c:y val="4.3541354851304753E-2"/>
                </c:manualLayout>
              </c:layout>
              <c:showLegendKey val="0"/>
              <c:showVal val="1"/>
              <c:showCatName val="0"/>
              <c:showSerName val="0"/>
              <c:showPercent val="0"/>
              <c:showBubbleSize val="0"/>
              <c:extLst>
                <c:ext xmlns:c15="http://schemas.microsoft.com/office/drawing/2012/chart" uri="{CE6537A1-D6FC-4f65-9D91-7224C49458BB}">
                  <c15:layout>
                    <c:manualLayout>
                      <c:w val="0.23851384167071393"/>
                      <c:h val="0.13855829704886308"/>
                    </c:manualLayout>
                  </c15:layout>
                </c:ext>
              </c:extLst>
            </c:dLbl>
            <c:numFmt formatCode="0_);\(0\)" sourceLinked="0"/>
            <c:spPr>
              <a:noFill/>
              <a:ln>
                <a:noFill/>
              </a:ln>
              <a:effectLst/>
            </c:spPr>
            <c:txPr>
              <a:bodyPr/>
              <a:lstStyle/>
              <a:p>
                <a:pPr>
                  <a:defRPr sz="1050" b="1"/>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Sheet1!$A$2:$A$4</c:f>
              <c:numCache>
                <c:formatCode>General</c:formatCode>
                <c:ptCount val="3"/>
                <c:pt idx="0">
                  <c:v>2013</c:v>
                </c:pt>
                <c:pt idx="1">
                  <c:v>2014</c:v>
                </c:pt>
                <c:pt idx="2">
                  <c:v>2015</c:v>
                </c:pt>
              </c:numCache>
            </c:numRef>
          </c:cat>
          <c:val>
            <c:numRef>
              <c:f>Sheet1!$B$2:$B$4</c:f>
              <c:numCache>
                <c:formatCode>###,###,###,##0.0</c:formatCode>
                <c:ptCount val="3"/>
                <c:pt idx="0">
                  <c:v>13393.918241757599</c:v>
                </c:pt>
                <c:pt idx="1">
                  <c:v>15438.623443290908</c:v>
                </c:pt>
                <c:pt idx="2">
                  <c:v>18171.34742423442</c:v>
                </c:pt>
              </c:numCache>
            </c:numRef>
          </c:val>
        </c:ser>
        <c:dLbls>
          <c:showLegendKey val="0"/>
          <c:showVal val="0"/>
          <c:showCatName val="0"/>
          <c:showSerName val="0"/>
          <c:showPercent val="0"/>
          <c:showBubbleSize val="0"/>
        </c:dLbls>
        <c:gapWidth val="150"/>
        <c:axId val="364462464"/>
        <c:axId val="364464000"/>
      </c:barChart>
      <c:lineChart>
        <c:grouping val="stacked"/>
        <c:varyColors val="0"/>
        <c:ser>
          <c:idx val="1"/>
          <c:order val="1"/>
          <c:tx>
            <c:strRef>
              <c:f>Sheet1!$C$1</c:f>
              <c:strCache>
                <c:ptCount val="1"/>
                <c:pt idx="0">
                  <c:v>固定资产净值增速</c:v>
                </c:pt>
              </c:strCache>
            </c:strRef>
          </c:tx>
          <c:marker>
            <c:symbol val="circle"/>
            <c:size val="7"/>
            <c:spPr>
              <a:solidFill>
                <a:schemeClr val="bg1"/>
              </a:solidFill>
            </c:spPr>
          </c:marker>
          <c:dLbls>
            <c:dLbl>
              <c:idx val="0"/>
              <c:layout>
                <c:manualLayout>
                  <c:x val="-0.10684798445847499"/>
                  <c:y val="4.837929366231245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11428107062139339"/>
                  <c:y val="5.0586075144090324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6.2350026246719113E-2"/>
                  <c:y val="-5.8588208498731052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6384778239982526E-2"/>
                  <c:y val="4.5321630122682505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5.4615927466608004E-3"/>
                  <c:y val="9.0643260245365023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Sheet1!$A$2:$A$4</c:f>
              <c:numCache>
                <c:formatCode>General</c:formatCode>
                <c:ptCount val="3"/>
                <c:pt idx="0">
                  <c:v>2013</c:v>
                </c:pt>
                <c:pt idx="1">
                  <c:v>2014</c:v>
                </c:pt>
                <c:pt idx="2">
                  <c:v>2015</c:v>
                </c:pt>
              </c:numCache>
            </c:numRef>
          </c:cat>
          <c:val>
            <c:numRef>
              <c:f>Sheet1!$C$2:$C$4</c:f>
              <c:numCache>
                <c:formatCode>0.0%</c:formatCode>
                <c:ptCount val="3"/>
                <c:pt idx="0">
                  <c:v>0.15325946044156424</c:v>
                </c:pt>
                <c:pt idx="1">
                  <c:v>0.15325946044156424</c:v>
                </c:pt>
                <c:pt idx="2">
                  <c:v>0.17700567612011089</c:v>
                </c:pt>
              </c:numCache>
            </c:numRef>
          </c:val>
          <c:smooth val="0"/>
        </c:ser>
        <c:dLbls>
          <c:showLegendKey val="0"/>
          <c:showVal val="0"/>
          <c:showCatName val="0"/>
          <c:showSerName val="0"/>
          <c:showPercent val="0"/>
          <c:showBubbleSize val="0"/>
        </c:dLbls>
        <c:marker val="1"/>
        <c:smooth val="0"/>
        <c:axId val="364471424"/>
        <c:axId val="364465536"/>
      </c:lineChart>
      <c:catAx>
        <c:axId val="364462464"/>
        <c:scaling>
          <c:orientation val="minMax"/>
        </c:scaling>
        <c:delete val="0"/>
        <c:axPos val="b"/>
        <c:numFmt formatCode="General" sourceLinked="1"/>
        <c:majorTickMark val="out"/>
        <c:minorTickMark val="none"/>
        <c:tickLblPos val="nextTo"/>
        <c:txPr>
          <a:bodyPr/>
          <a:lstStyle/>
          <a:p>
            <a:pPr>
              <a:defRPr sz="1050" b="1"/>
            </a:pPr>
            <a:endParaRPr lang="zh-CN"/>
          </a:p>
        </c:txPr>
        <c:crossAx val="364464000"/>
        <c:crosses val="autoZero"/>
        <c:auto val="1"/>
        <c:lblAlgn val="ctr"/>
        <c:lblOffset val="100"/>
        <c:noMultiLvlLbl val="0"/>
      </c:catAx>
      <c:valAx>
        <c:axId val="364464000"/>
        <c:scaling>
          <c:orientation val="minMax"/>
          <c:max val="25000"/>
        </c:scaling>
        <c:delete val="0"/>
        <c:axPos val="l"/>
        <c:numFmt formatCode="###,###,###,##0.0" sourceLinked="1"/>
        <c:majorTickMark val="none"/>
        <c:minorTickMark val="none"/>
        <c:tickLblPos val="none"/>
        <c:spPr>
          <a:noFill/>
          <a:ln>
            <a:noFill/>
          </a:ln>
        </c:spPr>
        <c:crossAx val="364462464"/>
        <c:crosses val="autoZero"/>
        <c:crossBetween val="between"/>
        <c:minorUnit val="1"/>
      </c:valAx>
      <c:valAx>
        <c:axId val="364465536"/>
        <c:scaling>
          <c:orientation val="minMax"/>
        </c:scaling>
        <c:delete val="0"/>
        <c:axPos val="r"/>
        <c:numFmt formatCode="0.0%" sourceLinked="1"/>
        <c:majorTickMark val="none"/>
        <c:minorTickMark val="none"/>
        <c:tickLblPos val="none"/>
        <c:spPr>
          <a:noFill/>
          <a:ln>
            <a:noFill/>
          </a:ln>
        </c:spPr>
        <c:crossAx val="364471424"/>
        <c:crosses val="max"/>
        <c:crossBetween val="between"/>
      </c:valAx>
      <c:catAx>
        <c:axId val="364471424"/>
        <c:scaling>
          <c:orientation val="minMax"/>
        </c:scaling>
        <c:delete val="1"/>
        <c:axPos val="b"/>
        <c:numFmt formatCode="General" sourceLinked="1"/>
        <c:majorTickMark val="out"/>
        <c:minorTickMark val="none"/>
        <c:tickLblPos val="none"/>
        <c:crossAx val="364465536"/>
        <c:crosses val="autoZero"/>
        <c:auto val="1"/>
        <c:lblAlgn val="ctr"/>
        <c:lblOffset val="100"/>
        <c:noMultiLvlLbl val="0"/>
      </c:catAx>
    </c:plotArea>
    <c:legend>
      <c:legendPos val="r"/>
      <c:layout>
        <c:manualLayout>
          <c:xMode val="edge"/>
          <c:yMode val="edge"/>
          <c:x val="0"/>
          <c:y val="2.284817490597185E-3"/>
          <c:w val="1"/>
          <c:h val="0.21833319804096668"/>
        </c:manualLayout>
      </c:layout>
      <c:overlay val="0"/>
    </c:legend>
    <c:plotVisOnly val="1"/>
    <c:dispBlanksAs val="zero"/>
    <c:showDLblsOverMax val="0"/>
  </c:chart>
  <c:spPr>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5462962962962982E-2"/>
          <c:y val="0.21234178796553424"/>
          <c:w val="0.96064814814814903"/>
          <c:h val="0.67033141543070085"/>
        </c:manualLayout>
      </c:layout>
      <c:barChart>
        <c:barDir val="col"/>
        <c:grouping val="clustered"/>
        <c:varyColors val="0"/>
        <c:ser>
          <c:idx val="0"/>
          <c:order val="0"/>
          <c:tx>
            <c:strRef>
              <c:f>Sheet1!$B$1</c:f>
              <c:strCache>
                <c:ptCount val="1"/>
                <c:pt idx="0">
                  <c:v>总资产（亿元）</c:v>
                </c:pt>
              </c:strCache>
            </c:strRef>
          </c:tx>
          <c:spPr>
            <a:solidFill>
              <a:schemeClr val="accent1"/>
            </a:solidFill>
          </c:spPr>
          <c:invertIfNegative val="0"/>
          <c:dLbls>
            <c:numFmt formatCode="0_);\(0\)" sourceLinked="0"/>
            <c:spPr>
              <a:noFill/>
              <a:ln>
                <a:noFill/>
              </a:ln>
              <a:effectLst/>
            </c:spPr>
            <c:txPr>
              <a:bodyPr/>
              <a:lstStyle/>
              <a:p>
                <a:pPr>
                  <a:defRPr sz="1050" b="1"/>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Sheet1!$A$2:$A$4</c:f>
              <c:numCache>
                <c:formatCode>General</c:formatCode>
                <c:ptCount val="3"/>
                <c:pt idx="0">
                  <c:v>2013</c:v>
                </c:pt>
                <c:pt idx="1">
                  <c:v>2014</c:v>
                </c:pt>
                <c:pt idx="2">
                  <c:v>2015</c:v>
                </c:pt>
              </c:numCache>
            </c:numRef>
          </c:cat>
          <c:val>
            <c:numRef>
              <c:f>Sheet1!$B$2:$B$4</c:f>
              <c:numCache>
                <c:formatCode>###,###,###,##0.0</c:formatCode>
                <c:ptCount val="3"/>
                <c:pt idx="0">
                  <c:v>47532.940066316536</c:v>
                </c:pt>
                <c:pt idx="1">
                  <c:v>57496.893736567072</c:v>
                </c:pt>
                <c:pt idx="2">
                  <c:v>69985.767247138429</c:v>
                </c:pt>
              </c:numCache>
            </c:numRef>
          </c:val>
        </c:ser>
        <c:dLbls>
          <c:showLegendKey val="0"/>
          <c:showVal val="0"/>
          <c:showCatName val="0"/>
          <c:showSerName val="0"/>
          <c:showPercent val="0"/>
          <c:showBubbleSize val="0"/>
        </c:dLbls>
        <c:gapWidth val="150"/>
        <c:axId val="364494208"/>
        <c:axId val="364508288"/>
      </c:barChart>
      <c:lineChart>
        <c:grouping val="stacked"/>
        <c:varyColors val="0"/>
        <c:ser>
          <c:idx val="1"/>
          <c:order val="1"/>
          <c:tx>
            <c:strRef>
              <c:f>Sheet1!$C$1</c:f>
              <c:strCache>
                <c:ptCount val="1"/>
                <c:pt idx="0">
                  <c:v>总资产增速</c:v>
                </c:pt>
              </c:strCache>
            </c:strRef>
          </c:tx>
          <c:marker>
            <c:symbol val="circle"/>
            <c:size val="7"/>
            <c:spPr>
              <a:solidFill>
                <a:schemeClr val="bg1"/>
              </a:solidFill>
            </c:spPr>
          </c:marker>
          <c:dLbls>
            <c:dLbl>
              <c:idx val="0"/>
              <c:layout>
                <c:manualLayout>
                  <c:x val="-0.10683285110171378"/>
                  <c:y val="5.8055152394774968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8.9892145509800542E-2"/>
                  <c:y val="6.6327636352073047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10440177283648591"/>
                  <c:y val="6.981703484451969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6384778239982526E-2"/>
                  <c:y val="4.5321630122682505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5.4615927466608004E-3"/>
                  <c:y val="9.0643260245365023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Sheet1!$A$2:$A$4</c:f>
              <c:numCache>
                <c:formatCode>General</c:formatCode>
                <c:ptCount val="3"/>
                <c:pt idx="0">
                  <c:v>2013</c:v>
                </c:pt>
                <c:pt idx="1">
                  <c:v>2014</c:v>
                </c:pt>
                <c:pt idx="2">
                  <c:v>2015</c:v>
                </c:pt>
              </c:numCache>
            </c:numRef>
          </c:cat>
          <c:val>
            <c:numRef>
              <c:f>Sheet1!$C$2:$C$4</c:f>
              <c:numCache>
                <c:formatCode>0.0%</c:formatCode>
                <c:ptCount val="3"/>
                <c:pt idx="0">
                  <c:v>0.14103898741345333</c:v>
                </c:pt>
                <c:pt idx="1">
                  <c:v>0.2096220780021012</c:v>
                </c:pt>
                <c:pt idx="2">
                  <c:v>0.21720953427139111</c:v>
                </c:pt>
              </c:numCache>
            </c:numRef>
          </c:val>
          <c:smooth val="0"/>
        </c:ser>
        <c:dLbls>
          <c:showLegendKey val="0"/>
          <c:showVal val="0"/>
          <c:showCatName val="0"/>
          <c:showSerName val="0"/>
          <c:showPercent val="0"/>
          <c:showBubbleSize val="0"/>
        </c:dLbls>
        <c:marker val="1"/>
        <c:smooth val="0"/>
        <c:axId val="363667840"/>
        <c:axId val="364509824"/>
      </c:lineChart>
      <c:catAx>
        <c:axId val="364494208"/>
        <c:scaling>
          <c:orientation val="minMax"/>
        </c:scaling>
        <c:delete val="0"/>
        <c:axPos val="b"/>
        <c:numFmt formatCode="General" sourceLinked="1"/>
        <c:majorTickMark val="out"/>
        <c:minorTickMark val="none"/>
        <c:tickLblPos val="nextTo"/>
        <c:txPr>
          <a:bodyPr/>
          <a:lstStyle/>
          <a:p>
            <a:pPr>
              <a:defRPr sz="1050" b="1"/>
            </a:pPr>
            <a:endParaRPr lang="zh-CN"/>
          </a:p>
        </c:txPr>
        <c:crossAx val="364508288"/>
        <c:crosses val="autoZero"/>
        <c:auto val="1"/>
        <c:lblAlgn val="ctr"/>
        <c:lblOffset val="100"/>
        <c:noMultiLvlLbl val="0"/>
      </c:catAx>
      <c:valAx>
        <c:axId val="364508288"/>
        <c:scaling>
          <c:orientation val="minMax"/>
        </c:scaling>
        <c:delete val="0"/>
        <c:axPos val="l"/>
        <c:numFmt formatCode="###,###,###,##0.0" sourceLinked="1"/>
        <c:majorTickMark val="none"/>
        <c:minorTickMark val="none"/>
        <c:tickLblPos val="none"/>
        <c:spPr>
          <a:noFill/>
          <a:ln>
            <a:noFill/>
          </a:ln>
        </c:spPr>
        <c:crossAx val="364494208"/>
        <c:crosses val="autoZero"/>
        <c:crossBetween val="between"/>
        <c:minorUnit val="1"/>
      </c:valAx>
      <c:valAx>
        <c:axId val="364509824"/>
        <c:scaling>
          <c:orientation val="minMax"/>
          <c:max val="0.3500000000000002"/>
        </c:scaling>
        <c:delete val="0"/>
        <c:axPos val="r"/>
        <c:numFmt formatCode="0.0%" sourceLinked="1"/>
        <c:majorTickMark val="none"/>
        <c:minorTickMark val="none"/>
        <c:tickLblPos val="none"/>
        <c:spPr>
          <a:noFill/>
          <a:ln>
            <a:noFill/>
          </a:ln>
        </c:spPr>
        <c:crossAx val="363667840"/>
        <c:crosses val="max"/>
        <c:crossBetween val="between"/>
      </c:valAx>
      <c:catAx>
        <c:axId val="363667840"/>
        <c:scaling>
          <c:orientation val="minMax"/>
        </c:scaling>
        <c:delete val="1"/>
        <c:axPos val="b"/>
        <c:numFmt formatCode="General" sourceLinked="1"/>
        <c:majorTickMark val="out"/>
        <c:minorTickMark val="none"/>
        <c:tickLblPos val="none"/>
        <c:crossAx val="364509824"/>
        <c:crosses val="autoZero"/>
        <c:auto val="1"/>
        <c:lblAlgn val="ctr"/>
        <c:lblOffset val="100"/>
        <c:noMultiLvlLbl val="0"/>
      </c:catAx>
    </c:plotArea>
    <c:legend>
      <c:legendPos val="r"/>
      <c:layout>
        <c:manualLayout>
          <c:xMode val="edge"/>
          <c:yMode val="edge"/>
          <c:x val="0"/>
          <c:y val="2.2903381252553149E-2"/>
          <c:w val="0.96542354007860487"/>
          <c:h val="0.11364560324647217"/>
        </c:manualLayout>
      </c:layout>
      <c:overlay val="0"/>
    </c:legend>
    <c:plotVisOnly val="1"/>
    <c:dispBlanksAs val="zero"/>
    <c:showDLblsOverMax val="0"/>
  </c:chart>
  <c:spPr>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462962962962982E-2"/>
          <c:y val="0"/>
          <c:w val="0.96064814814814903"/>
          <c:h val="0.82401162118886084"/>
        </c:manualLayout>
      </c:layout>
      <c:lineChart>
        <c:grouping val="standard"/>
        <c:varyColors val="0"/>
        <c:ser>
          <c:idx val="0"/>
          <c:order val="0"/>
          <c:tx>
            <c:strRef>
              <c:f>Sheet1!$B$1</c:f>
              <c:strCache>
                <c:ptCount val="1"/>
                <c:pt idx="0">
                  <c:v>总资产（万亿元）</c:v>
                </c:pt>
              </c:strCache>
            </c:strRef>
          </c:tx>
          <c:marker>
            <c:spPr>
              <a:solidFill>
                <a:schemeClr val="accent1"/>
              </a:solidFill>
            </c:spPr>
          </c:marker>
          <c:dLbls>
            <c:spPr>
              <a:noFill/>
              <a:ln>
                <a:noFill/>
              </a:ln>
              <a:effectLst/>
            </c:spPr>
            <c:txPr>
              <a:bodyPr/>
              <a:lstStyle/>
              <a:p>
                <a:pPr>
                  <a:defRPr sz="1050" b="1"/>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Sheet1!$A$2:$A$8</c:f>
              <c:numCache>
                <c:formatCode>General</c:formatCode>
                <c:ptCount val="7"/>
                <c:pt idx="0">
                  <c:v>2008</c:v>
                </c:pt>
                <c:pt idx="1">
                  <c:v>2009</c:v>
                </c:pt>
                <c:pt idx="2">
                  <c:v>2010</c:v>
                </c:pt>
                <c:pt idx="3">
                  <c:v>2011</c:v>
                </c:pt>
                <c:pt idx="4">
                  <c:v>2012</c:v>
                </c:pt>
                <c:pt idx="5">
                  <c:v>2014</c:v>
                </c:pt>
                <c:pt idx="6">
                  <c:v>2015</c:v>
                </c:pt>
              </c:numCache>
            </c:numRef>
          </c:cat>
          <c:val>
            <c:numRef>
              <c:f>Sheet1!$B$2:$B$8</c:f>
              <c:numCache>
                <c:formatCode>General</c:formatCode>
                <c:ptCount val="7"/>
                <c:pt idx="0">
                  <c:v>29</c:v>
                </c:pt>
                <c:pt idx="1">
                  <c:v>49</c:v>
                </c:pt>
                <c:pt idx="2">
                  <c:v>166</c:v>
                </c:pt>
                <c:pt idx="3">
                  <c:v>136</c:v>
                </c:pt>
                <c:pt idx="4">
                  <c:v>74</c:v>
                </c:pt>
                <c:pt idx="5">
                  <c:v>61</c:v>
                </c:pt>
                <c:pt idx="6">
                  <c:v>86</c:v>
                </c:pt>
              </c:numCache>
            </c:numRef>
          </c:val>
          <c:smooth val="0"/>
        </c:ser>
        <c:dLbls>
          <c:showLegendKey val="0"/>
          <c:showVal val="0"/>
          <c:showCatName val="0"/>
          <c:showSerName val="0"/>
          <c:showPercent val="0"/>
          <c:showBubbleSize val="0"/>
        </c:dLbls>
        <c:marker val="1"/>
        <c:smooth val="0"/>
        <c:axId val="363926656"/>
        <c:axId val="363928192"/>
      </c:lineChart>
      <c:catAx>
        <c:axId val="363926656"/>
        <c:scaling>
          <c:orientation val="minMax"/>
        </c:scaling>
        <c:delete val="0"/>
        <c:axPos val="b"/>
        <c:numFmt formatCode="General" sourceLinked="1"/>
        <c:majorTickMark val="out"/>
        <c:minorTickMark val="none"/>
        <c:tickLblPos val="nextTo"/>
        <c:txPr>
          <a:bodyPr/>
          <a:lstStyle/>
          <a:p>
            <a:pPr>
              <a:defRPr sz="1050" b="1"/>
            </a:pPr>
            <a:endParaRPr lang="zh-CN"/>
          </a:p>
        </c:txPr>
        <c:crossAx val="363928192"/>
        <c:crosses val="autoZero"/>
        <c:auto val="1"/>
        <c:lblAlgn val="ctr"/>
        <c:lblOffset val="100"/>
        <c:noMultiLvlLbl val="0"/>
      </c:catAx>
      <c:valAx>
        <c:axId val="363928192"/>
        <c:scaling>
          <c:orientation val="minMax"/>
        </c:scaling>
        <c:delete val="0"/>
        <c:axPos val="l"/>
        <c:numFmt formatCode="General" sourceLinked="1"/>
        <c:majorTickMark val="none"/>
        <c:minorTickMark val="none"/>
        <c:tickLblPos val="none"/>
        <c:spPr>
          <a:noFill/>
          <a:ln>
            <a:noFill/>
          </a:ln>
        </c:spPr>
        <c:crossAx val="363926656"/>
        <c:crosses val="autoZero"/>
        <c:crossBetween val="between"/>
        <c:minorUnit val="1"/>
      </c:valAx>
    </c:plotArea>
    <c:plotVisOnly val="1"/>
    <c:dispBlanksAs val="zero"/>
    <c:showDLblsOverMax val="0"/>
  </c:chart>
  <c:spPr>
    <a:noFill/>
    <a:ln>
      <a:no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8645833333333332E-2"/>
          <c:y val="3.3294545078416941E-2"/>
          <c:w val="0.94270833333333404"/>
          <c:h val="0.7752608510143133"/>
        </c:manualLayout>
      </c:layout>
      <c:barChart>
        <c:barDir val="col"/>
        <c:grouping val="clustered"/>
        <c:varyColors val="0"/>
        <c:ser>
          <c:idx val="0"/>
          <c:order val="0"/>
          <c:tx>
            <c:strRef>
              <c:f>Sheet1!$B$1</c:f>
              <c:strCache>
                <c:ptCount val="1"/>
                <c:pt idx="0">
                  <c:v>IPO募资额</c:v>
                </c:pt>
              </c:strCache>
            </c:strRef>
          </c:tx>
          <c:spPr>
            <a:solidFill>
              <a:schemeClr val="tx2">
                <a:lumMod val="60000"/>
                <a:lumOff val="40000"/>
              </a:schemeClr>
            </a:solidFill>
          </c:spPr>
          <c:invertIfNegative val="0"/>
          <c:dLbls>
            <c:spPr>
              <a:noFill/>
              <a:ln>
                <a:noFill/>
              </a:ln>
              <a:effectLst/>
            </c:spPr>
            <c:txPr>
              <a:bodyPr/>
              <a:lstStyle/>
              <a:p>
                <a:pPr>
                  <a:defRPr sz="1050" b="1"/>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Sheet1!$A$2:$A$4</c:f>
              <c:numCache>
                <c:formatCode>General</c:formatCode>
                <c:ptCount val="3"/>
                <c:pt idx="0">
                  <c:v>2013</c:v>
                </c:pt>
                <c:pt idx="1">
                  <c:v>2014</c:v>
                </c:pt>
                <c:pt idx="2">
                  <c:v>2015</c:v>
                </c:pt>
              </c:numCache>
            </c:numRef>
          </c:cat>
          <c:val>
            <c:numRef>
              <c:f>Sheet1!$B$2:$B$4</c:f>
              <c:numCache>
                <c:formatCode>0.0</c:formatCode>
                <c:ptCount val="3"/>
                <c:pt idx="0">
                  <c:v>0</c:v>
                </c:pt>
                <c:pt idx="1">
                  <c:v>279.53853083959979</c:v>
                </c:pt>
                <c:pt idx="2">
                  <c:v>538.26938632000042</c:v>
                </c:pt>
              </c:numCache>
            </c:numRef>
          </c:val>
        </c:ser>
        <c:ser>
          <c:idx val="1"/>
          <c:order val="1"/>
          <c:tx>
            <c:strRef>
              <c:f>Sheet1!$C$1</c:f>
              <c:strCache>
                <c:ptCount val="1"/>
                <c:pt idx="0">
                  <c:v>增发募资额</c:v>
                </c:pt>
              </c:strCache>
            </c:strRef>
          </c:tx>
          <c:spPr>
            <a:solidFill>
              <a:schemeClr val="bg1">
                <a:lumMod val="75000"/>
              </a:schemeClr>
            </a:solidFill>
          </c:spPr>
          <c:invertIfNegative val="0"/>
          <c:dLbls>
            <c:spPr>
              <a:noFill/>
              <a:ln>
                <a:noFill/>
              </a:ln>
              <a:effectLst/>
            </c:spPr>
            <c:txPr>
              <a:bodyPr/>
              <a:lstStyle/>
              <a:p>
                <a:pPr>
                  <a:defRPr b="1"/>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Sheet1!$A$2:$A$4</c:f>
              <c:numCache>
                <c:formatCode>General</c:formatCode>
                <c:ptCount val="3"/>
                <c:pt idx="0">
                  <c:v>2013</c:v>
                </c:pt>
                <c:pt idx="1">
                  <c:v>2014</c:v>
                </c:pt>
                <c:pt idx="2">
                  <c:v>2015</c:v>
                </c:pt>
              </c:numCache>
            </c:numRef>
          </c:cat>
          <c:val>
            <c:numRef>
              <c:f>Sheet1!$C$2:$C$4</c:f>
              <c:numCache>
                <c:formatCode>0.0</c:formatCode>
                <c:ptCount val="3"/>
                <c:pt idx="0">
                  <c:v>911.68255388949922</c:v>
                </c:pt>
                <c:pt idx="1">
                  <c:v>2218.9746499266985</c:v>
                </c:pt>
                <c:pt idx="2">
                  <c:v>3104.3355654775009</c:v>
                </c:pt>
              </c:numCache>
            </c:numRef>
          </c:val>
        </c:ser>
        <c:ser>
          <c:idx val="2"/>
          <c:order val="2"/>
          <c:tx>
            <c:strRef>
              <c:f>Sheet1!$D$1</c:f>
              <c:strCache>
                <c:ptCount val="1"/>
                <c:pt idx="0">
                  <c:v>债券融资</c:v>
                </c:pt>
              </c:strCache>
            </c:strRef>
          </c:tx>
          <c:spPr>
            <a:solidFill>
              <a:schemeClr val="accent2"/>
            </a:solidFill>
          </c:spPr>
          <c:invertIfNegative val="0"/>
          <c:dLbls>
            <c:spPr>
              <a:noFill/>
              <a:ln>
                <a:noFill/>
              </a:ln>
              <a:effectLst/>
            </c:spPr>
            <c:txPr>
              <a:bodyPr wrap="square" lIns="38100" tIns="19050" rIns="38100" bIns="19050" anchor="ctr">
                <a:spAutoFit/>
              </a:bodyPr>
              <a:lstStyle/>
              <a:p>
                <a:pPr>
                  <a:defRPr b="1"/>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Sheet1!$A$2:$A$4</c:f>
              <c:numCache>
                <c:formatCode>General</c:formatCode>
                <c:ptCount val="3"/>
                <c:pt idx="0">
                  <c:v>2013</c:v>
                </c:pt>
                <c:pt idx="1">
                  <c:v>2014</c:v>
                </c:pt>
                <c:pt idx="2">
                  <c:v>2015</c:v>
                </c:pt>
              </c:numCache>
            </c:numRef>
          </c:cat>
          <c:val>
            <c:numRef>
              <c:f>Sheet1!$D$2:$D$4</c:f>
              <c:numCache>
                <c:formatCode>0.0</c:formatCode>
                <c:ptCount val="3"/>
                <c:pt idx="0">
                  <c:v>724.38645201700001</c:v>
                </c:pt>
                <c:pt idx="1">
                  <c:v>925.96332314919994</c:v>
                </c:pt>
                <c:pt idx="2">
                  <c:v>1371.0057178750001</c:v>
                </c:pt>
              </c:numCache>
            </c:numRef>
          </c:val>
        </c:ser>
        <c:dLbls>
          <c:showLegendKey val="0"/>
          <c:showVal val="0"/>
          <c:showCatName val="0"/>
          <c:showSerName val="0"/>
          <c:showPercent val="0"/>
          <c:showBubbleSize val="0"/>
        </c:dLbls>
        <c:gapWidth val="132"/>
        <c:axId val="363971712"/>
        <c:axId val="363973248"/>
      </c:barChart>
      <c:catAx>
        <c:axId val="363971712"/>
        <c:scaling>
          <c:orientation val="minMax"/>
        </c:scaling>
        <c:delete val="0"/>
        <c:axPos val="b"/>
        <c:numFmt formatCode="General" sourceLinked="0"/>
        <c:majorTickMark val="out"/>
        <c:minorTickMark val="none"/>
        <c:tickLblPos val="nextTo"/>
        <c:txPr>
          <a:bodyPr/>
          <a:lstStyle/>
          <a:p>
            <a:pPr>
              <a:defRPr sz="1050" b="1"/>
            </a:pPr>
            <a:endParaRPr lang="zh-CN"/>
          </a:p>
        </c:txPr>
        <c:crossAx val="363973248"/>
        <c:crosses val="autoZero"/>
        <c:auto val="1"/>
        <c:lblAlgn val="ctr"/>
        <c:lblOffset val="100"/>
        <c:noMultiLvlLbl val="0"/>
      </c:catAx>
      <c:valAx>
        <c:axId val="363973248"/>
        <c:scaling>
          <c:orientation val="minMax"/>
        </c:scaling>
        <c:delete val="1"/>
        <c:axPos val="l"/>
        <c:numFmt formatCode="0.0" sourceLinked="1"/>
        <c:majorTickMark val="out"/>
        <c:minorTickMark val="none"/>
        <c:tickLblPos val="none"/>
        <c:crossAx val="363971712"/>
        <c:crosses val="autoZero"/>
        <c:crossBetween val="between"/>
      </c:valAx>
      <c:spPr>
        <a:noFill/>
        <a:ln w="25400">
          <a:noFill/>
        </a:ln>
      </c:spPr>
    </c:plotArea>
    <c:legend>
      <c:legendPos val="t"/>
      <c:layout>
        <c:manualLayout>
          <c:xMode val="edge"/>
          <c:yMode val="edge"/>
          <c:x val="7.6134350393700784E-2"/>
          <c:y val="2.7374164436342007E-2"/>
          <c:w val="0.52268270177165266"/>
          <c:h val="0.11214209851675518"/>
        </c:manualLayout>
      </c:layout>
      <c:overlay val="0"/>
    </c:legend>
    <c:plotVisOnly val="1"/>
    <c:dispBlanksAs val="gap"/>
    <c:showDLblsOverMax val="0"/>
  </c:chart>
  <c:spPr>
    <a:ln>
      <a:noFill/>
    </a:ln>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0.1007982452897614"/>
          <c:w val="0.95275590551181144"/>
          <c:h val="0.76560570773723702"/>
        </c:manualLayout>
      </c:layout>
      <c:barChart>
        <c:barDir val="col"/>
        <c:grouping val="clustered"/>
        <c:varyColors val="0"/>
        <c:ser>
          <c:idx val="0"/>
          <c:order val="0"/>
          <c:tx>
            <c:strRef>
              <c:f>Sheet1!$B$1</c:f>
              <c:strCache>
                <c:ptCount val="1"/>
                <c:pt idx="0">
                  <c:v>2013</c:v>
                </c:pt>
              </c:strCache>
            </c:strRef>
          </c:tx>
          <c:spPr>
            <a:solidFill>
              <a:schemeClr val="accent1"/>
            </a:solidFill>
          </c:spPr>
          <c:invertIfNegative val="0"/>
          <c:dLbls>
            <c:numFmt formatCode="0.0%" sourceLinked="0"/>
            <c:spPr>
              <a:noFill/>
              <a:ln>
                <a:noFill/>
              </a:ln>
              <a:effectLst/>
            </c:spPr>
            <c:txPr>
              <a:bodyPr/>
              <a:lstStyle/>
              <a:p>
                <a:pPr>
                  <a:defRPr b="1">
                    <a:solidFill>
                      <a:sysClr val="windowText" lastClr="000000"/>
                    </a:solidFill>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领军企业数量占比</c:v>
                </c:pt>
                <c:pt idx="1">
                  <c:v>领军企业营收占比</c:v>
                </c:pt>
                <c:pt idx="2">
                  <c:v>领军企业利润占比</c:v>
                </c:pt>
              </c:strCache>
            </c:strRef>
          </c:cat>
          <c:val>
            <c:numRef>
              <c:f>Sheet1!$B$2:$B$4</c:f>
              <c:numCache>
                <c:formatCode>0.0%</c:formatCode>
                <c:ptCount val="3"/>
                <c:pt idx="0">
                  <c:v>0.13500000000000001</c:v>
                </c:pt>
                <c:pt idx="1">
                  <c:v>0.67200000000000071</c:v>
                </c:pt>
                <c:pt idx="2">
                  <c:v>0.53200000000000003</c:v>
                </c:pt>
              </c:numCache>
            </c:numRef>
          </c:val>
        </c:ser>
        <c:dLbls>
          <c:showLegendKey val="0"/>
          <c:showVal val="0"/>
          <c:showCatName val="0"/>
          <c:showSerName val="0"/>
          <c:showPercent val="0"/>
          <c:showBubbleSize val="0"/>
        </c:dLbls>
        <c:gapWidth val="150"/>
        <c:axId val="364514304"/>
        <c:axId val="364565248"/>
      </c:barChart>
      <c:catAx>
        <c:axId val="364514304"/>
        <c:scaling>
          <c:orientation val="minMax"/>
        </c:scaling>
        <c:delete val="0"/>
        <c:axPos val="b"/>
        <c:numFmt formatCode="General" sourceLinked="0"/>
        <c:majorTickMark val="out"/>
        <c:minorTickMark val="none"/>
        <c:tickLblPos val="nextTo"/>
        <c:txPr>
          <a:bodyPr/>
          <a:lstStyle/>
          <a:p>
            <a:pPr>
              <a:defRPr sz="900" b="0"/>
            </a:pPr>
            <a:endParaRPr lang="zh-CN"/>
          </a:p>
        </c:txPr>
        <c:crossAx val="364565248"/>
        <c:crosses val="autoZero"/>
        <c:auto val="1"/>
        <c:lblAlgn val="ctr"/>
        <c:lblOffset val="100"/>
        <c:noMultiLvlLbl val="0"/>
      </c:catAx>
      <c:valAx>
        <c:axId val="364565248"/>
        <c:scaling>
          <c:orientation val="minMax"/>
          <c:max val="0.70000000000000051"/>
        </c:scaling>
        <c:delete val="1"/>
        <c:axPos val="l"/>
        <c:majorGridlines>
          <c:spPr>
            <a:ln>
              <a:noFill/>
            </a:ln>
          </c:spPr>
        </c:majorGridlines>
        <c:numFmt formatCode="0.0%" sourceLinked="1"/>
        <c:majorTickMark val="out"/>
        <c:minorTickMark val="none"/>
        <c:tickLblPos val="none"/>
        <c:crossAx val="364514304"/>
        <c:crosses val="autoZero"/>
        <c:crossBetween val="between"/>
      </c:valAx>
      <c:spPr>
        <a:noFill/>
      </c:spPr>
    </c:plotArea>
    <c:plotVisOnly val="1"/>
    <c:dispBlanksAs val="gap"/>
    <c:showDLblsOverMax val="0"/>
  </c:chart>
  <c:spPr>
    <a:noFill/>
    <a:ln>
      <a:noFill/>
    </a:ln>
  </c:sp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091976530174501"/>
          <c:y val="0.14201701589666552"/>
          <c:w val="0.69936181194485469"/>
          <c:h val="0.82820329277022187"/>
        </c:manualLayout>
      </c:layout>
      <c:pieChart>
        <c:varyColors val="1"/>
        <c:ser>
          <c:idx val="0"/>
          <c:order val="0"/>
          <c:tx>
            <c:strRef>
              <c:f>Sheet1!$B$1</c:f>
              <c:strCache>
                <c:ptCount val="1"/>
                <c:pt idx="0">
                  <c:v>股价</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dLbl>
              <c:idx val="0"/>
              <c:layout>
                <c:manualLayout>
                  <c:x val="-0.16960685274621876"/>
                  <c:y val="-3.8766589245709734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zh-CN"/>
                </a:p>
              </c:txPr>
              <c:showLegendKey val="0"/>
              <c:showVal val="1"/>
              <c:showCatName val="1"/>
              <c:showSerName val="0"/>
              <c:showPercent val="0"/>
              <c:showBubbleSize val="0"/>
              <c:extLst>
                <c:ext xmlns:c15="http://schemas.microsoft.com/office/drawing/2012/chart" uri="{CE6537A1-D6FC-4f65-9D91-7224C49458BB}"/>
              </c:extLst>
            </c:dLbl>
            <c:dLbl>
              <c:idx val="1"/>
              <c:layout>
                <c:manualLayout>
                  <c:x val="8.232221192034643E-2"/>
                  <c:y val="-4.6653856691838878E-2"/>
                </c:manualLayout>
              </c:layout>
              <c:showLegendKey val="0"/>
              <c:showVal val="1"/>
              <c:showCatName val="1"/>
              <c:showSerName val="0"/>
              <c:showPercent val="0"/>
              <c:showBubbleSize val="0"/>
              <c:extLst>
                <c:ext xmlns:c15="http://schemas.microsoft.com/office/drawing/2012/chart" uri="{CE6537A1-D6FC-4f65-9D91-7224C49458BB}"/>
              </c:extLst>
            </c:dLbl>
            <c:dLbl>
              <c:idx val="3"/>
              <c:layout>
                <c:manualLayout>
                  <c:x val="-4.227232470282169E-2"/>
                  <c:y val="5.9425628425966916E-2"/>
                </c:manualLayout>
              </c:layout>
              <c:showLegendKey val="0"/>
              <c:showVal val="1"/>
              <c:showCatName val="1"/>
              <c:showSerName val="0"/>
              <c:showPercent val="0"/>
              <c:showBubbleSize val="0"/>
              <c:extLst>
                <c:ext xmlns:c15="http://schemas.microsoft.com/office/drawing/2012/chart" uri="{CE6537A1-D6FC-4f65-9D91-7224C49458BB}"/>
              </c:extLst>
            </c:dLbl>
            <c:dLbl>
              <c:idx val="5"/>
              <c:layout>
                <c:manualLayout>
                  <c:x val="7.2495606326889256E-2"/>
                  <c:y val="1.5841867844754561E-2"/>
                </c:manualLayout>
              </c:layout>
              <c:showLegendKey val="0"/>
              <c:showVal val="1"/>
              <c:showCatName val="1"/>
              <c:showSerName val="0"/>
              <c:showPercent val="0"/>
              <c:showBubbleSize val="0"/>
              <c:extLst>
                <c:ext xmlns:c15="http://schemas.microsoft.com/office/drawing/2012/chart" uri="{CE6537A1-D6FC-4f65-9D91-7224C49458BB}"/>
              </c:extLst>
            </c:dLbl>
            <c:dLbl>
              <c:idx val="6"/>
              <c:layout>
                <c:manualLayout>
                  <c:x val="0.21026528098750419"/>
                  <c:y val="-1.7602911075733453E-2"/>
                </c:manualLayout>
              </c:layout>
              <c:showLegendKey val="0"/>
              <c:showVal val="1"/>
              <c:showCatName val="1"/>
              <c:showSerName val="0"/>
              <c:showPercent val="0"/>
              <c:showBubbleSize val="0"/>
              <c:extLst>
                <c:ext xmlns:c15="http://schemas.microsoft.com/office/drawing/2012/chart" uri="{CE6537A1-D6FC-4f65-9D91-7224C49458BB}"/>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zh-CN"/>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横向整合</c:v>
                </c:pt>
                <c:pt idx="1">
                  <c:v>多元化战略</c:v>
                </c:pt>
                <c:pt idx="2">
                  <c:v>垂直整合</c:v>
                </c:pt>
                <c:pt idx="3">
                  <c:v>买壳上市</c:v>
                </c:pt>
                <c:pt idx="4">
                  <c:v>整体上市</c:v>
                </c:pt>
                <c:pt idx="5">
                  <c:v>其他</c:v>
                </c:pt>
              </c:strCache>
            </c:strRef>
          </c:cat>
          <c:val>
            <c:numRef>
              <c:f>Sheet1!$B$2:$B$7</c:f>
              <c:numCache>
                <c:formatCode>0.00%</c:formatCode>
                <c:ptCount val="6"/>
                <c:pt idx="0">
                  <c:v>0.61930000000000041</c:v>
                </c:pt>
                <c:pt idx="1">
                  <c:v>0.1193</c:v>
                </c:pt>
                <c:pt idx="2">
                  <c:v>0.10800000000000005</c:v>
                </c:pt>
                <c:pt idx="3">
                  <c:v>6.25E-2</c:v>
                </c:pt>
                <c:pt idx="4">
                  <c:v>3.4099999999999998E-2</c:v>
                </c:pt>
                <c:pt idx="5">
                  <c:v>5.6800000000000003E-2</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a:pPr>
      <a:endParaRPr lang="zh-CN"/>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6980056980056967E-2"/>
          <c:y val="6.0606060606060622E-2"/>
          <c:w val="0.87183906498867203"/>
          <c:h val="0.79698835166265358"/>
        </c:manualLayout>
      </c:layout>
      <c:barChart>
        <c:barDir val="col"/>
        <c:grouping val="clustered"/>
        <c:varyColors val="0"/>
        <c:ser>
          <c:idx val="0"/>
          <c:order val="0"/>
          <c:tx>
            <c:strRef>
              <c:f>Sheet1!$B$1</c:f>
              <c:strCache>
                <c:ptCount val="1"/>
                <c:pt idx="0">
                  <c:v>上市公司总体</c:v>
                </c:pt>
              </c:strCache>
            </c:strRef>
          </c:tx>
          <c:spPr>
            <a:solidFill>
              <a:schemeClr val="bg1">
                <a:lumMod val="75000"/>
              </a:schemeClr>
            </a:solidFill>
          </c:spPr>
          <c:invertIfNegative val="0"/>
          <c:dLbls>
            <c:numFmt formatCode="0.00%" sourceLinked="0"/>
            <c:spPr>
              <a:noFill/>
              <a:ln>
                <a:noFill/>
              </a:ln>
              <a:effectLst/>
            </c:spPr>
            <c:txPr>
              <a:bodyPr/>
              <a:lstStyle/>
              <a:p>
                <a:pPr>
                  <a:defRPr b="1"/>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Sheet1!$A$2:$A$7</c:f>
              <c:numCache>
                <c:formatCode>General</c:formatCode>
                <c:ptCount val="5"/>
                <c:pt idx="0">
                  <c:v>2010</c:v>
                </c:pt>
                <c:pt idx="1">
                  <c:v>2011</c:v>
                </c:pt>
                <c:pt idx="2">
                  <c:v>2012</c:v>
                </c:pt>
                <c:pt idx="3">
                  <c:v>2014</c:v>
                </c:pt>
                <c:pt idx="4">
                  <c:v>2015</c:v>
                </c:pt>
              </c:numCache>
            </c:numRef>
          </c:cat>
          <c:val>
            <c:numRef>
              <c:f>Sheet1!$B$2:$B$7</c:f>
              <c:numCache>
                <c:formatCode>0.0%</c:formatCode>
                <c:ptCount val="5"/>
                <c:pt idx="0">
                  <c:v>2.0934983238165599E-2</c:v>
                </c:pt>
                <c:pt idx="1">
                  <c:v>2.4276849778057389E-2</c:v>
                </c:pt>
                <c:pt idx="2">
                  <c:v>3.1166194042928943E-2</c:v>
                </c:pt>
                <c:pt idx="3">
                  <c:v>3.3295373406025702E-2</c:v>
                </c:pt>
                <c:pt idx="4">
                  <c:v>3.5018884666667416E-2</c:v>
                </c:pt>
              </c:numCache>
            </c:numRef>
          </c:val>
        </c:ser>
        <c:ser>
          <c:idx val="1"/>
          <c:order val="1"/>
          <c:tx>
            <c:strRef>
              <c:f>Sheet1!$C$1</c:f>
              <c:strCache>
                <c:ptCount val="1"/>
                <c:pt idx="0">
                  <c:v>战略性新兴产业上市公司</c:v>
                </c:pt>
              </c:strCache>
            </c:strRef>
          </c:tx>
          <c:spPr>
            <a:solidFill>
              <a:schemeClr val="accent1"/>
            </a:solidFill>
          </c:spPr>
          <c:invertIfNegative val="0"/>
          <c:dLbls>
            <c:numFmt formatCode="0.00%" sourceLinked="0"/>
            <c:spPr>
              <a:noFill/>
              <a:ln>
                <a:noFill/>
              </a:ln>
              <a:effectLst/>
            </c:spPr>
            <c:txPr>
              <a:bodyPr/>
              <a:lstStyle/>
              <a:p>
                <a:pPr>
                  <a:defRPr b="1"/>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Sheet1!$A$2:$A$7</c:f>
              <c:numCache>
                <c:formatCode>General</c:formatCode>
                <c:ptCount val="5"/>
                <c:pt idx="0">
                  <c:v>2010</c:v>
                </c:pt>
                <c:pt idx="1">
                  <c:v>2011</c:v>
                </c:pt>
                <c:pt idx="2">
                  <c:v>2012</c:v>
                </c:pt>
                <c:pt idx="3">
                  <c:v>2014</c:v>
                </c:pt>
                <c:pt idx="4">
                  <c:v>2015</c:v>
                </c:pt>
              </c:numCache>
            </c:numRef>
          </c:cat>
          <c:val>
            <c:numRef>
              <c:f>Sheet1!$C$2:$C$7</c:f>
              <c:numCache>
                <c:formatCode>0.0%</c:formatCode>
                <c:ptCount val="5"/>
                <c:pt idx="0">
                  <c:v>3.8105124869258475E-2</c:v>
                </c:pt>
                <c:pt idx="1">
                  <c:v>4.4028913522065054E-2</c:v>
                </c:pt>
                <c:pt idx="2">
                  <c:v>5.5433105022733103E-2</c:v>
                </c:pt>
                <c:pt idx="3">
                  <c:v>6.0151119311906621E-2</c:v>
                </c:pt>
                <c:pt idx="4">
                  <c:v>6.2109737506904163E-2</c:v>
                </c:pt>
              </c:numCache>
            </c:numRef>
          </c:val>
        </c:ser>
        <c:dLbls>
          <c:showLegendKey val="0"/>
          <c:showVal val="0"/>
          <c:showCatName val="0"/>
          <c:showSerName val="0"/>
          <c:showPercent val="0"/>
          <c:showBubbleSize val="0"/>
        </c:dLbls>
        <c:gapWidth val="150"/>
        <c:axId val="364579840"/>
        <c:axId val="364602112"/>
      </c:barChart>
      <c:catAx>
        <c:axId val="364579840"/>
        <c:scaling>
          <c:orientation val="minMax"/>
        </c:scaling>
        <c:delete val="0"/>
        <c:axPos val="b"/>
        <c:numFmt formatCode="General" sourceLinked="0"/>
        <c:majorTickMark val="out"/>
        <c:minorTickMark val="none"/>
        <c:tickLblPos val="nextTo"/>
        <c:txPr>
          <a:bodyPr/>
          <a:lstStyle/>
          <a:p>
            <a:pPr>
              <a:defRPr sz="1050" b="1"/>
            </a:pPr>
            <a:endParaRPr lang="zh-CN"/>
          </a:p>
        </c:txPr>
        <c:crossAx val="364602112"/>
        <c:crosses val="autoZero"/>
        <c:auto val="1"/>
        <c:lblAlgn val="ctr"/>
        <c:lblOffset val="100"/>
        <c:noMultiLvlLbl val="0"/>
      </c:catAx>
      <c:valAx>
        <c:axId val="364602112"/>
        <c:scaling>
          <c:orientation val="minMax"/>
          <c:max val="8.0000000000000043E-2"/>
        </c:scaling>
        <c:delete val="1"/>
        <c:axPos val="l"/>
        <c:majorGridlines>
          <c:spPr>
            <a:ln>
              <a:noFill/>
            </a:ln>
          </c:spPr>
        </c:majorGridlines>
        <c:numFmt formatCode="0.0%" sourceLinked="1"/>
        <c:majorTickMark val="out"/>
        <c:minorTickMark val="none"/>
        <c:tickLblPos val="none"/>
        <c:crossAx val="364579840"/>
        <c:crosses val="autoZero"/>
        <c:crossBetween val="between"/>
      </c:valAx>
    </c:plotArea>
    <c:legend>
      <c:legendPos val="r"/>
      <c:layout>
        <c:manualLayout>
          <c:xMode val="edge"/>
          <c:yMode val="edge"/>
          <c:x val="0.15958835273795924"/>
          <c:y val="5.2805362139649897E-2"/>
          <c:w val="0.65522646207685575"/>
          <c:h val="0.11752977158846879"/>
        </c:manualLayout>
      </c:layout>
      <c:overlay val="0"/>
    </c:legend>
    <c:plotVisOnly val="1"/>
    <c:dispBlanksAs val="gap"/>
    <c:showDLblsOverMax val="0"/>
  </c:chart>
  <c:spPr>
    <a:noFill/>
    <a:ln>
      <a:noFill/>
    </a:ln>
  </c:sp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6980056980056981E-2"/>
          <c:y val="0.1419070482043403"/>
          <c:w val="0.87183906498867225"/>
          <c:h val="0.68072210485884388"/>
        </c:manualLayout>
      </c:layout>
      <c:barChart>
        <c:barDir val="col"/>
        <c:grouping val="clustered"/>
        <c:varyColors val="0"/>
        <c:ser>
          <c:idx val="0"/>
          <c:order val="0"/>
          <c:tx>
            <c:strRef>
              <c:f>Sheet1!$B$1</c:f>
              <c:strCache>
                <c:ptCount val="1"/>
                <c:pt idx="0">
                  <c:v>上市公司总体</c:v>
                </c:pt>
              </c:strCache>
            </c:strRef>
          </c:tx>
          <c:spPr>
            <a:solidFill>
              <a:schemeClr val="bg1">
                <a:lumMod val="75000"/>
              </a:schemeClr>
            </a:solidFill>
          </c:spPr>
          <c:invertIfNegative val="0"/>
          <c:dLbls>
            <c:numFmt formatCode="0.0%" sourceLinked="0"/>
            <c:spPr>
              <a:noFill/>
              <a:ln>
                <a:noFill/>
              </a:ln>
              <a:effectLst/>
            </c:spPr>
            <c:txPr>
              <a:bodyPr/>
              <a:lstStyle/>
              <a:p>
                <a:pPr>
                  <a:defRPr b="1"/>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所得税增速</c:v>
                </c:pt>
                <c:pt idx="1">
                  <c:v>期末员工数增速</c:v>
                </c:pt>
                <c:pt idx="2">
                  <c:v>工资薪酬增速</c:v>
                </c:pt>
              </c:strCache>
            </c:strRef>
          </c:cat>
          <c:val>
            <c:numRef>
              <c:f>Sheet1!$B$2:$B$4</c:f>
              <c:numCache>
                <c:formatCode>0.0%</c:formatCode>
                <c:ptCount val="3"/>
                <c:pt idx="0">
                  <c:v>5.8637239616066594E-2</c:v>
                </c:pt>
                <c:pt idx="1">
                  <c:v>5.0406386094146674E-2</c:v>
                </c:pt>
                <c:pt idx="2">
                  <c:v>0.12919456812080946</c:v>
                </c:pt>
              </c:numCache>
            </c:numRef>
          </c:val>
        </c:ser>
        <c:ser>
          <c:idx val="1"/>
          <c:order val="1"/>
          <c:tx>
            <c:strRef>
              <c:f>Sheet1!$C$1</c:f>
              <c:strCache>
                <c:ptCount val="1"/>
                <c:pt idx="0">
                  <c:v>战略性新兴产业上市公司</c:v>
                </c:pt>
              </c:strCache>
            </c:strRef>
          </c:tx>
          <c:spPr>
            <a:solidFill>
              <a:schemeClr val="accent1"/>
            </a:solidFill>
          </c:spPr>
          <c:invertIfNegative val="0"/>
          <c:dLbls>
            <c:numFmt formatCode="0.0%" sourceLinked="0"/>
            <c:spPr>
              <a:noFill/>
              <a:ln>
                <a:noFill/>
              </a:ln>
              <a:effectLst/>
            </c:spPr>
            <c:txPr>
              <a:bodyPr/>
              <a:lstStyle/>
              <a:p>
                <a:pPr>
                  <a:defRPr b="1"/>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所得税增速</c:v>
                </c:pt>
                <c:pt idx="1">
                  <c:v>期末员工数增速</c:v>
                </c:pt>
                <c:pt idx="2">
                  <c:v>工资薪酬增速</c:v>
                </c:pt>
              </c:strCache>
            </c:strRef>
          </c:cat>
          <c:val>
            <c:numRef>
              <c:f>Sheet1!$C$2:$C$4</c:f>
              <c:numCache>
                <c:formatCode>0.0%</c:formatCode>
                <c:ptCount val="3"/>
                <c:pt idx="0">
                  <c:v>0.16784011771417484</c:v>
                </c:pt>
                <c:pt idx="1">
                  <c:v>0.12003426005355142</c:v>
                </c:pt>
                <c:pt idx="2">
                  <c:v>0.18958824963931475</c:v>
                </c:pt>
              </c:numCache>
            </c:numRef>
          </c:val>
        </c:ser>
        <c:dLbls>
          <c:showLegendKey val="0"/>
          <c:showVal val="0"/>
          <c:showCatName val="0"/>
          <c:showSerName val="0"/>
          <c:showPercent val="0"/>
          <c:showBubbleSize val="0"/>
        </c:dLbls>
        <c:gapWidth val="150"/>
        <c:axId val="363861888"/>
        <c:axId val="363863424"/>
      </c:barChart>
      <c:catAx>
        <c:axId val="363861888"/>
        <c:scaling>
          <c:orientation val="minMax"/>
        </c:scaling>
        <c:delete val="0"/>
        <c:axPos val="b"/>
        <c:numFmt formatCode="General" sourceLinked="0"/>
        <c:majorTickMark val="out"/>
        <c:minorTickMark val="none"/>
        <c:tickLblPos val="nextTo"/>
        <c:txPr>
          <a:bodyPr/>
          <a:lstStyle/>
          <a:p>
            <a:pPr>
              <a:defRPr sz="1050" b="1"/>
            </a:pPr>
            <a:endParaRPr lang="zh-CN"/>
          </a:p>
        </c:txPr>
        <c:crossAx val="363863424"/>
        <c:crosses val="autoZero"/>
        <c:auto val="1"/>
        <c:lblAlgn val="ctr"/>
        <c:lblOffset val="100"/>
        <c:noMultiLvlLbl val="0"/>
      </c:catAx>
      <c:valAx>
        <c:axId val="363863424"/>
        <c:scaling>
          <c:orientation val="minMax"/>
          <c:max val="0.25"/>
        </c:scaling>
        <c:delete val="1"/>
        <c:axPos val="l"/>
        <c:majorGridlines>
          <c:spPr>
            <a:ln>
              <a:noFill/>
            </a:ln>
          </c:spPr>
        </c:majorGridlines>
        <c:numFmt formatCode="0.0%" sourceLinked="1"/>
        <c:majorTickMark val="out"/>
        <c:minorTickMark val="none"/>
        <c:tickLblPos val="none"/>
        <c:crossAx val="363861888"/>
        <c:crosses val="autoZero"/>
        <c:crossBetween val="between"/>
      </c:valAx>
    </c:plotArea>
    <c:legend>
      <c:legendPos val="r"/>
      <c:layout>
        <c:manualLayout>
          <c:xMode val="edge"/>
          <c:yMode val="edge"/>
          <c:x val="0.15958835273795932"/>
          <c:y val="5.2805362139649897E-2"/>
          <c:w val="0.65522646207685575"/>
          <c:h val="0.11752977158846879"/>
        </c:manualLayout>
      </c:layout>
      <c:overlay val="0"/>
    </c:legend>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
          <c:y val="0.11442348776170422"/>
          <c:w val="0.99825150687645758"/>
          <c:h val="0.62374558994079277"/>
        </c:manualLayout>
      </c:layout>
      <c:barChart>
        <c:barDir val="col"/>
        <c:grouping val="clustered"/>
        <c:varyColors val="0"/>
        <c:ser>
          <c:idx val="0"/>
          <c:order val="0"/>
          <c:tx>
            <c:strRef>
              <c:f>Sheet1!$B$1</c:f>
              <c:strCache>
                <c:ptCount val="1"/>
                <c:pt idx="0">
                  <c:v>2014</c:v>
                </c:pt>
              </c:strCache>
            </c:strRef>
          </c:tx>
          <c:spPr>
            <a:solidFill>
              <a:schemeClr val="bg1">
                <a:lumMod val="85000"/>
              </a:schemeClr>
            </a:solidFill>
          </c:spPr>
          <c:invertIfNegative val="0"/>
          <c:dPt>
            <c:idx val="6"/>
            <c:invertIfNegative val="0"/>
            <c:bubble3D val="0"/>
            <c:spPr>
              <a:solidFill>
                <a:schemeClr val="bg1">
                  <a:lumMod val="65000"/>
                </a:schemeClr>
              </a:solidFill>
            </c:spPr>
          </c:dPt>
          <c:dPt>
            <c:idx val="7"/>
            <c:invertIfNegative val="0"/>
            <c:bubble3D val="0"/>
            <c:spPr>
              <a:solidFill>
                <a:schemeClr val="bg1">
                  <a:lumMod val="65000"/>
                </a:schemeClr>
              </a:solidFill>
            </c:spPr>
          </c:dPt>
          <c:dLbls>
            <c:dLbl>
              <c:idx val="3"/>
              <c:layout>
                <c:manualLayout>
                  <c:x val="-8.0310534065052026E-3"/>
                  <c:y val="4.9627791563275438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8.0310534065051488E-3"/>
                  <c:y val="2.2056796250344585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1.6062106813010322E-2"/>
                  <c:y val="3.3085194375516915E-2"/>
                </c:manualLayout>
              </c:layout>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a:noFill/>
              </a:ln>
              <a:effectLst/>
            </c:spPr>
            <c:txPr>
              <a:bodyPr/>
              <a:lstStyle/>
              <a:p>
                <a:pPr>
                  <a:defRPr sz="900" b="1">
                    <a:solidFill>
                      <a:sysClr val="windowText" lastClr="000000"/>
                    </a:solidFill>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新能源</c:v>
                </c:pt>
                <c:pt idx="1">
                  <c:v>高端装备</c:v>
                </c:pt>
                <c:pt idx="2">
                  <c:v>新一代
信息技术</c:v>
                </c:pt>
                <c:pt idx="3">
                  <c:v>节能环保</c:v>
                </c:pt>
                <c:pt idx="4">
                  <c:v>生物</c:v>
                </c:pt>
                <c:pt idx="5">
                  <c:v>新材料</c:v>
                </c:pt>
                <c:pt idx="6">
                  <c:v>战新总体</c:v>
                </c:pt>
                <c:pt idx="7">
                  <c:v>上市公司
总体</c:v>
                </c:pt>
              </c:strCache>
            </c:strRef>
          </c:cat>
          <c:val>
            <c:numRef>
              <c:f>Sheet1!$B$2:$B$9</c:f>
              <c:numCache>
                <c:formatCode>0.0%</c:formatCode>
                <c:ptCount val="8"/>
                <c:pt idx="0">
                  <c:v>0.19600000000000001</c:v>
                </c:pt>
                <c:pt idx="1">
                  <c:v>0.189</c:v>
                </c:pt>
                <c:pt idx="2">
                  <c:v>0.16200000000000001</c:v>
                </c:pt>
                <c:pt idx="3">
                  <c:v>0.23</c:v>
                </c:pt>
                <c:pt idx="4">
                  <c:v>0.121</c:v>
                </c:pt>
                <c:pt idx="5">
                  <c:v>1.4999999999999999E-2</c:v>
                </c:pt>
                <c:pt idx="6">
                  <c:v>0.152</c:v>
                </c:pt>
                <c:pt idx="7">
                  <c:v>6.2E-2</c:v>
                </c:pt>
              </c:numCache>
            </c:numRef>
          </c:val>
        </c:ser>
        <c:ser>
          <c:idx val="1"/>
          <c:order val="1"/>
          <c:tx>
            <c:strRef>
              <c:f>Sheet1!$C$1</c:f>
              <c:strCache>
                <c:ptCount val="1"/>
                <c:pt idx="0">
                  <c:v>2015</c:v>
                </c:pt>
              </c:strCache>
            </c:strRef>
          </c:tx>
          <c:spPr>
            <a:solidFill>
              <a:schemeClr val="accent1"/>
            </a:solidFill>
          </c:spPr>
          <c:invertIfNegative val="0"/>
          <c:dPt>
            <c:idx val="6"/>
            <c:invertIfNegative val="0"/>
            <c:bubble3D val="0"/>
            <c:spPr>
              <a:solidFill>
                <a:schemeClr val="tx2">
                  <a:lumMod val="40000"/>
                  <a:lumOff val="60000"/>
                </a:schemeClr>
              </a:solidFill>
            </c:spPr>
          </c:dPt>
          <c:dPt>
            <c:idx val="7"/>
            <c:invertIfNegative val="0"/>
            <c:bubble3D val="0"/>
            <c:spPr>
              <a:solidFill>
                <a:schemeClr val="tx2">
                  <a:lumMod val="40000"/>
                  <a:lumOff val="60000"/>
                </a:schemeClr>
              </a:solidFill>
            </c:spPr>
          </c:dPt>
          <c:dLbls>
            <c:dLbl>
              <c:idx val="3"/>
              <c:layout>
                <c:manualLayout>
                  <c:x val="1.6062106813010273E-2"/>
                  <c:y val="1.6542597187758478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0708071208673455E-2"/>
                  <c:y val="1.102839812517222E-2"/>
                </c:manualLayout>
              </c:layout>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a:noFill/>
              </a:ln>
              <a:effectLst/>
            </c:spPr>
            <c:txPr>
              <a:bodyPr/>
              <a:lstStyle/>
              <a:p>
                <a:pPr>
                  <a:defRPr sz="900" b="1">
                    <a:solidFill>
                      <a:sysClr val="windowText" lastClr="000000"/>
                    </a:solidFill>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新能源</c:v>
                </c:pt>
                <c:pt idx="1">
                  <c:v>高端装备</c:v>
                </c:pt>
                <c:pt idx="2">
                  <c:v>新一代
信息技术</c:v>
                </c:pt>
                <c:pt idx="3">
                  <c:v>节能环保</c:v>
                </c:pt>
                <c:pt idx="4">
                  <c:v>生物</c:v>
                </c:pt>
                <c:pt idx="5">
                  <c:v>新材料</c:v>
                </c:pt>
                <c:pt idx="6">
                  <c:v>战新总体</c:v>
                </c:pt>
                <c:pt idx="7">
                  <c:v>上市公司
总体</c:v>
                </c:pt>
              </c:strCache>
            </c:strRef>
          </c:cat>
          <c:val>
            <c:numRef>
              <c:f>Sheet1!$C$2:$C$9</c:f>
              <c:numCache>
                <c:formatCode>0.0%</c:formatCode>
                <c:ptCount val="8"/>
                <c:pt idx="0">
                  <c:v>0.252</c:v>
                </c:pt>
                <c:pt idx="1">
                  <c:v>4.3999999999999997E-2</c:v>
                </c:pt>
                <c:pt idx="2">
                  <c:v>0.22600000000000001</c:v>
                </c:pt>
                <c:pt idx="3">
                  <c:v>0.23699999999999999</c:v>
                </c:pt>
                <c:pt idx="4">
                  <c:v>0.14000000000000001</c:v>
                </c:pt>
                <c:pt idx="5">
                  <c:v>4.0000000000000001E-3</c:v>
                </c:pt>
                <c:pt idx="6">
                  <c:v>0.16400000000000001</c:v>
                </c:pt>
                <c:pt idx="7">
                  <c:v>1.0999999999999999E-2</c:v>
                </c:pt>
              </c:numCache>
            </c:numRef>
          </c:val>
        </c:ser>
        <c:dLbls>
          <c:showLegendKey val="0"/>
          <c:showVal val="0"/>
          <c:showCatName val="0"/>
          <c:showSerName val="0"/>
          <c:showPercent val="0"/>
          <c:showBubbleSize val="0"/>
        </c:dLbls>
        <c:gapWidth val="150"/>
        <c:axId val="348219264"/>
        <c:axId val="348220800"/>
      </c:barChart>
      <c:catAx>
        <c:axId val="348219264"/>
        <c:scaling>
          <c:orientation val="minMax"/>
        </c:scaling>
        <c:delete val="0"/>
        <c:axPos val="b"/>
        <c:numFmt formatCode="General" sourceLinked="0"/>
        <c:majorTickMark val="out"/>
        <c:minorTickMark val="none"/>
        <c:tickLblPos val="nextTo"/>
        <c:txPr>
          <a:bodyPr/>
          <a:lstStyle/>
          <a:p>
            <a:pPr>
              <a:defRPr sz="900" b="0"/>
            </a:pPr>
            <a:endParaRPr lang="zh-CN"/>
          </a:p>
        </c:txPr>
        <c:crossAx val="348220800"/>
        <c:crosses val="autoZero"/>
        <c:auto val="1"/>
        <c:lblAlgn val="ctr"/>
        <c:lblOffset val="100"/>
        <c:noMultiLvlLbl val="0"/>
      </c:catAx>
      <c:valAx>
        <c:axId val="348220800"/>
        <c:scaling>
          <c:orientation val="minMax"/>
          <c:max val="0.30000000000000027"/>
        </c:scaling>
        <c:delete val="1"/>
        <c:axPos val="l"/>
        <c:majorGridlines>
          <c:spPr>
            <a:ln>
              <a:noFill/>
            </a:ln>
          </c:spPr>
        </c:majorGridlines>
        <c:numFmt formatCode="0.0%" sourceLinked="1"/>
        <c:majorTickMark val="out"/>
        <c:minorTickMark val="none"/>
        <c:tickLblPos val="none"/>
        <c:crossAx val="348219264"/>
        <c:crosses val="autoZero"/>
        <c:crossBetween val="between"/>
      </c:valAx>
      <c:spPr>
        <a:noFill/>
      </c:spPr>
    </c:plotArea>
    <c:legend>
      <c:legendPos val="r"/>
      <c:layout>
        <c:manualLayout>
          <c:xMode val="edge"/>
          <c:yMode val="edge"/>
          <c:x val="0.78515163581713787"/>
          <c:y val="2.0358664469266919E-2"/>
          <c:w val="0.20339229211356741"/>
          <c:h val="0.16907086614173228"/>
        </c:manualLayout>
      </c:layout>
      <c:overlay val="0"/>
    </c:legend>
    <c:plotVisOnly val="1"/>
    <c:dispBlanksAs val="gap"/>
    <c:showDLblsOverMax val="0"/>
  </c:chart>
  <c:spPr>
    <a:noFill/>
    <a:ln>
      <a:noFill/>
    </a:ln>
  </c:sp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6387637892127022E-2"/>
          <c:y val="0.12581823613511733"/>
          <c:w val="0.87183906498867259"/>
          <c:h val="0.58560612850222937"/>
        </c:manualLayout>
      </c:layout>
      <c:barChart>
        <c:barDir val="col"/>
        <c:grouping val="clustered"/>
        <c:varyColors val="0"/>
        <c:ser>
          <c:idx val="0"/>
          <c:order val="0"/>
          <c:tx>
            <c:strRef>
              <c:f>Sheet1!$B$1</c:f>
              <c:strCache>
                <c:ptCount val="1"/>
                <c:pt idx="0">
                  <c:v>民营企业</c:v>
                </c:pt>
              </c:strCache>
            </c:strRef>
          </c:tx>
          <c:spPr>
            <a:solidFill>
              <a:schemeClr val="bg1">
                <a:lumMod val="75000"/>
              </a:schemeClr>
            </a:solidFill>
          </c:spPr>
          <c:invertIfNegative val="0"/>
          <c:dLbls>
            <c:numFmt formatCode="0.0%" sourceLinked="0"/>
            <c:spPr>
              <a:noFill/>
              <a:ln>
                <a:noFill/>
              </a:ln>
              <a:effectLst/>
            </c:spPr>
            <c:txPr>
              <a:bodyPr/>
              <a:lstStyle/>
              <a:p>
                <a:pPr>
                  <a:defRPr b="1"/>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营收增速
2013</c:v>
                </c:pt>
                <c:pt idx="1">
                  <c:v>营收增速
2014</c:v>
                </c:pt>
                <c:pt idx="2">
                  <c:v>营收增速
2015</c:v>
                </c:pt>
                <c:pt idx="4">
                  <c:v>利润增速
2013</c:v>
                </c:pt>
                <c:pt idx="5">
                  <c:v>利润增速
2014</c:v>
                </c:pt>
                <c:pt idx="6">
                  <c:v>利润增速
2015</c:v>
                </c:pt>
              </c:strCache>
            </c:strRef>
          </c:cat>
          <c:val>
            <c:numRef>
              <c:f>Sheet1!$B$2:$B$8</c:f>
              <c:numCache>
                <c:formatCode>0.0%</c:formatCode>
                <c:ptCount val="7"/>
                <c:pt idx="0">
                  <c:v>0.17051936074032145</c:v>
                </c:pt>
                <c:pt idx="1">
                  <c:v>0.19196523807283933</c:v>
                </c:pt>
                <c:pt idx="2">
                  <c:v>0.22953259142597449</c:v>
                </c:pt>
                <c:pt idx="4">
                  <c:v>0.18270789977944299</c:v>
                </c:pt>
                <c:pt idx="5">
                  <c:v>0.21587381269106598</c:v>
                </c:pt>
                <c:pt idx="6">
                  <c:v>0.27340839574903741</c:v>
                </c:pt>
              </c:numCache>
            </c:numRef>
          </c:val>
        </c:ser>
        <c:ser>
          <c:idx val="1"/>
          <c:order val="1"/>
          <c:tx>
            <c:strRef>
              <c:f>Sheet1!$C$1</c:f>
              <c:strCache>
                <c:ptCount val="1"/>
                <c:pt idx="0">
                  <c:v>国有企业</c:v>
                </c:pt>
              </c:strCache>
            </c:strRef>
          </c:tx>
          <c:spPr>
            <a:solidFill>
              <a:schemeClr val="accent1"/>
            </a:solidFill>
          </c:spPr>
          <c:invertIfNegative val="0"/>
          <c:dLbls>
            <c:numFmt formatCode="0.0%" sourceLinked="0"/>
            <c:spPr>
              <a:noFill/>
              <a:ln>
                <a:noFill/>
              </a:ln>
              <a:effectLst/>
            </c:spPr>
            <c:txPr>
              <a:bodyPr/>
              <a:lstStyle/>
              <a:p>
                <a:pPr>
                  <a:defRPr b="1"/>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营收增速
2013</c:v>
                </c:pt>
                <c:pt idx="1">
                  <c:v>营收增速
2014</c:v>
                </c:pt>
                <c:pt idx="2">
                  <c:v>营收增速
2015</c:v>
                </c:pt>
                <c:pt idx="4">
                  <c:v>利润增速
2013</c:v>
                </c:pt>
                <c:pt idx="5">
                  <c:v>利润增速
2014</c:v>
                </c:pt>
                <c:pt idx="6">
                  <c:v>利润增速
2015</c:v>
                </c:pt>
              </c:strCache>
            </c:strRef>
          </c:cat>
          <c:val>
            <c:numRef>
              <c:f>Sheet1!$C$2:$C$8</c:f>
              <c:numCache>
                <c:formatCode>0.0%</c:formatCode>
                <c:ptCount val="7"/>
                <c:pt idx="0">
                  <c:v>9.9248302342286432E-2</c:v>
                </c:pt>
                <c:pt idx="1">
                  <c:v>0.11729044848994538</c:v>
                </c:pt>
                <c:pt idx="2">
                  <c:v>6.5173610910815236E-2</c:v>
                </c:pt>
                <c:pt idx="4">
                  <c:v>0.16494857771177784</c:v>
                </c:pt>
                <c:pt idx="5">
                  <c:v>0.19399314248940494</c:v>
                </c:pt>
                <c:pt idx="6">
                  <c:v>-3.6155188536662115E-2</c:v>
                </c:pt>
              </c:numCache>
            </c:numRef>
          </c:val>
        </c:ser>
        <c:dLbls>
          <c:showLegendKey val="0"/>
          <c:showVal val="0"/>
          <c:showCatName val="0"/>
          <c:showSerName val="0"/>
          <c:showPercent val="0"/>
          <c:showBubbleSize val="0"/>
        </c:dLbls>
        <c:gapWidth val="150"/>
        <c:axId val="364643456"/>
        <c:axId val="364644992"/>
      </c:barChart>
      <c:catAx>
        <c:axId val="364643456"/>
        <c:scaling>
          <c:orientation val="minMax"/>
        </c:scaling>
        <c:delete val="0"/>
        <c:axPos val="b"/>
        <c:numFmt formatCode="General" sourceLinked="0"/>
        <c:majorTickMark val="out"/>
        <c:minorTickMark val="none"/>
        <c:tickLblPos val="low"/>
        <c:txPr>
          <a:bodyPr/>
          <a:lstStyle/>
          <a:p>
            <a:pPr>
              <a:defRPr sz="1050" b="0"/>
            </a:pPr>
            <a:endParaRPr lang="zh-CN"/>
          </a:p>
        </c:txPr>
        <c:crossAx val="364644992"/>
        <c:crosses val="autoZero"/>
        <c:auto val="1"/>
        <c:lblAlgn val="ctr"/>
        <c:lblOffset val="100"/>
        <c:noMultiLvlLbl val="0"/>
      </c:catAx>
      <c:valAx>
        <c:axId val="364644992"/>
        <c:scaling>
          <c:orientation val="minMax"/>
          <c:max val="0.3500000000000002"/>
        </c:scaling>
        <c:delete val="1"/>
        <c:axPos val="l"/>
        <c:majorGridlines>
          <c:spPr>
            <a:ln>
              <a:noFill/>
            </a:ln>
          </c:spPr>
        </c:majorGridlines>
        <c:numFmt formatCode="0.0%" sourceLinked="1"/>
        <c:majorTickMark val="out"/>
        <c:minorTickMark val="none"/>
        <c:tickLblPos val="none"/>
        <c:crossAx val="364643456"/>
        <c:crosses val="autoZero"/>
        <c:crossBetween val="between"/>
      </c:valAx>
    </c:plotArea>
    <c:legend>
      <c:legendPos val="r"/>
      <c:layout>
        <c:manualLayout>
          <c:xMode val="edge"/>
          <c:yMode val="edge"/>
          <c:x val="0.29696080425371202"/>
          <c:y val="3.5739069201715642E-2"/>
          <c:w val="0.37724361023137776"/>
          <c:h val="0.11752977158846879"/>
        </c:manualLayout>
      </c:layout>
      <c:overlay val="0"/>
    </c:legend>
    <c:plotVisOnly val="1"/>
    <c:dispBlanksAs val="gap"/>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
          <c:y val="9.4246166597596354E-2"/>
          <c:w val="0.99825150687645758"/>
          <c:h val="0.70887581157618451"/>
        </c:manualLayout>
      </c:layout>
      <c:barChart>
        <c:barDir val="col"/>
        <c:grouping val="clustered"/>
        <c:varyColors val="0"/>
        <c:ser>
          <c:idx val="0"/>
          <c:order val="0"/>
          <c:tx>
            <c:strRef>
              <c:f>Sheet1!$B$1</c:f>
              <c:strCache>
                <c:ptCount val="1"/>
                <c:pt idx="0">
                  <c:v>2014</c:v>
                </c:pt>
              </c:strCache>
            </c:strRef>
          </c:tx>
          <c:spPr>
            <a:solidFill>
              <a:schemeClr val="bg1">
                <a:lumMod val="85000"/>
              </a:schemeClr>
            </a:solidFill>
          </c:spPr>
          <c:invertIfNegative val="0"/>
          <c:dLbls>
            <c:dLbl>
              <c:idx val="3"/>
              <c:layout>
                <c:manualLayout>
                  <c:x val="-8.0310534065052026E-3"/>
                  <c:y val="4.9627791563275438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8.0310534065051488E-3"/>
                  <c:y val="2.2056796250344585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1.6062106813010322E-2"/>
                  <c:y val="3.3085194375516915E-2"/>
                </c:manualLayout>
              </c:layout>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a:noFill/>
              </a:ln>
              <a:effectLst/>
            </c:spPr>
            <c:txPr>
              <a:bodyPr/>
              <a:lstStyle/>
              <a:p>
                <a:pPr>
                  <a:defRPr b="1">
                    <a:solidFill>
                      <a:sysClr val="windowText" lastClr="000000"/>
                    </a:solidFill>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轨道交通装备</c:v>
                </c:pt>
                <c:pt idx="1">
                  <c:v>海洋工程装备</c:v>
                </c:pt>
                <c:pt idx="2">
                  <c:v>航空装备</c:v>
                </c:pt>
                <c:pt idx="3">
                  <c:v>卫星及其应用</c:v>
                </c:pt>
                <c:pt idx="4">
                  <c:v>智能制造</c:v>
                </c:pt>
              </c:strCache>
            </c:strRef>
          </c:cat>
          <c:val>
            <c:numRef>
              <c:f>Sheet1!$B$2:$B$6</c:f>
              <c:numCache>
                <c:formatCode>0.0%</c:formatCode>
                <c:ptCount val="5"/>
                <c:pt idx="0">
                  <c:v>0.1466745335868172</c:v>
                </c:pt>
                <c:pt idx="1">
                  <c:v>0.13696498866359491</c:v>
                </c:pt>
                <c:pt idx="2">
                  <c:v>0.43083230795326866</c:v>
                </c:pt>
                <c:pt idx="3">
                  <c:v>0.11732971249561452</c:v>
                </c:pt>
                <c:pt idx="4">
                  <c:v>0.11648409182236807</c:v>
                </c:pt>
              </c:numCache>
            </c:numRef>
          </c:val>
        </c:ser>
        <c:ser>
          <c:idx val="1"/>
          <c:order val="1"/>
          <c:tx>
            <c:strRef>
              <c:f>Sheet1!$C$1</c:f>
              <c:strCache>
                <c:ptCount val="1"/>
                <c:pt idx="0">
                  <c:v>2015</c:v>
                </c:pt>
              </c:strCache>
            </c:strRef>
          </c:tx>
          <c:spPr>
            <a:solidFill>
              <a:schemeClr val="accent1"/>
            </a:solidFill>
          </c:spPr>
          <c:invertIfNegative val="0"/>
          <c:dLbls>
            <c:dLbl>
              <c:idx val="3"/>
              <c:layout>
                <c:manualLayout>
                  <c:x val="1.6062106813010273E-2"/>
                  <c:y val="1.6542597187758478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0708071208673455E-2"/>
                  <c:y val="1.102839812517222E-2"/>
                </c:manualLayout>
              </c:layout>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a:noFill/>
              </a:ln>
              <a:effectLst/>
            </c:spPr>
            <c:txPr>
              <a:bodyPr/>
              <a:lstStyle/>
              <a:p>
                <a:pPr>
                  <a:defRPr b="1">
                    <a:solidFill>
                      <a:sysClr val="windowText" lastClr="000000"/>
                    </a:solidFill>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轨道交通装备</c:v>
                </c:pt>
                <c:pt idx="1">
                  <c:v>海洋工程装备</c:v>
                </c:pt>
                <c:pt idx="2">
                  <c:v>航空装备</c:v>
                </c:pt>
                <c:pt idx="3">
                  <c:v>卫星及其应用</c:v>
                </c:pt>
                <c:pt idx="4">
                  <c:v>智能制造</c:v>
                </c:pt>
              </c:strCache>
            </c:strRef>
          </c:cat>
          <c:val>
            <c:numRef>
              <c:f>Sheet1!$C$2:$C$6</c:f>
              <c:numCache>
                <c:formatCode>0.0%</c:formatCode>
                <c:ptCount val="5"/>
                <c:pt idx="0">
                  <c:v>7.7600999158127959E-2</c:v>
                </c:pt>
                <c:pt idx="1">
                  <c:v>-0.16451231973962521</c:v>
                </c:pt>
                <c:pt idx="2">
                  <c:v>1.0396525684307729E-2</c:v>
                </c:pt>
                <c:pt idx="3">
                  <c:v>0.1688130706014459</c:v>
                </c:pt>
                <c:pt idx="4">
                  <c:v>8.6537881594173388E-2</c:v>
                </c:pt>
              </c:numCache>
            </c:numRef>
          </c:val>
        </c:ser>
        <c:dLbls>
          <c:showLegendKey val="0"/>
          <c:showVal val="0"/>
          <c:showCatName val="0"/>
          <c:showSerName val="0"/>
          <c:showPercent val="0"/>
          <c:showBubbleSize val="0"/>
        </c:dLbls>
        <c:gapWidth val="150"/>
        <c:axId val="213517440"/>
        <c:axId val="213518976"/>
      </c:barChart>
      <c:catAx>
        <c:axId val="213517440"/>
        <c:scaling>
          <c:orientation val="minMax"/>
        </c:scaling>
        <c:delete val="0"/>
        <c:axPos val="b"/>
        <c:numFmt formatCode="General" sourceLinked="0"/>
        <c:majorTickMark val="out"/>
        <c:minorTickMark val="none"/>
        <c:tickLblPos val="nextTo"/>
        <c:txPr>
          <a:bodyPr/>
          <a:lstStyle/>
          <a:p>
            <a:pPr>
              <a:defRPr sz="900" b="0"/>
            </a:pPr>
            <a:endParaRPr lang="zh-CN"/>
          </a:p>
        </c:txPr>
        <c:crossAx val="213518976"/>
        <c:crosses val="autoZero"/>
        <c:auto val="1"/>
        <c:lblAlgn val="ctr"/>
        <c:lblOffset val="100"/>
        <c:noMultiLvlLbl val="0"/>
      </c:catAx>
      <c:valAx>
        <c:axId val="213518976"/>
        <c:scaling>
          <c:orientation val="minMax"/>
          <c:max val="0.5"/>
        </c:scaling>
        <c:delete val="1"/>
        <c:axPos val="l"/>
        <c:majorGridlines>
          <c:spPr>
            <a:ln>
              <a:noFill/>
            </a:ln>
          </c:spPr>
        </c:majorGridlines>
        <c:numFmt formatCode="0.0%" sourceLinked="1"/>
        <c:majorTickMark val="out"/>
        <c:minorTickMark val="none"/>
        <c:tickLblPos val="none"/>
        <c:crossAx val="213517440"/>
        <c:crosses val="autoZero"/>
        <c:crossBetween val="between"/>
      </c:valAx>
      <c:spPr>
        <a:noFill/>
      </c:spPr>
    </c:plotArea>
    <c:legend>
      <c:legendPos val="r"/>
      <c:layout>
        <c:manualLayout>
          <c:xMode val="edge"/>
          <c:yMode val="edge"/>
          <c:x val="0.81051492057468733"/>
          <c:y val="1.8957345971563982E-2"/>
          <c:w val="0.18549979445340431"/>
          <c:h val="0.22507494620044535"/>
        </c:manualLayout>
      </c:layout>
      <c:overlay val="0"/>
    </c:legend>
    <c:plotVisOnly val="1"/>
    <c:dispBlanksAs val="gap"/>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
          <c:y val="0"/>
          <c:w val="0.99825150687645758"/>
          <c:h val="0.83119256494923199"/>
        </c:manualLayout>
      </c:layout>
      <c:barChart>
        <c:barDir val="col"/>
        <c:grouping val="clustered"/>
        <c:varyColors val="0"/>
        <c:ser>
          <c:idx val="0"/>
          <c:order val="0"/>
          <c:tx>
            <c:strRef>
              <c:f>Sheet1!$B$1</c:f>
              <c:strCache>
                <c:ptCount val="1"/>
                <c:pt idx="0">
                  <c:v>2013</c:v>
                </c:pt>
              </c:strCache>
            </c:strRef>
          </c:tx>
          <c:spPr>
            <a:solidFill>
              <a:schemeClr val="bg1">
                <a:lumMod val="85000"/>
              </a:schemeClr>
            </a:solidFill>
          </c:spPr>
          <c:invertIfNegative val="0"/>
          <c:dLbls>
            <c:dLbl>
              <c:idx val="0"/>
              <c:layout>
                <c:manualLayout>
                  <c:x val="-7.194244604316548E-3"/>
                  <c:y val="2.1276595744680851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7.1942446043165471E-3"/>
                  <c:y val="2.836879432624106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Sheet1!$A$2:$A$6</c:f>
              <c:strCache>
                <c:ptCount val="5"/>
                <c:pt idx="0">
                  <c:v>西部</c:v>
                </c:pt>
                <c:pt idx="1">
                  <c:v>东部</c:v>
                </c:pt>
                <c:pt idx="2">
                  <c:v>中部</c:v>
                </c:pt>
                <c:pt idx="3">
                  <c:v>东北</c:v>
                </c:pt>
                <c:pt idx="4">
                  <c:v>全国</c:v>
                </c:pt>
              </c:strCache>
            </c:strRef>
          </c:cat>
          <c:val>
            <c:numRef>
              <c:f>Sheet1!$B$2:$B$6</c:f>
              <c:numCache>
                <c:formatCode>0.0%</c:formatCode>
                <c:ptCount val="5"/>
                <c:pt idx="0">
                  <c:v>0.13372524049070122</c:v>
                </c:pt>
                <c:pt idx="1">
                  <c:v>0.13067919238874648</c:v>
                </c:pt>
                <c:pt idx="2">
                  <c:v>0.16496693708773491</c:v>
                </c:pt>
                <c:pt idx="3">
                  <c:v>0.21290998203882761</c:v>
                </c:pt>
                <c:pt idx="4">
                  <c:v>0.13699130960021422</c:v>
                </c:pt>
              </c:numCache>
            </c:numRef>
          </c:val>
        </c:ser>
        <c:ser>
          <c:idx val="1"/>
          <c:order val="1"/>
          <c:tx>
            <c:strRef>
              <c:f>Sheet1!$C$1</c:f>
              <c:strCache>
                <c:ptCount val="1"/>
                <c:pt idx="0">
                  <c:v>2014</c:v>
                </c:pt>
              </c:strCache>
            </c:strRef>
          </c:tx>
          <c:spPr>
            <a:solidFill>
              <a:schemeClr val="bg1">
                <a:lumMod val="65000"/>
              </a:schemeClr>
            </a:solidFill>
          </c:spPr>
          <c:invertIfNegative val="0"/>
          <c:dLbls>
            <c:dLbl>
              <c:idx val="1"/>
              <c:layout>
                <c:manualLayout>
                  <c:x val="0"/>
                  <c:y val="4.2553191489361701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0"/>
                  <c:y val="2.836879432624113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Sheet1!$A$2:$A$6</c:f>
              <c:strCache>
                <c:ptCount val="5"/>
                <c:pt idx="0">
                  <c:v>西部</c:v>
                </c:pt>
                <c:pt idx="1">
                  <c:v>东部</c:v>
                </c:pt>
                <c:pt idx="2">
                  <c:v>中部</c:v>
                </c:pt>
                <c:pt idx="3">
                  <c:v>东北</c:v>
                </c:pt>
                <c:pt idx="4">
                  <c:v>全国</c:v>
                </c:pt>
              </c:strCache>
            </c:strRef>
          </c:cat>
          <c:val>
            <c:numRef>
              <c:f>Sheet1!$C$2:$C$6</c:f>
              <c:numCache>
                <c:formatCode>0.0%</c:formatCode>
                <c:ptCount val="5"/>
                <c:pt idx="0">
                  <c:v>0.21797356902860732</c:v>
                </c:pt>
                <c:pt idx="1">
                  <c:v>0.15016647572948028</c:v>
                </c:pt>
                <c:pt idx="2">
                  <c:v>0.14497246660683039</c:v>
                </c:pt>
                <c:pt idx="3">
                  <c:v>4.6923158993915193E-2</c:v>
                </c:pt>
                <c:pt idx="4">
                  <c:v>0.15200195753960233</c:v>
                </c:pt>
              </c:numCache>
            </c:numRef>
          </c:val>
        </c:ser>
        <c:ser>
          <c:idx val="2"/>
          <c:order val="2"/>
          <c:tx>
            <c:strRef>
              <c:f>Sheet1!$D$1</c:f>
              <c:strCache>
                <c:ptCount val="1"/>
                <c:pt idx="0">
                  <c:v>2015</c:v>
                </c:pt>
              </c:strCache>
            </c:strRef>
          </c:tx>
          <c:spPr>
            <a:solidFill>
              <a:schemeClr val="accent1">
                <a:lumMod val="60000"/>
                <a:lumOff val="40000"/>
              </a:schemeClr>
            </a:solidFill>
          </c:spPr>
          <c:invertIfNegative val="0"/>
          <c:dLbls>
            <c:dLbl>
              <c:idx val="0"/>
              <c:layout>
                <c:manualLayout>
                  <c:x val="1.4388489208633094E-2"/>
                  <c:y val="0"/>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4388489208633138E-2"/>
                  <c:y val="7.0921985815602835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7.1942446043165471E-3"/>
                  <c:y val="7.0921985815602835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1990407673860911E-2"/>
                  <c:y val="1.4184397163120567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9.5923261390887284E-3"/>
                  <c:y val="2.836879432624113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Sheet1!$A$2:$A$6</c:f>
              <c:strCache>
                <c:ptCount val="5"/>
                <c:pt idx="0">
                  <c:v>西部</c:v>
                </c:pt>
                <c:pt idx="1">
                  <c:v>东部</c:v>
                </c:pt>
                <c:pt idx="2">
                  <c:v>中部</c:v>
                </c:pt>
                <c:pt idx="3">
                  <c:v>东北</c:v>
                </c:pt>
                <c:pt idx="4">
                  <c:v>全国</c:v>
                </c:pt>
              </c:strCache>
            </c:strRef>
          </c:cat>
          <c:val>
            <c:numRef>
              <c:f>Sheet1!$D$2:$D$6</c:f>
              <c:numCache>
                <c:formatCode>0.0%</c:formatCode>
                <c:ptCount val="5"/>
                <c:pt idx="0">
                  <c:v>0.18655964894196608</c:v>
                </c:pt>
                <c:pt idx="1">
                  <c:v>0.1692008128010809</c:v>
                </c:pt>
                <c:pt idx="2">
                  <c:v>0.15474822700276003</c:v>
                </c:pt>
                <c:pt idx="3">
                  <c:v>1.0349407565552138E-2</c:v>
                </c:pt>
                <c:pt idx="4">
                  <c:v>0.16376603386674171</c:v>
                </c:pt>
              </c:numCache>
            </c:numRef>
          </c:val>
        </c:ser>
        <c:dLbls>
          <c:showLegendKey val="0"/>
          <c:showVal val="0"/>
          <c:showCatName val="0"/>
          <c:showSerName val="0"/>
          <c:showPercent val="0"/>
          <c:showBubbleSize val="0"/>
        </c:dLbls>
        <c:gapWidth val="150"/>
        <c:axId val="213579264"/>
        <c:axId val="213580800"/>
      </c:barChart>
      <c:catAx>
        <c:axId val="213579264"/>
        <c:scaling>
          <c:orientation val="minMax"/>
        </c:scaling>
        <c:delete val="0"/>
        <c:axPos val="b"/>
        <c:numFmt formatCode="General" sourceLinked="0"/>
        <c:majorTickMark val="out"/>
        <c:minorTickMark val="none"/>
        <c:tickLblPos val="nextTo"/>
        <c:txPr>
          <a:bodyPr/>
          <a:lstStyle/>
          <a:p>
            <a:pPr>
              <a:defRPr sz="900" b="1"/>
            </a:pPr>
            <a:endParaRPr lang="zh-CN"/>
          </a:p>
        </c:txPr>
        <c:crossAx val="213580800"/>
        <c:crosses val="autoZero"/>
        <c:auto val="1"/>
        <c:lblAlgn val="ctr"/>
        <c:lblOffset val="100"/>
        <c:noMultiLvlLbl val="0"/>
      </c:catAx>
      <c:valAx>
        <c:axId val="213580800"/>
        <c:scaling>
          <c:orientation val="minMax"/>
          <c:max val="0.4"/>
        </c:scaling>
        <c:delete val="1"/>
        <c:axPos val="l"/>
        <c:majorGridlines>
          <c:spPr>
            <a:ln>
              <a:noFill/>
            </a:ln>
          </c:spPr>
        </c:majorGridlines>
        <c:numFmt formatCode="0.0%" sourceLinked="1"/>
        <c:majorTickMark val="out"/>
        <c:minorTickMark val="none"/>
        <c:tickLblPos val="none"/>
        <c:crossAx val="213579264"/>
        <c:crosses val="autoZero"/>
        <c:crossBetween val="between"/>
      </c:valAx>
      <c:spPr>
        <a:noFill/>
      </c:spPr>
    </c:plotArea>
    <c:legend>
      <c:legendPos val="r"/>
      <c:layout>
        <c:manualLayout>
          <c:xMode val="edge"/>
          <c:yMode val="edge"/>
          <c:x val="0.22871844256877963"/>
          <c:y val="9.9290780141843976E-2"/>
          <c:w val="0.52466304122056651"/>
          <c:h val="0.1371039258390572"/>
        </c:manualLayout>
      </c:layout>
      <c:overlay val="0"/>
    </c:legend>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698315014377475"/>
          <c:y val="0.12366506270049576"/>
          <c:w val="0.69936181194485469"/>
          <c:h val="0.82820329277022187"/>
        </c:manualLayout>
      </c:layout>
      <c:pieChart>
        <c:varyColors val="1"/>
        <c:ser>
          <c:idx val="0"/>
          <c:order val="0"/>
          <c:tx>
            <c:strRef>
              <c:f>Sheet1!$B$1</c:f>
              <c:strCache>
                <c:ptCount val="1"/>
                <c:pt idx="0">
                  <c:v>利润</c:v>
                </c:pt>
              </c:strCache>
            </c:strRef>
          </c:tx>
          <c:dLbls>
            <c:dLbl>
              <c:idx val="0"/>
              <c:layout>
                <c:manualLayout>
                  <c:x val="-0.16451835896834291"/>
                  <c:y val="-1.279788405528777E-2"/>
                </c:manualLayout>
              </c:layout>
              <c:numFmt formatCode="0.0%" sourceLinked="0"/>
              <c:spPr>
                <a:noFill/>
                <a:ln>
                  <a:noFill/>
                </a:ln>
                <a:effectLst/>
              </c:spPr>
              <c:txPr>
                <a:bodyPr/>
                <a:lstStyle/>
                <a:p>
                  <a:pPr>
                    <a:defRPr b="1">
                      <a:solidFill>
                        <a:schemeClr val="bg1"/>
                      </a:solidFill>
                    </a:defRPr>
                  </a:pPr>
                  <a:endParaRPr lang="zh-CN"/>
                </a:p>
              </c:txPr>
              <c:showLegendKey val="0"/>
              <c:showVal val="1"/>
              <c:showCatName val="1"/>
              <c:showSerName val="0"/>
              <c:showPercent val="0"/>
              <c:showBubbleSize val="0"/>
              <c:extLst>
                <c:ext xmlns:c15="http://schemas.microsoft.com/office/drawing/2012/chart" uri="{CE6537A1-D6FC-4f65-9D91-7224C49458BB}">
                  <c15:layout>
                    <c:manualLayout>
                      <c:w val="0.2781682140478709"/>
                      <c:h val="0.18742348803937639"/>
                    </c:manualLayout>
                  </c15:layout>
                </c:ext>
              </c:extLst>
            </c:dLbl>
            <c:dLbl>
              <c:idx val="2"/>
              <c:layout>
                <c:manualLayout>
                  <c:x val="0.17320841580399088"/>
                  <c:y val="0.21208952128013242"/>
                </c:manualLayout>
              </c:layout>
              <c:showLegendKey val="0"/>
              <c:showVal val="1"/>
              <c:showCatName val="1"/>
              <c:showSerName val="0"/>
              <c:showPercent val="0"/>
              <c:showBubbleSize val="0"/>
              <c:extLst>
                <c:ext xmlns:c15="http://schemas.microsoft.com/office/drawing/2012/chart" uri="{CE6537A1-D6FC-4f65-9D91-7224C49458BB}">
                  <c15:layout>
                    <c:manualLayout>
                      <c:w val="0.25943040702001796"/>
                      <c:h val="0.18742348803937639"/>
                    </c:manualLayout>
                  </c15:layout>
                </c:ext>
              </c:extLst>
            </c:dLbl>
            <c:dLbl>
              <c:idx val="3"/>
              <c:layout>
                <c:manualLayout>
                  <c:x val="-1.0855146792090259E-2"/>
                  <c:y val="5.4888905619248134E-2"/>
                </c:manualLayout>
              </c:layout>
              <c:showLegendKey val="0"/>
              <c:showVal val="1"/>
              <c:showCatName val="1"/>
              <c:showSerName val="0"/>
              <c:showPercent val="0"/>
              <c:showBubbleSize val="0"/>
              <c:extLst>
                <c:ext xmlns:c15="http://schemas.microsoft.com/office/drawing/2012/chart" uri="{CE6537A1-D6FC-4f65-9D91-7224C49458BB}">
                  <c15:layout>
                    <c:manualLayout>
                      <c:w val="0.27266580483409725"/>
                      <c:h val="0.16033662102111468"/>
                    </c:manualLayout>
                  </c15:layout>
                </c:ext>
              </c:extLst>
            </c:dLbl>
            <c:dLbl>
              <c:idx val="4"/>
              <c:layout>
                <c:manualLayout>
                  <c:x val="0.14598205263622807"/>
                  <c:y val="5.3238785280150122E-2"/>
                </c:manualLayout>
              </c:layout>
              <c:tx>
                <c:rich>
                  <a:bodyPr/>
                  <a:lstStyle/>
                  <a:p>
                    <a:pPr>
                      <a:defRPr b="1">
                        <a:solidFill>
                          <a:sysClr val="windowText" lastClr="000000"/>
                        </a:solidFill>
                      </a:defRPr>
                    </a:pPr>
                    <a:fld id="{41C249D3-9221-4B91-89D9-2CBB7D2F4259}" type="CATEGORYNAME">
                      <a:rPr lang="zh-CN" altLang="en-US">
                        <a:solidFill>
                          <a:sysClr val="windowText" lastClr="000000"/>
                        </a:solidFill>
                      </a:rPr>
                      <a:pPr>
                        <a:defRPr b="1">
                          <a:solidFill>
                            <a:sysClr val="windowText" lastClr="000000"/>
                          </a:solidFill>
                        </a:defRPr>
                      </a:pPr>
                      <a:t>[类别名称]</a:t>
                    </a:fld>
                    <a:r>
                      <a:rPr lang="en-US" altLang="zh-CN" baseline="0">
                        <a:solidFill>
                          <a:sysClr val="windowText" lastClr="000000"/>
                        </a:solidFill>
                      </a:rPr>
                      <a:t>, 0.9%</a:t>
                    </a:r>
                  </a:p>
                </c:rich>
              </c:tx>
              <c:numFmt formatCode="0.0%" sourceLinked="0"/>
              <c:spPr>
                <a:noFill/>
                <a:ln>
                  <a:noFill/>
                </a:ln>
                <a:effectLst/>
              </c:spPr>
              <c:showLegendKey val="0"/>
              <c:showVal val="1"/>
              <c:showCatName val="1"/>
              <c:showSerName val="0"/>
              <c:showPercent val="0"/>
              <c:showBubbleSize val="0"/>
              <c:extLst>
                <c:ext xmlns:c15="http://schemas.microsoft.com/office/drawing/2012/chart" uri="{CE6537A1-D6FC-4f65-9D91-7224C49458BB}">
                  <c15:layout>
                    <c:manualLayout>
                      <c:w val="0.27054373800289883"/>
                      <c:h val="0.16401930893238292"/>
                    </c:manualLayout>
                  </c15:layout>
                  <c15:dlblFieldTable/>
                  <c15:showDataLabelsRange val="0"/>
                </c:ext>
              </c:extLst>
            </c:dLbl>
            <c:numFmt formatCode="0.0%" sourceLinked="0"/>
            <c:spPr>
              <a:noFill/>
              <a:ln>
                <a:noFill/>
              </a:ln>
              <a:effectLst/>
            </c:spPr>
            <c:txPr>
              <a:bodyPr/>
              <a:lstStyle/>
              <a:p>
                <a:pPr>
                  <a:defRPr b="1"/>
                </a:pPr>
                <a:endParaRPr lang="zh-CN"/>
              </a:p>
            </c:txPr>
            <c:showLegendKey val="0"/>
            <c:showVal val="1"/>
            <c:showCatName val="1"/>
            <c:showSerName val="0"/>
            <c:showPercent val="0"/>
            <c:showBubbleSize val="0"/>
            <c:showLeaderLines val="1"/>
            <c:extLst>
              <c:ext xmlns:c15="http://schemas.microsoft.com/office/drawing/2012/chart" uri="{CE6537A1-D6FC-4f65-9D91-7224C49458BB}"/>
            </c:extLst>
          </c:dLbls>
          <c:cat>
            <c:strRef>
              <c:f>Sheet1!$A$2:$A$6</c:f>
              <c:strCache>
                <c:ptCount val="5"/>
                <c:pt idx="0">
                  <c:v>民营企业</c:v>
                </c:pt>
                <c:pt idx="1">
                  <c:v>国有企业</c:v>
                </c:pt>
                <c:pt idx="2">
                  <c:v>公众企业</c:v>
                </c:pt>
                <c:pt idx="3">
                  <c:v>外资企业</c:v>
                </c:pt>
                <c:pt idx="4">
                  <c:v>其他企业</c:v>
                </c:pt>
              </c:strCache>
            </c:strRef>
          </c:cat>
          <c:val>
            <c:numRef>
              <c:f>Sheet1!$B$2:$B$6</c:f>
              <c:numCache>
                <c:formatCode>0.0%</c:formatCode>
                <c:ptCount val="5"/>
                <c:pt idx="0">
                  <c:v>0.55182829551435741</c:v>
                </c:pt>
                <c:pt idx="1">
                  <c:v>0.34086540241149565</c:v>
                </c:pt>
                <c:pt idx="2">
                  <c:v>7.9578020390859289E-2</c:v>
                </c:pt>
                <c:pt idx="3">
                  <c:v>1.8245578812170121E-2</c:v>
                </c:pt>
                <c:pt idx="4">
                  <c:v>9.4827028711178766E-3</c:v>
                </c:pt>
              </c:numCache>
            </c:numRef>
          </c:val>
        </c:ser>
        <c:dLbls>
          <c:showLegendKey val="0"/>
          <c:showVal val="0"/>
          <c:showCatName val="0"/>
          <c:showSerName val="0"/>
          <c:showPercent val="0"/>
          <c:showBubbleSize val="0"/>
          <c:showLeaderLines val="1"/>
        </c:dLbls>
        <c:firstSliceAng val="0"/>
      </c:pieChart>
    </c:plotArea>
    <c:plotVisOnly val="1"/>
    <c:dispBlanksAs val="zero"/>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698303419453951"/>
          <c:y val="0.19659968589893981"/>
          <c:w val="0.69936181194485469"/>
          <c:h val="0.82820329277022187"/>
        </c:manualLayout>
      </c:layout>
      <c:pieChart>
        <c:varyColors val="1"/>
        <c:ser>
          <c:idx val="0"/>
          <c:order val="0"/>
          <c:tx>
            <c:strRef>
              <c:f>Sheet1!$B$1</c:f>
              <c:strCache>
                <c:ptCount val="1"/>
                <c:pt idx="0">
                  <c:v>分行业营收</c:v>
                </c:pt>
              </c:strCache>
            </c:strRef>
          </c:tx>
          <c:dLbls>
            <c:dLbl>
              <c:idx val="0"/>
              <c:layout>
                <c:manualLayout>
                  <c:x val="-0.16468421966195837"/>
                  <c:y val="4.1784669108261931E-2"/>
                </c:manualLayout>
              </c:layout>
              <c:showLegendKey val="0"/>
              <c:showVal val="1"/>
              <c:showCatName val="1"/>
              <c:showSerName val="0"/>
              <c:showPercent val="0"/>
              <c:showBubbleSize val="0"/>
              <c:extLst>
                <c:ext xmlns:c15="http://schemas.microsoft.com/office/drawing/2012/chart" uri="{CE6537A1-D6FC-4f65-9D91-7224C49458BB}">
                  <c15:layout>
                    <c:manualLayout>
                      <c:w val="0.27783649266063964"/>
                      <c:h val="0.18742325436192722"/>
                    </c:manualLayout>
                  </c15:layout>
                </c:ext>
              </c:extLst>
            </c:dLbl>
            <c:dLbl>
              <c:idx val="1"/>
              <c:layout>
                <c:manualLayout>
                  <c:x val="0.25563909774436089"/>
                  <c:y val="-0.16526632700324223"/>
                </c:manualLayout>
              </c:layout>
              <c:numFmt formatCode="0.0%" sourceLinked="0"/>
              <c:spPr>
                <a:noFill/>
                <a:ln>
                  <a:noFill/>
                </a:ln>
                <a:effectLst/>
              </c:spPr>
              <c:txPr>
                <a:bodyPr/>
                <a:lstStyle/>
                <a:p>
                  <a:pPr>
                    <a:defRPr b="1">
                      <a:solidFill>
                        <a:schemeClr val="bg1"/>
                      </a:solidFill>
                    </a:defRPr>
                  </a:pPr>
                  <a:endParaRPr lang="zh-CN"/>
                </a:p>
              </c:txPr>
              <c:showLegendKey val="0"/>
              <c:showVal val="1"/>
              <c:showCatName val="1"/>
              <c:showSerName val="0"/>
              <c:showPercent val="0"/>
              <c:showBubbleSize val="0"/>
              <c:extLst>
                <c:ext xmlns:c15="http://schemas.microsoft.com/office/drawing/2012/chart" uri="{CE6537A1-D6FC-4f65-9D91-7224C49458BB}">
                  <c15:layout>
                    <c:manualLayout>
                      <c:w val="0.2957393483709273"/>
                      <c:h val="0.2310924369747899"/>
                    </c:manualLayout>
                  </c15:layout>
                </c:ext>
              </c:extLst>
            </c:dLbl>
            <c:dLbl>
              <c:idx val="2"/>
              <c:layout>
                <c:manualLayout>
                  <c:x val="0.18789430104677662"/>
                  <c:y val="0.21208940444140806"/>
                </c:manualLayout>
              </c:layout>
              <c:showLegendKey val="0"/>
              <c:showVal val="1"/>
              <c:showCatName val="1"/>
              <c:showSerName val="0"/>
              <c:showPercent val="0"/>
              <c:showBubbleSize val="0"/>
              <c:extLst>
                <c:ext xmlns:c15="http://schemas.microsoft.com/office/drawing/2012/chart" uri="{CE6537A1-D6FC-4f65-9D91-7224C49458BB}">
                  <c15:layout>
                    <c:manualLayout>
                      <c:w val="0.28880217750558956"/>
                      <c:h val="0.18742325436192722"/>
                    </c:manualLayout>
                  </c15:layout>
                </c:ext>
              </c:extLst>
            </c:dLbl>
            <c:dLbl>
              <c:idx val="3"/>
              <c:layout>
                <c:manualLayout>
                  <c:x val="1.3431066186049138E-3"/>
                  <c:y val="5.4888606048686339E-2"/>
                </c:manualLayout>
              </c:layout>
              <c:showLegendKey val="0"/>
              <c:showVal val="1"/>
              <c:showCatName val="1"/>
              <c:showSerName val="0"/>
              <c:showPercent val="0"/>
              <c:showBubbleSize val="0"/>
              <c:extLst>
                <c:ext xmlns:c15="http://schemas.microsoft.com/office/drawing/2012/chart" uri="{CE6537A1-D6FC-4f65-9D91-7224C49458BB}">
                  <c15:layout>
                    <c:manualLayout>
                      <c:w val="0.29706231165548752"/>
                      <c:h val="0.16033638003399356"/>
                    </c:manualLayout>
                  </c15:layout>
                </c:ext>
              </c:extLst>
            </c:dLbl>
            <c:dLbl>
              <c:idx val="4"/>
              <c:layout>
                <c:manualLayout>
                  <c:x val="0.143273257509478"/>
                  <c:y val="3.1797408859134894E-2"/>
                </c:manualLayout>
              </c:layout>
              <c:tx>
                <c:rich>
                  <a:bodyPr/>
                  <a:lstStyle/>
                  <a:p>
                    <a:pPr>
                      <a:defRPr b="1">
                        <a:solidFill>
                          <a:sysClr val="windowText" lastClr="000000"/>
                        </a:solidFill>
                      </a:defRPr>
                    </a:pPr>
                    <a:fld id="{41C249D3-9221-4B91-89D9-2CBB7D2F4259}" type="CATEGORYNAME">
                      <a:rPr lang="zh-CN" altLang="en-US">
                        <a:solidFill>
                          <a:sysClr val="windowText" lastClr="000000"/>
                        </a:solidFill>
                      </a:rPr>
                      <a:pPr>
                        <a:defRPr b="1">
                          <a:solidFill>
                            <a:sysClr val="windowText" lastClr="000000"/>
                          </a:solidFill>
                        </a:defRPr>
                      </a:pPr>
                      <a:t>[类别名称]</a:t>
                    </a:fld>
                    <a:r>
                      <a:rPr lang="en-US" altLang="zh-CN" baseline="0">
                        <a:solidFill>
                          <a:sysClr val="windowText" lastClr="000000"/>
                        </a:solidFill>
                      </a:rPr>
                      <a:t>, 7%</a:t>
                    </a:r>
                  </a:p>
                </c:rich>
              </c:tx>
              <c:numFmt formatCode="0.0%" sourceLinked="0"/>
              <c:spPr>
                <a:noFill/>
                <a:ln>
                  <a:noFill/>
                </a:ln>
                <a:effectLst/>
              </c:spPr>
              <c:showLegendKey val="0"/>
              <c:showVal val="1"/>
              <c:showCatName val="1"/>
              <c:showSerName val="0"/>
              <c:showPercent val="0"/>
              <c:showBubbleSize val="0"/>
              <c:extLst>
                <c:ext xmlns:c15="http://schemas.microsoft.com/office/drawing/2012/chart" uri="{CE6537A1-D6FC-4f65-9D91-7224C49458BB}">
                  <c15:layout>
                    <c:manualLayout>
                      <c:w val="0.2849530475357247"/>
                      <c:h val="0.21450709355163203"/>
                    </c:manualLayout>
                  </c15:layout>
                  <c15:dlblFieldTable/>
                  <c15:showDataLabelsRange val="0"/>
                </c:ext>
              </c:extLst>
            </c:dLbl>
            <c:numFmt formatCode="0.0%" sourceLinked="0"/>
            <c:spPr>
              <a:noFill/>
              <a:ln>
                <a:noFill/>
              </a:ln>
              <a:effectLst/>
            </c:spPr>
            <c:txPr>
              <a:bodyPr/>
              <a:lstStyle/>
              <a:p>
                <a:pPr>
                  <a:defRPr b="1"/>
                </a:pPr>
                <a:endParaRPr lang="zh-CN"/>
              </a:p>
            </c:txPr>
            <c:showLegendKey val="0"/>
            <c:showVal val="1"/>
            <c:showCatName val="1"/>
            <c:showSerName val="0"/>
            <c:showPercent val="0"/>
            <c:showBubbleSize val="0"/>
            <c:showLeaderLines val="1"/>
            <c:extLst>
              <c:ext xmlns:c15="http://schemas.microsoft.com/office/drawing/2012/chart" uri="{CE6537A1-D6FC-4f65-9D91-7224C49458BB}"/>
            </c:extLst>
          </c:dLbls>
          <c:cat>
            <c:strRef>
              <c:f>Sheet1!$A$2:$A$6</c:f>
              <c:strCache>
                <c:ptCount val="5"/>
                <c:pt idx="0">
                  <c:v>国有企业</c:v>
                </c:pt>
                <c:pt idx="1">
                  <c:v>民营企业</c:v>
                </c:pt>
                <c:pt idx="2">
                  <c:v>公众企业</c:v>
                </c:pt>
                <c:pt idx="3">
                  <c:v>外资企业</c:v>
                </c:pt>
                <c:pt idx="4">
                  <c:v>其他企业</c:v>
                </c:pt>
              </c:strCache>
            </c:strRef>
          </c:cat>
          <c:val>
            <c:numRef>
              <c:f>Sheet1!$B$2:$B$6</c:f>
              <c:numCache>
                <c:formatCode>0.0%</c:formatCode>
                <c:ptCount val="5"/>
                <c:pt idx="0">
                  <c:v>0.44800709544222017</c:v>
                </c:pt>
                <c:pt idx="1">
                  <c:v>0.40588437254839882</c:v>
                </c:pt>
                <c:pt idx="2">
                  <c:v>0.11291340164953556</c:v>
                </c:pt>
                <c:pt idx="3">
                  <c:v>2.3761040394348634E-2</c:v>
                </c:pt>
                <c:pt idx="4">
                  <c:v>9.4340899654970639E-3</c:v>
                </c:pt>
              </c:numCache>
            </c:numRef>
          </c:val>
        </c:ser>
        <c:dLbls>
          <c:showLegendKey val="0"/>
          <c:showVal val="0"/>
          <c:showCatName val="0"/>
          <c:showSerName val="0"/>
          <c:showPercent val="0"/>
          <c:showBubbleSize val="0"/>
          <c:showLeaderLines val="1"/>
        </c:dLbls>
        <c:firstSliceAng val="0"/>
      </c:pieChart>
    </c:plotArea>
    <c:plotVisOnly val="1"/>
    <c:dispBlanksAs val="zero"/>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
          <c:y val="5.3943529786049466E-2"/>
          <c:w val="0.99825150687645758"/>
          <c:h val="0.7426046289668341"/>
        </c:manualLayout>
      </c:layout>
      <c:barChart>
        <c:barDir val="col"/>
        <c:grouping val="clustered"/>
        <c:varyColors val="0"/>
        <c:ser>
          <c:idx val="0"/>
          <c:order val="0"/>
          <c:tx>
            <c:strRef>
              <c:f>Sheet1!$B$1</c:f>
              <c:strCache>
                <c:ptCount val="1"/>
                <c:pt idx="0">
                  <c:v>2013</c:v>
                </c:pt>
              </c:strCache>
            </c:strRef>
          </c:tx>
          <c:spPr>
            <a:solidFill>
              <a:schemeClr val="bg1">
                <a:lumMod val="85000"/>
              </a:schemeClr>
            </a:solidFill>
          </c:spPr>
          <c:invertIfNegative val="0"/>
          <c:dLbls>
            <c:dLbl>
              <c:idx val="0"/>
              <c:layout>
                <c:manualLayout>
                  <c:x val="-7.2072072072072073E-3"/>
                  <c:y val="4.0404040404040394E-2"/>
                </c:manualLayout>
              </c:layout>
              <c:dLblPos val="outEnd"/>
              <c:showLegendKey val="0"/>
              <c:showVal val="1"/>
              <c:showCatName val="0"/>
              <c:showSerName val="0"/>
              <c:showPercent val="0"/>
              <c:showBubbleSize val="0"/>
              <c:extLst>
                <c:ext xmlns:c15="http://schemas.microsoft.com/office/drawing/2012/chart" uri="{CE6537A1-D6FC-4f65-9D91-7224C49458BB}">
                  <c15:layout>
                    <c:manualLayout>
                      <c:w val="0.26475647300844152"/>
                      <c:h val="0.22149494949494949"/>
                    </c:manualLayout>
                  </c15:layout>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c:f>
              <c:strCache>
                <c:ptCount val="1"/>
                <c:pt idx="0">
                  <c:v>财务费用</c:v>
                </c:pt>
              </c:strCache>
            </c:strRef>
          </c:cat>
          <c:val>
            <c:numRef>
              <c:f>Sheet1!$B$2</c:f>
              <c:numCache>
                <c:formatCode>0.0%</c:formatCode>
                <c:ptCount val="1"/>
                <c:pt idx="0">
                  <c:v>0.17198585078603001</c:v>
                </c:pt>
              </c:numCache>
            </c:numRef>
          </c:val>
        </c:ser>
        <c:ser>
          <c:idx val="1"/>
          <c:order val="1"/>
          <c:tx>
            <c:strRef>
              <c:f>Sheet1!$C$1</c:f>
              <c:strCache>
                <c:ptCount val="1"/>
                <c:pt idx="0">
                  <c:v>2014</c:v>
                </c:pt>
              </c:strCache>
            </c:strRef>
          </c:tx>
          <c:spPr>
            <a:solidFill>
              <a:schemeClr val="bg1">
                <a:lumMod val="65000"/>
              </a:schemeClr>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c:f>
              <c:strCache>
                <c:ptCount val="1"/>
                <c:pt idx="0">
                  <c:v>财务费用</c:v>
                </c:pt>
              </c:strCache>
            </c:strRef>
          </c:cat>
          <c:val>
            <c:numRef>
              <c:f>Sheet1!$C$2</c:f>
              <c:numCache>
                <c:formatCode>0.0%</c:formatCode>
                <c:ptCount val="1"/>
                <c:pt idx="0">
                  <c:v>0.24940730874782685</c:v>
                </c:pt>
              </c:numCache>
            </c:numRef>
          </c:val>
        </c:ser>
        <c:ser>
          <c:idx val="2"/>
          <c:order val="2"/>
          <c:tx>
            <c:strRef>
              <c:f>Sheet1!$D$1</c:f>
              <c:strCache>
                <c:ptCount val="1"/>
                <c:pt idx="0">
                  <c:v>2015</c:v>
                </c:pt>
              </c:strCache>
            </c:strRef>
          </c:tx>
          <c:spPr>
            <a:solidFill>
              <a:schemeClr val="accent1">
                <a:lumMod val="60000"/>
                <a:lumOff val="40000"/>
              </a:schemeClr>
            </a:solidFill>
          </c:spPr>
          <c:invertIfNegative val="0"/>
          <c:dLbls>
            <c:dLbl>
              <c:idx val="0"/>
              <c:layout>
                <c:manualLayout>
                  <c:x val="0"/>
                  <c:y val="7.1588366890380312E-2"/>
                </c:manualLayout>
              </c:layout>
              <c:dLblPos val="outEnd"/>
              <c:showLegendKey val="0"/>
              <c:showVal val="1"/>
              <c:showCatName val="0"/>
              <c:showSerName val="0"/>
              <c:showPercent val="0"/>
              <c:showBubbleSize val="0"/>
              <c:extLst>
                <c:ext xmlns:c15="http://schemas.microsoft.com/office/drawing/2012/chart" uri="{CE6537A1-D6FC-4f65-9D91-7224C49458BB}">
                  <c15:layout>
                    <c:manualLayout>
                      <c:w val="0.25034205859402708"/>
                      <c:h val="0.24527964205816555"/>
                    </c:manualLayout>
                  </c15:layout>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c:f>
              <c:strCache>
                <c:ptCount val="1"/>
                <c:pt idx="0">
                  <c:v>财务费用</c:v>
                </c:pt>
              </c:strCache>
            </c:strRef>
          </c:cat>
          <c:val>
            <c:numRef>
              <c:f>Sheet1!$D$2</c:f>
              <c:numCache>
                <c:formatCode>0.0%</c:formatCode>
                <c:ptCount val="1"/>
                <c:pt idx="0">
                  <c:v>0.11908821159074628</c:v>
                </c:pt>
              </c:numCache>
            </c:numRef>
          </c:val>
        </c:ser>
        <c:dLbls>
          <c:showLegendKey val="0"/>
          <c:showVal val="1"/>
          <c:showCatName val="0"/>
          <c:showSerName val="0"/>
          <c:showPercent val="0"/>
          <c:showBubbleSize val="0"/>
        </c:dLbls>
        <c:gapWidth val="150"/>
        <c:axId val="213930752"/>
        <c:axId val="213932288"/>
      </c:barChart>
      <c:catAx>
        <c:axId val="213930752"/>
        <c:scaling>
          <c:orientation val="minMax"/>
        </c:scaling>
        <c:delete val="0"/>
        <c:axPos val="b"/>
        <c:numFmt formatCode="General" sourceLinked="0"/>
        <c:majorTickMark val="out"/>
        <c:minorTickMark val="none"/>
        <c:tickLblPos val="nextTo"/>
        <c:txPr>
          <a:bodyPr/>
          <a:lstStyle/>
          <a:p>
            <a:pPr>
              <a:defRPr sz="900" b="0"/>
            </a:pPr>
            <a:endParaRPr lang="zh-CN"/>
          </a:p>
        </c:txPr>
        <c:crossAx val="213932288"/>
        <c:crosses val="autoZero"/>
        <c:auto val="1"/>
        <c:lblAlgn val="ctr"/>
        <c:lblOffset val="100"/>
        <c:noMultiLvlLbl val="0"/>
      </c:catAx>
      <c:valAx>
        <c:axId val="213932288"/>
        <c:scaling>
          <c:orientation val="minMax"/>
          <c:min val="0"/>
        </c:scaling>
        <c:delete val="1"/>
        <c:axPos val="l"/>
        <c:majorGridlines>
          <c:spPr>
            <a:ln>
              <a:noFill/>
            </a:ln>
          </c:spPr>
        </c:majorGridlines>
        <c:numFmt formatCode="0.0%" sourceLinked="1"/>
        <c:majorTickMark val="out"/>
        <c:minorTickMark val="none"/>
        <c:tickLblPos val="none"/>
        <c:crossAx val="213930752"/>
        <c:crosses val="autoZero"/>
        <c:crossBetween val="between"/>
      </c:valAx>
      <c:spPr>
        <a:noFill/>
      </c:spPr>
    </c:plotArea>
    <c:plotVisOnly val="1"/>
    <c:dispBlanksAs val="gap"/>
    <c:showDLblsOverMax val="0"/>
  </c:chart>
  <c:spPr>
    <a:noFill/>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
          <c:y val="0.15042241266802989"/>
          <c:w val="0.99825150687645758"/>
          <c:h val="0.64326851408767272"/>
        </c:manualLayout>
      </c:layout>
      <c:barChart>
        <c:barDir val="col"/>
        <c:grouping val="clustered"/>
        <c:varyColors val="0"/>
        <c:ser>
          <c:idx val="0"/>
          <c:order val="0"/>
          <c:tx>
            <c:strRef>
              <c:f>Sheet1!$B$1</c:f>
              <c:strCache>
                <c:ptCount val="1"/>
                <c:pt idx="0">
                  <c:v>2013</c:v>
                </c:pt>
              </c:strCache>
            </c:strRef>
          </c:tx>
          <c:spPr>
            <a:solidFill>
              <a:schemeClr val="bg1">
                <a:lumMod val="85000"/>
              </a:schemeClr>
            </a:solidFill>
          </c:spPr>
          <c:invertIfNegative val="0"/>
          <c:dLbls>
            <c:dLbl>
              <c:idx val="0"/>
              <c:layout>
                <c:manualLayout>
                  <c:x val="6.9808027923210936E-3"/>
                  <c:y val="8.8397790055248684E-2"/>
                </c:manualLayout>
              </c:layout>
              <c:showLegendKey val="0"/>
              <c:showVal val="1"/>
              <c:showCatName val="0"/>
              <c:showSerName val="0"/>
              <c:showPercent val="0"/>
              <c:showBubbleSize val="0"/>
              <c:extLst>
                <c:ext xmlns:c15="http://schemas.microsoft.com/office/drawing/2012/chart" uri="{CE6537A1-D6FC-4f65-9D91-7224C49458BB}">
                  <c15:layout>
                    <c:manualLayout>
                      <c:w val="0.23549710736419727"/>
                      <c:h val="0.20191528545119705"/>
                    </c:manualLayout>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Sheet1!$A$1</c:f>
              <c:strCache>
                <c:ptCount val="1"/>
                <c:pt idx="0">
                  <c:v>管理费用</c:v>
                </c:pt>
              </c:strCache>
            </c:strRef>
          </c:cat>
          <c:val>
            <c:numRef>
              <c:f>Sheet1!$B$2</c:f>
              <c:numCache>
                <c:formatCode>0.0%</c:formatCode>
                <c:ptCount val="1"/>
                <c:pt idx="0">
                  <c:v>0.15173860587994847</c:v>
                </c:pt>
              </c:numCache>
            </c:numRef>
          </c:val>
        </c:ser>
        <c:ser>
          <c:idx val="1"/>
          <c:order val="1"/>
          <c:tx>
            <c:strRef>
              <c:f>Sheet1!$C$1</c:f>
              <c:strCache>
                <c:ptCount val="1"/>
                <c:pt idx="0">
                  <c:v>2014</c:v>
                </c:pt>
              </c:strCache>
            </c:strRef>
          </c:tx>
          <c:spPr>
            <a:solidFill>
              <a:schemeClr val="bg1">
                <a:lumMod val="65000"/>
              </a:schemeClr>
            </a:solidFill>
          </c:spPr>
          <c:invertIfNegative val="0"/>
          <c:dLbls>
            <c:dLbl>
              <c:idx val="0"/>
              <c:layout>
                <c:manualLayout>
                  <c:x val="0"/>
                  <c:y val="4.4198895027624308E-2"/>
                </c:manualLayout>
              </c:layout>
              <c:showLegendKey val="0"/>
              <c:showVal val="1"/>
              <c:showCatName val="0"/>
              <c:showSerName val="0"/>
              <c:showPercent val="0"/>
              <c:showBubbleSize val="0"/>
              <c:extLst>
                <c:ext xmlns:c15="http://schemas.microsoft.com/office/drawing/2012/chart" uri="{CE6537A1-D6FC-4f65-9D91-7224C49458BB}">
                  <c15:layout>
                    <c:manualLayout>
                      <c:w val="0.2424779101565184"/>
                      <c:h val="0.20191528545119705"/>
                    </c:manualLayout>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Sheet1!$A$1</c:f>
              <c:strCache>
                <c:ptCount val="1"/>
                <c:pt idx="0">
                  <c:v>管理费用</c:v>
                </c:pt>
              </c:strCache>
            </c:strRef>
          </c:cat>
          <c:val>
            <c:numRef>
              <c:f>Sheet1!$C$2</c:f>
              <c:numCache>
                <c:formatCode>0.0%</c:formatCode>
                <c:ptCount val="1"/>
                <c:pt idx="0">
                  <c:v>0.17451224599439927</c:v>
                </c:pt>
              </c:numCache>
            </c:numRef>
          </c:val>
        </c:ser>
        <c:ser>
          <c:idx val="2"/>
          <c:order val="2"/>
          <c:tx>
            <c:strRef>
              <c:f>Sheet1!$D$1</c:f>
              <c:strCache>
                <c:ptCount val="1"/>
                <c:pt idx="0">
                  <c:v>2015</c:v>
                </c:pt>
              </c:strCache>
            </c:strRef>
          </c:tx>
          <c:spPr>
            <a:solidFill>
              <a:schemeClr val="accent1">
                <a:lumMod val="60000"/>
                <a:lumOff val="40000"/>
              </a:schemeClr>
            </a:solidFill>
          </c:spPr>
          <c:invertIfNegative val="0"/>
          <c:dLbls>
            <c:dLbl>
              <c:idx val="0"/>
              <c:layout>
                <c:manualLayout>
                  <c:x val="0"/>
                  <c:y val="6.629834254143642E-2"/>
                </c:manualLayout>
              </c:layout>
              <c:showLegendKey val="0"/>
              <c:showVal val="1"/>
              <c:showCatName val="0"/>
              <c:showSerName val="0"/>
              <c:showPercent val="0"/>
              <c:showBubbleSize val="0"/>
              <c:extLst>
                <c:ext xmlns:c15="http://schemas.microsoft.com/office/drawing/2012/chart" uri="{CE6537A1-D6FC-4f65-9D91-7224C49458BB}">
                  <c15:layout>
                    <c:manualLayout>
                      <c:w val="0.29832433249508739"/>
                      <c:h val="0.20191528545119705"/>
                    </c:manualLayout>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Sheet1!$A$1</c:f>
              <c:strCache>
                <c:ptCount val="1"/>
                <c:pt idx="0">
                  <c:v>管理费用</c:v>
                </c:pt>
              </c:strCache>
            </c:strRef>
          </c:cat>
          <c:val>
            <c:numRef>
              <c:f>Sheet1!$D$2</c:f>
              <c:numCache>
                <c:formatCode>0.0%</c:formatCode>
                <c:ptCount val="1"/>
                <c:pt idx="0">
                  <c:v>0.17241807214908789</c:v>
                </c:pt>
              </c:numCache>
            </c:numRef>
          </c:val>
        </c:ser>
        <c:dLbls>
          <c:showLegendKey val="0"/>
          <c:showVal val="0"/>
          <c:showCatName val="0"/>
          <c:showSerName val="0"/>
          <c:showPercent val="0"/>
          <c:showBubbleSize val="0"/>
        </c:dLbls>
        <c:gapWidth val="150"/>
        <c:axId val="213991808"/>
        <c:axId val="213993344"/>
      </c:barChart>
      <c:catAx>
        <c:axId val="213991808"/>
        <c:scaling>
          <c:orientation val="minMax"/>
        </c:scaling>
        <c:delete val="0"/>
        <c:axPos val="b"/>
        <c:numFmt formatCode="General" sourceLinked="0"/>
        <c:majorTickMark val="out"/>
        <c:minorTickMark val="none"/>
        <c:tickLblPos val="nextTo"/>
        <c:txPr>
          <a:bodyPr/>
          <a:lstStyle/>
          <a:p>
            <a:pPr>
              <a:defRPr sz="900" b="0"/>
            </a:pPr>
            <a:endParaRPr lang="zh-CN"/>
          </a:p>
        </c:txPr>
        <c:crossAx val="213993344"/>
        <c:crosses val="autoZero"/>
        <c:auto val="1"/>
        <c:lblAlgn val="ctr"/>
        <c:lblOffset val="100"/>
        <c:noMultiLvlLbl val="0"/>
      </c:catAx>
      <c:valAx>
        <c:axId val="213993344"/>
        <c:scaling>
          <c:orientation val="minMax"/>
          <c:max val="0.30000000000000027"/>
          <c:min val="0"/>
        </c:scaling>
        <c:delete val="1"/>
        <c:axPos val="l"/>
        <c:majorGridlines>
          <c:spPr>
            <a:ln>
              <a:noFill/>
            </a:ln>
          </c:spPr>
        </c:majorGridlines>
        <c:numFmt formatCode="0.0%" sourceLinked="1"/>
        <c:majorTickMark val="out"/>
        <c:minorTickMark val="none"/>
        <c:tickLblPos val="none"/>
        <c:crossAx val="213991808"/>
        <c:crosses val="autoZero"/>
        <c:crossBetween val="between"/>
      </c:valAx>
      <c:spPr>
        <a:noFill/>
      </c:spPr>
    </c:plotArea>
    <c:legend>
      <c:legendPos val="t"/>
      <c:layout>
        <c:manualLayout>
          <c:xMode val="edge"/>
          <c:yMode val="edge"/>
          <c:x val="6.5773453710956413E-3"/>
          <c:y val="3.2323232323232351E-2"/>
          <c:w val="0.99342265462890433"/>
          <c:h val="0.13320746508896344"/>
        </c:manualLayout>
      </c:layout>
      <c:overlay val="0"/>
    </c:legend>
    <c:plotVisOnly val="1"/>
    <c:dispBlanksAs val="gap"/>
    <c:showDLblsOverMax val="0"/>
  </c:chart>
  <c:spPr>
    <a:noFill/>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
          <c:y val="7.010514594766562E-2"/>
          <c:w val="0.99825150687645758"/>
          <c:h val="0.7426046289668341"/>
        </c:manualLayout>
      </c:layout>
      <c:barChart>
        <c:barDir val="col"/>
        <c:grouping val="clustered"/>
        <c:varyColors val="0"/>
        <c:ser>
          <c:idx val="0"/>
          <c:order val="0"/>
          <c:tx>
            <c:strRef>
              <c:f>Sheet1!$B$1</c:f>
              <c:strCache>
                <c:ptCount val="1"/>
                <c:pt idx="0">
                  <c:v>2013</c:v>
                </c:pt>
              </c:strCache>
            </c:strRef>
          </c:tx>
          <c:spPr>
            <a:solidFill>
              <a:schemeClr val="bg1">
                <a:lumMod val="85000"/>
              </a:schemeClr>
            </a:solidFill>
          </c:spPr>
          <c:invertIfNegative val="0"/>
          <c:dLbls>
            <c:dLbl>
              <c:idx val="0"/>
              <c:layout>
                <c:manualLayout>
                  <c:x val="6.6669291338582719E-3"/>
                  <c:y val="4.8484848484848485E-2"/>
                </c:manualLayout>
              </c:layout>
              <c:dLblPos val="outEnd"/>
              <c:showLegendKey val="0"/>
              <c:showVal val="1"/>
              <c:showCatName val="0"/>
              <c:showSerName val="0"/>
              <c:showPercent val="0"/>
              <c:showBubbleSize val="0"/>
              <c:extLst>
                <c:ext xmlns:c15="http://schemas.microsoft.com/office/drawing/2012/chart" uri="{CE6537A1-D6FC-4f65-9D91-7224C49458BB}">
                  <c15:layout>
                    <c:manualLayout>
                      <c:w val="0.27823359580052487"/>
                      <c:h val="0.22149494949494949"/>
                    </c:manualLayout>
                  </c15:layout>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c:f>
              <c:strCache>
                <c:ptCount val="1"/>
                <c:pt idx="0">
                  <c:v>销售费用</c:v>
                </c:pt>
              </c:strCache>
            </c:strRef>
          </c:cat>
          <c:val>
            <c:numRef>
              <c:f>Sheet1!$B$2</c:f>
              <c:numCache>
                <c:formatCode>0.0%</c:formatCode>
                <c:ptCount val="1"/>
                <c:pt idx="0">
                  <c:v>0.1826518468867829</c:v>
                </c:pt>
              </c:numCache>
            </c:numRef>
          </c:val>
        </c:ser>
        <c:ser>
          <c:idx val="1"/>
          <c:order val="1"/>
          <c:tx>
            <c:strRef>
              <c:f>Sheet1!$C$1</c:f>
              <c:strCache>
                <c:ptCount val="1"/>
                <c:pt idx="0">
                  <c:v>2014</c:v>
                </c:pt>
              </c:strCache>
            </c:strRef>
          </c:tx>
          <c:spPr>
            <a:solidFill>
              <a:schemeClr val="bg1">
                <a:lumMod val="65000"/>
              </a:schemeClr>
            </a:solidFill>
          </c:spPr>
          <c:invertIfNegative val="0"/>
          <c:dLbls>
            <c:dLbl>
              <c:idx val="0"/>
              <c:layout>
                <c:manualLayout>
                  <c:x val="6.6666666666666706E-3"/>
                  <c:y val="2.4242424242424229E-2"/>
                </c:manualLayout>
              </c:layout>
              <c:dLblPos val="outEnd"/>
              <c:showLegendKey val="0"/>
              <c:showVal val="1"/>
              <c:showCatName val="0"/>
              <c:showSerName val="0"/>
              <c:showPercent val="0"/>
              <c:showBubbleSize val="0"/>
              <c:extLst>
                <c:ext xmlns:c15="http://schemas.microsoft.com/office/drawing/2012/chart" uri="{CE6537A1-D6FC-4f65-9D91-7224C49458BB}">
                  <c15:layout>
                    <c:manualLayout>
                      <c:w val="0.23823359580052494"/>
                      <c:h val="0.22149494949494949"/>
                    </c:manualLayout>
                  </c15:layout>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c:f>
              <c:strCache>
                <c:ptCount val="1"/>
                <c:pt idx="0">
                  <c:v>销售费用</c:v>
                </c:pt>
              </c:strCache>
            </c:strRef>
          </c:cat>
          <c:val>
            <c:numRef>
              <c:f>Sheet1!$C$2</c:f>
              <c:numCache>
                <c:formatCode>0.0%</c:formatCode>
                <c:ptCount val="1"/>
                <c:pt idx="0">
                  <c:v>0.1319637883657552</c:v>
                </c:pt>
              </c:numCache>
            </c:numRef>
          </c:val>
        </c:ser>
        <c:ser>
          <c:idx val="2"/>
          <c:order val="2"/>
          <c:tx>
            <c:strRef>
              <c:f>Sheet1!$D$1</c:f>
              <c:strCache>
                <c:ptCount val="1"/>
                <c:pt idx="0">
                  <c:v>2015</c:v>
                </c:pt>
              </c:strCache>
            </c:strRef>
          </c:tx>
          <c:spPr>
            <a:solidFill>
              <a:schemeClr val="accent1">
                <a:lumMod val="60000"/>
                <a:lumOff val="40000"/>
              </a:schemeClr>
            </a:solidFill>
          </c:spPr>
          <c:invertIfNegative val="0"/>
          <c:dLbls>
            <c:dLbl>
              <c:idx val="0"/>
              <c:layout>
                <c:manualLayout>
                  <c:x val="0"/>
                  <c:y val="3.2323232323232351E-2"/>
                </c:manualLayout>
              </c:layout>
              <c:dLblPos val="outEnd"/>
              <c:showLegendKey val="0"/>
              <c:showVal val="1"/>
              <c:showCatName val="0"/>
              <c:showSerName val="0"/>
              <c:showPercent val="0"/>
              <c:showBubbleSize val="0"/>
              <c:extLst>
                <c:ext xmlns:c15="http://schemas.microsoft.com/office/drawing/2012/chart" uri="{CE6537A1-D6FC-4f65-9D91-7224C49458BB}">
                  <c15:layout>
                    <c:manualLayout>
                      <c:w val="0.23823359580052494"/>
                      <c:h val="0.22149494949494949"/>
                    </c:manualLayout>
                  </c15:layout>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c:f>
              <c:strCache>
                <c:ptCount val="1"/>
                <c:pt idx="0">
                  <c:v>销售费用</c:v>
                </c:pt>
              </c:strCache>
            </c:strRef>
          </c:cat>
          <c:val>
            <c:numRef>
              <c:f>Sheet1!$D$2</c:f>
              <c:numCache>
                <c:formatCode>0.0%</c:formatCode>
                <c:ptCount val="1"/>
                <c:pt idx="0">
                  <c:v>0.16282282096809897</c:v>
                </c:pt>
              </c:numCache>
            </c:numRef>
          </c:val>
        </c:ser>
        <c:dLbls>
          <c:showLegendKey val="0"/>
          <c:showVal val="1"/>
          <c:showCatName val="0"/>
          <c:showSerName val="0"/>
          <c:showPercent val="0"/>
          <c:showBubbleSize val="0"/>
        </c:dLbls>
        <c:gapWidth val="150"/>
        <c:axId val="214028672"/>
        <c:axId val="214030208"/>
      </c:barChart>
      <c:catAx>
        <c:axId val="214028672"/>
        <c:scaling>
          <c:orientation val="minMax"/>
        </c:scaling>
        <c:delete val="0"/>
        <c:axPos val="b"/>
        <c:numFmt formatCode="General" sourceLinked="0"/>
        <c:majorTickMark val="out"/>
        <c:minorTickMark val="none"/>
        <c:tickLblPos val="nextTo"/>
        <c:txPr>
          <a:bodyPr/>
          <a:lstStyle/>
          <a:p>
            <a:pPr>
              <a:defRPr sz="900" b="0"/>
            </a:pPr>
            <a:endParaRPr lang="zh-CN"/>
          </a:p>
        </c:txPr>
        <c:crossAx val="214030208"/>
        <c:crosses val="autoZero"/>
        <c:auto val="1"/>
        <c:lblAlgn val="ctr"/>
        <c:lblOffset val="100"/>
        <c:noMultiLvlLbl val="0"/>
      </c:catAx>
      <c:valAx>
        <c:axId val="214030208"/>
        <c:scaling>
          <c:orientation val="minMax"/>
          <c:max val="0.30000000000000027"/>
          <c:min val="0"/>
        </c:scaling>
        <c:delete val="1"/>
        <c:axPos val="l"/>
        <c:majorGridlines>
          <c:spPr>
            <a:ln>
              <a:noFill/>
            </a:ln>
          </c:spPr>
        </c:majorGridlines>
        <c:numFmt formatCode="0.0%" sourceLinked="1"/>
        <c:majorTickMark val="out"/>
        <c:minorTickMark val="none"/>
        <c:tickLblPos val="none"/>
        <c:crossAx val="214028672"/>
        <c:crosses val="autoZero"/>
        <c:crossBetween val="between"/>
      </c:valAx>
      <c:spPr>
        <a:noFill/>
      </c:spPr>
    </c:plotArea>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AC62D4-17F9-46A4-B595-91B50FA22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690</Words>
  <Characters>3933</Characters>
  <Application>Microsoft Office Word</Application>
  <DocSecurity>0</DocSecurity>
  <Lines>32</Lines>
  <Paragraphs>9</Paragraphs>
  <ScaleCrop>false</ScaleCrop>
  <Company>Lenovo</Company>
  <LinksUpToDate>false</LinksUpToDate>
  <CharactersWithSpaces>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战略性新兴产业A股上市公司发展七大特征</dc:title>
  <dc:creator>sic</dc:creator>
  <cp:lastModifiedBy>ll</cp:lastModifiedBy>
  <cp:revision>2</cp:revision>
  <dcterms:created xsi:type="dcterms:W3CDTF">2016-11-04T09:31:00Z</dcterms:created>
  <dcterms:modified xsi:type="dcterms:W3CDTF">2016-11-04T09:31:00Z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2052-9.1.0.4842</vt:lpwstr>
  </property>
</Properties>
</file>