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9F" w:rsidRDefault="007B7E9F" w:rsidP="00640D4D">
      <w:pPr>
        <w:spacing w:line="360" w:lineRule="auto"/>
        <w:jc w:val="center"/>
        <w:rPr>
          <w:rFonts w:ascii="微软雅黑" w:eastAsia="微软雅黑" w:hAnsi="微软雅黑"/>
          <w:b/>
          <w:sz w:val="32"/>
        </w:rPr>
      </w:pPr>
    </w:p>
    <w:p w:rsidR="00AA26E9" w:rsidRPr="007B7E9F" w:rsidRDefault="00D96A71" w:rsidP="00640D4D">
      <w:pPr>
        <w:spacing w:line="360" w:lineRule="auto"/>
        <w:jc w:val="center"/>
        <w:rPr>
          <w:rFonts w:ascii="微软雅黑" w:eastAsia="微软雅黑" w:hAnsi="微软雅黑"/>
          <w:b/>
          <w:sz w:val="32"/>
        </w:rPr>
      </w:pPr>
      <w:r w:rsidRPr="007B7E9F">
        <w:rPr>
          <w:rFonts w:ascii="微软雅黑" w:eastAsia="微软雅黑" w:hAnsi="微软雅黑" w:hint="eastAsia"/>
          <w:b/>
          <w:sz w:val="32"/>
        </w:rPr>
        <w:t>2017年</w:t>
      </w:r>
      <w:r w:rsidR="007B7E9F" w:rsidRPr="007B7E9F">
        <w:rPr>
          <w:rFonts w:ascii="微软雅黑" w:eastAsia="微软雅黑" w:hAnsi="微软雅黑" w:hint="eastAsia"/>
          <w:b/>
          <w:sz w:val="32"/>
        </w:rPr>
        <w:t>一季度战略性新兴产业</w:t>
      </w:r>
      <w:r w:rsidR="007B7E9F">
        <w:rPr>
          <w:rFonts w:ascii="微软雅黑" w:eastAsia="微软雅黑" w:hAnsi="微软雅黑" w:hint="eastAsia"/>
          <w:b/>
          <w:sz w:val="32"/>
        </w:rPr>
        <w:t>上市</w:t>
      </w:r>
      <w:r w:rsidR="007B7E9F">
        <w:rPr>
          <w:rFonts w:ascii="微软雅黑" w:eastAsia="微软雅黑" w:hAnsi="微软雅黑"/>
          <w:b/>
          <w:sz w:val="32"/>
        </w:rPr>
        <w:t>公司</w:t>
      </w:r>
      <w:r w:rsidR="009C5636">
        <w:rPr>
          <w:rFonts w:ascii="微软雅黑" w:eastAsia="微软雅黑" w:hAnsi="微软雅黑" w:hint="eastAsia"/>
          <w:b/>
          <w:sz w:val="32"/>
        </w:rPr>
        <w:t>发展存</w:t>
      </w:r>
      <w:r w:rsidR="004C4148">
        <w:rPr>
          <w:rFonts w:ascii="微软雅黑" w:eastAsia="微软雅黑" w:hAnsi="微软雅黑"/>
          <w:b/>
          <w:sz w:val="32"/>
        </w:rPr>
        <w:t>隐忧</w:t>
      </w:r>
    </w:p>
    <w:p w:rsidR="00D96A71" w:rsidRPr="00F60255" w:rsidRDefault="00C61B82" w:rsidP="00F60255">
      <w:pPr>
        <w:spacing w:line="360" w:lineRule="auto"/>
        <w:ind w:firstLineChars="200" w:firstLine="560"/>
        <w:rPr>
          <w:rFonts w:ascii="仿宋_GB2312" w:eastAsia="仿宋_GB2312" w:hAnsi="仿宋"/>
          <w:sz w:val="28"/>
        </w:rPr>
      </w:pPr>
      <w:r w:rsidRPr="00F60255">
        <w:rPr>
          <w:rFonts w:ascii="仿宋_GB2312" w:eastAsia="仿宋_GB2312" w:hAnsi="仿宋" w:hint="eastAsia"/>
          <w:sz w:val="28"/>
        </w:rPr>
        <w:t>经统计，截止2017年3月31日，战略性新兴产业</w:t>
      </w:r>
      <w:r w:rsidR="00B205C3" w:rsidRPr="00F60255">
        <w:rPr>
          <w:rFonts w:ascii="仿宋_GB2312" w:eastAsia="仿宋_GB2312" w:hAnsi="仿宋" w:hint="eastAsia"/>
          <w:sz w:val="28"/>
        </w:rPr>
        <w:t>上市公司共有1206家，其中</w:t>
      </w:r>
      <w:r w:rsidR="00B37CA9" w:rsidRPr="00F60255">
        <w:rPr>
          <w:rFonts w:ascii="仿宋_GB2312" w:eastAsia="仿宋_GB2312" w:hAnsi="仿宋" w:hint="eastAsia"/>
          <w:sz w:val="28"/>
        </w:rPr>
        <w:t>主板</w:t>
      </w:r>
      <w:r w:rsidR="009A2340" w:rsidRPr="00F60255">
        <w:rPr>
          <w:rFonts w:ascii="仿宋_GB2312" w:eastAsia="仿宋_GB2312" w:hAnsi="仿宋" w:hint="eastAsia"/>
          <w:sz w:val="28"/>
        </w:rPr>
        <w:t>、创业板和中小</w:t>
      </w:r>
      <w:r w:rsidR="00B37CA9" w:rsidRPr="00F60255">
        <w:rPr>
          <w:rFonts w:ascii="仿宋_GB2312" w:eastAsia="仿宋_GB2312" w:hAnsi="仿宋" w:hint="eastAsia"/>
          <w:sz w:val="28"/>
        </w:rPr>
        <w:t>板分别有</w:t>
      </w:r>
      <w:r w:rsidR="009A2340" w:rsidRPr="00F60255">
        <w:rPr>
          <w:rFonts w:ascii="仿宋_GB2312" w:eastAsia="仿宋_GB2312" w:hAnsi="仿宋" w:hint="eastAsia"/>
          <w:sz w:val="28"/>
        </w:rPr>
        <w:t>463家、423家和320家企业，</w:t>
      </w:r>
      <w:r w:rsidR="00F92D52">
        <w:rPr>
          <w:rFonts w:ascii="仿宋_GB2312" w:eastAsia="仿宋_GB2312" w:hAnsi="仿宋" w:hint="eastAsia"/>
          <w:sz w:val="28"/>
        </w:rPr>
        <w:t>在各</w:t>
      </w:r>
      <w:proofErr w:type="gramStart"/>
      <w:r w:rsidR="00F92D52">
        <w:rPr>
          <w:rFonts w:ascii="仿宋_GB2312" w:eastAsia="仿宋_GB2312" w:hAnsi="仿宋" w:hint="eastAsia"/>
          <w:sz w:val="28"/>
        </w:rPr>
        <w:t>版块</w:t>
      </w:r>
      <w:proofErr w:type="gramEnd"/>
      <w:r w:rsidR="009A2340" w:rsidRPr="00F60255">
        <w:rPr>
          <w:rFonts w:ascii="仿宋_GB2312" w:eastAsia="仿宋_GB2312" w:hAnsi="仿宋" w:hint="eastAsia"/>
          <w:sz w:val="28"/>
        </w:rPr>
        <w:t>占比</w:t>
      </w:r>
      <w:r w:rsidR="00F92D52">
        <w:rPr>
          <w:rFonts w:ascii="仿宋_GB2312" w:eastAsia="仿宋_GB2312" w:hAnsi="仿宋" w:hint="eastAsia"/>
          <w:sz w:val="28"/>
        </w:rPr>
        <w:t>分别</w:t>
      </w:r>
      <w:r w:rsidR="009A2340" w:rsidRPr="00F60255">
        <w:rPr>
          <w:rFonts w:ascii="仿宋_GB2312" w:eastAsia="仿宋_GB2312" w:hAnsi="仿宋" w:hint="eastAsia"/>
          <w:sz w:val="28"/>
        </w:rPr>
        <w:t>为26.6%、66.3%和37.4%。</w:t>
      </w:r>
      <w:r w:rsidR="00F60255">
        <w:rPr>
          <w:rFonts w:ascii="仿宋_GB2312" w:eastAsia="仿宋_GB2312" w:hAnsi="仿宋" w:hint="eastAsia"/>
          <w:sz w:val="28"/>
        </w:rPr>
        <w:t>2017年</w:t>
      </w:r>
      <w:r w:rsidR="00F60255">
        <w:rPr>
          <w:rFonts w:ascii="仿宋_GB2312" w:eastAsia="仿宋_GB2312" w:hAnsi="仿宋"/>
          <w:sz w:val="28"/>
        </w:rPr>
        <w:t>一季度，战略性新兴产业上市公司</w:t>
      </w:r>
      <w:r w:rsidR="00245DEF">
        <w:rPr>
          <w:rFonts w:ascii="仿宋_GB2312" w:eastAsia="仿宋_GB2312" w:hAnsi="仿宋" w:hint="eastAsia"/>
          <w:sz w:val="28"/>
        </w:rPr>
        <w:t>表现不乏</w:t>
      </w:r>
      <w:r w:rsidR="00C42669">
        <w:rPr>
          <w:rFonts w:ascii="仿宋_GB2312" w:eastAsia="仿宋_GB2312" w:hAnsi="仿宋"/>
          <w:sz w:val="28"/>
        </w:rPr>
        <w:t>亮点</w:t>
      </w:r>
      <w:r w:rsidR="00245DEF">
        <w:rPr>
          <w:rFonts w:ascii="仿宋_GB2312" w:eastAsia="仿宋_GB2312" w:hAnsi="仿宋" w:hint="eastAsia"/>
          <w:sz w:val="28"/>
        </w:rPr>
        <w:t>，</w:t>
      </w:r>
      <w:r w:rsidR="00245DEF">
        <w:rPr>
          <w:rFonts w:ascii="仿宋_GB2312" w:eastAsia="仿宋_GB2312" w:hAnsi="仿宋"/>
          <w:sz w:val="28"/>
        </w:rPr>
        <w:t>如</w:t>
      </w:r>
      <w:r w:rsidR="00F60255">
        <w:rPr>
          <w:rFonts w:ascii="仿宋_GB2312" w:eastAsia="仿宋_GB2312" w:hAnsi="仿宋"/>
          <w:sz w:val="28"/>
        </w:rPr>
        <w:t>营</w:t>
      </w:r>
      <w:proofErr w:type="gramStart"/>
      <w:r w:rsidR="00F60255">
        <w:rPr>
          <w:rFonts w:ascii="仿宋_GB2312" w:eastAsia="仿宋_GB2312" w:hAnsi="仿宋"/>
          <w:sz w:val="28"/>
        </w:rPr>
        <w:t>收规模</w:t>
      </w:r>
      <w:r w:rsidR="004C4148">
        <w:rPr>
          <w:rFonts w:ascii="仿宋_GB2312" w:eastAsia="仿宋_GB2312" w:hAnsi="仿宋" w:hint="eastAsia"/>
          <w:sz w:val="28"/>
        </w:rPr>
        <w:t>增速</w:t>
      </w:r>
      <w:proofErr w:type="gramEnd"/>
      <w:r w:rsidR="004C4148">
        <w:rPr>
          <w:rFonts w:ascii="仿宋_GB2312" w:eastAsia="仿宋_GB2312" w:hAnsi="仿宋"/>
          <w:sz w:val="28"/>
        </w:rPr>
        <w:t>在高位运行</w:t>
      </w:r>
      <w:r w:rsidR="007D7A92">
        <w:rPr>
          <w:rFonts w:ascii="仿宋_GB2312" w:eastAsia="仿宋_GB2312" w:hAnsi="仿宋" w:hint="eastAsia"/>
          <w:sz w:val="28"/>
        </w:rPr>
        <w:t>，</w:t>
      </w:r>
      <w:r w:rsidR="00D07101">
        <w:rPr>
          <w:rFonts w:ascii="仿宋_GB2312" w:eastAsia="仿宋_GB2312" w:hAnsi="仿宋" w:hint="eastAsia"/>
          <w:sz w:val="28"/>
        </w:rPr>
        <w:t>重点领域</w:t>
      </w:r>
      <w:r w:rsidR="00063D6D">
        <w:rPr>
          <w:rFonts w:ascii="仿宋_GB2312" w:eastAsia="仿宋_GB2312" w:hAnsi="仿宋" w:hint="eastAsia"/>
          <w:sz w:val="28"/>
        </w:rPr>
        <w:t>平稳</w:t>
      </w:r>
      <w:r w:rsidR="00063D6D">
        <w:rPr>
          <w:rFonts w:ascii="仿宋_GB2312" w:eastAsia="仿宋_GB2312" w:hAnsi="仿宋"/>
          <w:sz w:val="28"/>
        </w:rPr>
        <w:t>较快发展</w:t>
      </w:r>
      <w:r w:rsidR="00D07101">
        <w:rPr>
          <w:rFonts w:ascii="仿宋_GB2312" w:eastAsia="仿宋_GB2312" w:hAnsi="仿宋" w:hint="eastAsia"/>
          <w:sz w:val="28"/>
        </w:rPr>
        <w:t>，</w:t>
      </w:r>
      <w:r w:rsidR="00063D6D">
        <w:rPr>
          <w:rFonts w:ascii="仿宋_GB2312" w:eastAsia="仿宋_GB2312" w:hAnsi="仿宋" w:hint="eastAsia"/>
          <w:sz w:val="28"/>
        </w:rPr>
        <w:t>企业</w:t>
      </w:r>
      <w:r w:rsidR="00640D4D">
        <w:rPr>
          <w:rFonts w:ascii="仿宋_GB2312" w:eastAsia="仿宋_GB2312" w:hAnsi="仿宋" w:hint="eastAsia"/>
          <w:sz w:val="28"/>
        </w:rPr>
        <w:t>股价</w:t>
      </w:r>
      <w:r w:rsidR="00640D4D">
        <w:rPr>
          <w:rFonts w:ascii="仿宋_GB2312" w:eastAsia="仿宋_GB2312" w:hAnsi="仿宋"/>
          <w:sz w:val="28"/>
        </w:rPr>
        <w:t>止跌</w:t>
      </w:r>
      <w:r w:rsidR="00640D4D">
        <w:rPr>
          <w:rFonts w:ascii="仿宋_GB2312" w:eastAsia="仿宋_GB2312" w:hAnsi="仿宋" w:hint="eastAsia"/>
          <w:sz w:val="28"/>
        </w:rPr>
        <w:t>回升</w:t>
      </w:r>
      <w:r w:rsidR="00F2345E">
        <w:rPr>
          <w:rFonts w:ascii="仿宋_GB2312" w:eastAsia="仿宋_GB2312" w:hAnsi="仿宋" w:hint="eastAsia"/>
          <w:sz w:val="28"/>
        </w:rPr>
        <w:t>，</w:t>
      </w:r>
      <w:r w:rsidR="00F2345E">
        <w:rPr>
          <w:rFonts w:ascii="仿宋_GB2312" w:eastAsia="仿宋_GB2312" w:hAnsi="仿宋"/>
          <w:sz w:val="28"/>
        </w:rPr>
        <w:t>并购重组</w:t>
      </w:r>
      <w:r w:rsidR="007D7A92">
        <w:rPr>
          <w:rFonts w:ascii="仿宋_GB2312" w:eastAsia="仿宋_GB2312" w:hAnsi="仿宋" w:hint="eastAsia"/>
          <w:sz w:val="28"/>
        </w:rPr>
        <w:t>活动</w:t>
      </w:r>
      <w:r w:rsidR="00F2345E">
        <w:rPr>
          <w:rFonts w:ascii="仿宋_GB2312" w:eastAsia="仿宋_GB2312" w:hAnsi="仿宋" w:hint="eastAsia"/>
          <w:sz w:val="28"/>
        </w:rPr>
        <w:t>扩张</w:t>
      </w:r>
      <w:r w:rsidR="00245DEF">
        <w:rPr>
          <w:rFonts w:ascii="仿宋_GB2312" w:eastAsia="仿宋_GB2312" w:hAnsi="仿宋" w:hint="eastAsia"/>
          <w:sz w:val="28"/>
        </w:rPr>
        <w:t>等</w:t>
      </w:r>
      <w:r w:rsidR="00245DEF">
        <w:rPr>
          <w:rFonts w:ascii="仿宋_GB2312" w:eastAsia="仿宋_GB2312" w:hAnsi="仿宋"/>
          <w:sz w:val="28"/>
        </w:rPr>
        <w:t>。</w:t>
      </w:r>
      <w:r w:rsidR="004C4148">
        <w:rPr>
          <w:rFonts w:ascii="仿宋_GB2312" w:eastAsia="仿宋_GB2312" w:hAnsi="仿宋" w:hint="eastAsia"/>
          <w:sz w:val="28"/>
        </w:rPr>
        <w:t>但</w:t>
      </w:r>
      <w:r w:rsidR="00245DEF">
        <w:rPr>
          <w:rFonts w:ascii="仿宋_GB2312" w:eastAsia="仿宋_GB2312" w:hAnsi="仿宋" w:hint="eastAsia"/>
          <w:sz w:val="28"/>
        </w:rPr>
        <w:t>与此</w:t>
      </w:r>
      <w:r w:rsidR="00245DEF">
        <w:rPr>
          <w:rFonts w:ascii="仿宋_GB2312" w:eastAsia="仿宋_GB2312" w:hAnsi="仿宋"/>
          <w:sz w:val="28"/>
        </w:rPr>
        <w:t>同时，</w:t>
      </w:r>
      <w:r w:rsidR="00245DEF">
        <w:rPr>
          <w:rFonts w:ascii="仿宋_GB2312" w:eastAsia="仿宋_GB2312" w:hAnsi="仿宋" w:hint="eastAsia"/>
          <w:sz w:val="28"/>
        </w:rPr>
        <w:t>部分财报</w:t>
      </w:r>
      <w:r w:rsidR="00245DEF">
        <w:rPr>
          <w:rFonts w:ascii="仿宋_GB2312" w:eastAsia="仿宋_GB2312" w:hAnsi="仿宋"/>
          <w:sz w:val="28"/>
        </w:rPr>
        <w:t>数据</w:t>
      </w:r>
      <w:r w:rsidR="00245DEF">
        <w:rPr>
          <w:rFonts w:ascii="仿宋_GB2312" w:eastAsia="仿宋_GB2312" w:hAnsi="仿宋" w:hint="eastAsia"/>
          <w:sz w:val="28"/>
        </w:rPr>
        <w:t>也</w:t>
      </w:r>
      <w:r w:rsidR="00245DEF">
        <w:rPr>
          <w:rFonts w:ascii="仿宋_GB2312" w:eastAsia="仿宋_GB2312" w:hAnsi="仿宋"/>
          <w:sz w:val="28"/>
        </w:rPr>
        <w:t>透露出</w:t>
      </w:r>
      <w:r w:rsidR="00245DEF">
        <w:rPr>
          <w:rFonts w:ascii="仿宋_GB2312" w:eastAsia="仿宋_GB2312" w:hAnsi="仿宋" w:hint="eastAsia"/>
          <w:sz w:val="28"/>
        </w:rPr>
        <w:t>一些</w:t>
      </w:r>
      <w:r w:rsidR="004C4148">
        <w:rPr>
          <w:rFonts w:ascii="仿宋_GB2312" w:eastAsia="仿宋_GB2312" w:hAnsi="仿宋"/>
          <w:sz w:val="28"/>
        </w:rPr>
        <w:t>隐忧，如</w:t>
      </w:r>
      <w:r w:rsidR="00245DEF">
        <w:rPr>
          <w:rFonts w:ascii="仿宋_GB2312" w:eastAsia="仿宋_GB2312" w:hAnsi="仿宋" w:hint="eastAsia"/>
          <w:sz w:val="28"/>
        </w:rPr>
        <w:t>战略性</w:t>
      </w:r>
      <w:r w:rsidR="00245DEF">
        <w:rPr>
          <w:rFonts w:ascii="仿宋_GB2312" w:eastAsia="仿宋_GB2312" w:hAnsi="仿宋"/>
          <w:sz w:val="28"/>
        </w:rPr>
        <w:t>新兴产业</w:t>
      </w:r>
      <w:r w:rsidR="00245DEF">
        <w:rPr>
          <w:rFonts w:ascii="仿宋_GB2312" w:eastAsia="仿宋_GB2312" w:hAnsi="仿宋" w:hint="eastAsia"/>
          <w:sz w:val="28"/>
        </w:rPr>
        <w:t>上市</w:t>
      </w:r>
      <w:r w:rsidR="00245DEF">
        <w:rPr>
          <w:rFonts w:ascii="仿宋_GB2312" w:eastAsia="仿宋_GB2312" w:hAnsi="仿宋"/>
          <w:sz w:val="28"/>
        </w:rPr>
        <w:t>公司</w:t>
      </w:r>
      <w:r w:rsidR="00245DEF">
        <w:rPr>
          <w:rFonts w:ascii="仿宋_GB2312" w:eastAsia="仿宋_GB2312" w:hAnsi="仿宋" w:hint="eastAsia"/>
          <w:sz w:val="28"/>
        </w:rPr>
        <w:t>营收</w:t>
      </w:r>
      <w:r w:rsidR="00245DEF">
        <w:rPr>
          <w:rFonts w:ascii="仿宋_GB2312" w:eastAsia="仿宋_GB2312" w:hAnsi="仿宋"/>
          <w:sz w:val="28"/>
        </w:rPr>
        <w:t>和</w:t>
      </w:r>
      <w:r w:rsidR="00245DEF">
        <w:rPr>
          <w:rFonts w:ascii="仿宋_GB2312" w:eastAsia="仿宋_GB2312" w:hAnsi="仿宋" w:hint="eastAsia"/>
          <w:sz w:val="28"/>
        </w:rPr>
        <w:t>利润增速</w:t>
      </w:r>
      <w:r w:rsidR="00245DEF">
        <w:rPr>
          <w:rFonts w:ascii="仿宋_GB2312" w:eastAsia="仿宋_GB2312" w:hAnsi="仿宋"/>
          <w:sz w:val="28"/>
        </w:rPr>
        <w:t>首次双双低于上市公司总体，</w:t>
      </w:r>
      <w:r w:rsidR="00245DEF">
        <w:rPr>
          <w:rFonts w:ascii="仿宋_GB2312" w:eastAsia="仿宋_GB2312" w:hAnsi="仿宋" w:hint="eastAsia"/>
          <w:sz w:val="28"/>
        </w:rPr>
        <w:t>虽然</w:t>
      </w:r>
      <w:r w:rsidR="00245DEF">
        <w:rPr>
          <w:rFonts w:ascii="仿宋_GB2312" w:eastAsia="仿宋_GB2312" w:hAnsi="仿宋"/>
          <w:sz w:val="28"/>
        </w:rPr>
        <w:t>部分</w:t>
      </w:r>
      <w:r w:rsidR="00245DEF">
        <w:rPr>
          <w:rFonts w:ascii="仿宋_GB2312" w:eastAsia="仿宋_GB2312" w:hAnsi="仿宋" w:hint="eastAsia"/>
          <w:sz w:val="28"/>
        </w:rPr>
        <w:t>是</w:t>
      </w:r>
      <w:r w:rsidR="00245DEF">
        <w:rPr>
          <w:rFonts w:ascii="仿宋_GB2312" w:eastAsia="仿宋_GB2312" w:hAnsi="仿宋"/>
          <w:sz w:val="28"/>
        </w:rPr>
        <w:t>受短期宏观因素影响，但</w:t>
      </w:r>
      <w:r w:rsidR="004C4148">
        <w:rPr>
          <w:rFonts w:ascii="仿宋_GB2312" w:eastAsia="仿宋_GB2312" w:hAnsi="仿宋" w:hint="eastAsia"/>
          <w:sz w:val="28"/>
        </w:rPr>
        <w:t>利润</w:t>
      </w:r>
      <w:r w:rsidR="004C4148">
        <w:rPr>
          <w:rFonts w:ascii="仿宋_GB2312" w:eastAsia="仿宋_GB2312" w:hAnsi="仿宋"/>
          <w:sz w:val="28"/>
        </w:rPr>
        <w:t>增速</w:t>
      </w:r>
      <w:r w:rsidR="00245DEF">
        <w:rPr>
          <w:rFonts w:ascii="仿宋_GB2312" w:eastAsia="仿宋_GB2312" w:hAnsi="仿宋" w:hint="eastAsia"/>
          <w:sz w:val="28"/>
        </w:rPr>
        <w:t>确实连续</w:t>
      </w:r>
      <w:r w:rsidR="00245DEF">
        <w:rPr>
          <w:rFonts w:ascii="仿宋_GB2312" w:eastAsia="仿宋_GB2312" w:hAnsi="仿宋"/>
          <w:sz w:val="28"/>
        </w:rPr>
        <w:t>多季度出现</w:t>
      </w:r>
      <w:r w:rsidR="004C4148">
        <w:rPr>
          <w:rFonts w:ascii="仿宋_GB2312" w:eastAsia="仿宋_GB2312" w:hAnsi="仿宋"/>
          <w:sz w:val="28"/>
        </w:rPr>
        <w:t>下滑，</w:t>
      </w:r>
      <w:r w:rsidR="00245DEF">
        <w:rPr>
          <w:rFonts w:ascii="仿宋_GB2312" w:eastAsia="仿宋_GB2312" w:hAnsi="仿宋" w:hint="eastAsia"/>
          <w:sz w:val="28"/>
        </w:rPr>
        <w:t>此外</w:t>
      </w:r>
      <w:r w:rsidR="00245DEF">
        <w:rPr>
          <w:rFonts w:ascii="仿宋_GB2312" w:eastAsia="仿宋_GB2312" w:hAnsi="仿宋"/>
          <w:sz w:val="28"/>
        </w:rPr>
        <w:t>，</w:t>
      </w:r>
      <w:r w:rsidR="00063D6D">
        <w:rPr>
          <w:rFonts w:ascii="仿宋_GB2312" w:eastAsia="仿宋_GB2312" w:hAnsi="仿宋" w:hint="eastAsia"/>
          <w:sz w:val="28"/>
        </w:rPr>
        <w:t>战略性</w:t>
      </w:r>
      <w:r w:rsidR="00063D6D">
        <w:rPr>
          <w:rFonts w:ascii="仿宋_GB2312" w:eastAsia="仿宋_GB2312" w:hAnsi="仿宋"/>
          <w:sz w:val="28"/>
        </w:rPr>
        <w:t>新兴产业上市公司</w:t>
      </w:r>
      <w:r w:rsidR="00A528D5">
        <w:rPr>
          <w:rFonts w:ascii="仿宋_GB2312" w:eastAsia="仿宋_GB2312" w:hAnsi="仿宋" w:hint="eastAsia"/>
          <w:sz w:val="28"/>
        </w:rPr>
        <w:t>投资</w:t>
      </w:r>
      <w:r w:rsidR="00640D4D">
        <w:rPr>
          <w:rFonts w:ascii="仿宋_GB2312" w:eastAsia="仿宋_GB2312" w:hAnsi="仿宋" w:hint="eastAsia"/>
          <w:sz w:val="28"/>
        </w:rPr>
        <w:t>步伐</w:t>
      </w:r>
      <w:r w:rsidR="00640D4D">
        <w:rPr>
          <w:rFonts w:ascii="仿宋_GB2312" w:eastAsia="仿宋_GB2312" w:hAnsi="仿宋"/>
          <w:sz w:val="28"/>
        </w:rPr>
        <w:t>放缓</w:t>
      </w:r>
      <w:r w:rsidR="00A528D5">
        <w:rPr>
          <w:rFonts w:ascii="仿宋_GB2312" w:eastAsia="仿宋_GB2312" w:hAnsi="仿宋" w:hint="eastAsia"/>
          <w:sz w:val="28"/>
        </w:rPr>
        <w:t>，</w:t>
      </w:r>
      <w:r w:rsidR="00640D4D">
        <w:rPr>
          <w:rFonts w:ascii="仿宋_GB2312" w:eastAsia="仿宋_GB2312" w:hAnsi="仿宋" w:hint="eastAsia"/>
          <w:sz w:val="28"/>
        </w:rPr>
        <w:t>直接</w:t>
      </w:r>
      <w:r w:rsidR="00640D4D">
        <w:rPr>
          <w:rFonts w:ascii="仿宋_GB2312" w:eastAsia="仿宋_GB2312" w:hAnsi="仿宋"/>
          <w:sz w:val="28"/>
        </w:rPr>
        <w:t>融资规模收缩</w:t>
      </w:r>
      <w:r w:rsidR="00F95D71">
        <w:rPr>
          <w:rFonts w:ascii="仿宋_GB2312" w:eastAsia="仿宋_GB2312" w:hAnsi="仿宋" w:hint="eastAsia"/>
          <w:sz w:val="28"/>
        </w:rPr>
        <w:t>。</w:t>
      </w:r>
      <w:r w:rsidR="00245DEF">
        <w:rPr>
          <w:rFonts w:ascii="仿宋_GB2312" w:eastAsia="仿宋_GB2312" w:hAnsi="仿宋" w:hint="eastAsia"/>
          <w:sz w:val="28"/>
        </w:rPr>
        <w:t>从</w:t>
      </w:r>
      <w:r w:rsidR="007D7A92">
        <w:rPr>
          <w:rFonts w:ascii="仿宋_GB2312" w:eastAsia="仿宋_GB2312" w:hAnsi="仿宋" w:hint="eastAsia"/>
          <w:sz w:val="28"/>
        </w:rPr>
        <w:t>可持续</w:t>
      </w:r>
      <w:r w:rsidR="00245DEF">
        <w:rPr>
          <w:rFonts w:ascii="仿宋_GB2312" w:eastAsia="仿宋_GB2312" w:hAnsi="仿宋"/>
          <w:sz w:val="28"/>
        </w:rPr>
        <w:t>发展角度来看，</w:t>
      </w:r>
      <w:r w:rsidR="007B7E9F">
        <w:rPr>
          <w:rFonts w:ascii="仿宋_GB2312" w:eastAsia="仿宋_GB2312" w:hAnsi="仿宋" w:hint="eastAsia"/>
          <w:sz w:val="28"/>
        </w:rPr>
        <w:t>企业</w:t>
      </w:r>
      <w:r w:rsidR="007D7A92">
        <w:rPr>
          <w:rFonts w:ascii="仿宋_GB2312" w:eastAsia="仿宋_GB2312" w:hAnsi="仿宋" w:hint="eastAsia"/>
          <w:sz w:val="28"/>
        </w:rPr>
        <w:t>维持</w:t>
      </w:r>
      <w:r w:rsidR="007B7E9F" w:rsidRPr="007B7E9F">
        <w:rPr>
          <w:rFonts w:ascii="仿宋_GB2312" w:eastAsia="仿宋_GB2312" w:hAnsi="仿宋" w:hint="eastAsia"/>
          <w:sz w:val="28"/>
        </w:rPr>
        <w:t>平稳较快增长的基础还不稳固</w:t>
      </w:r>
      <w:r w:rsidR="00A528D5">
        <w:rPr>
          <w:rFonts w:ascii="仿宋_GB2312" w:eastAsia="仿宋_GB2312" w:hAnsi="仿宋"/>
          <w:sz w:val="28"/>
        </w:rPr>
        <w:t>。</w:t>
      </w:r>
    </w:p>
    <w:p w:rsidR="009A2340" w:rsidRDefault="009A2340" w:rsidP="00F60255">
      <w:pPr>
        <w:spacing w:line="360" w:lineRule="auto"/>
        <w:ind w:firstLineChars="200" w:firstLine="562"/>
        <w:rPr>
          <w:rFonts w:ascii="仿宋_GB2312" w:eastAsia="仿宋_GB2312" w:hAnsi="仿宋"/>
          <w:b/>
          <w:sz w:val="28"/>
        </w:rPr>
      </w:pPr>
      <w:r w:rsidRPr="00063D6D">
        <w:rPr>
          <w:rFonts w:ascii="仿宋_GB2312" w:eastAsia="仿宋_GB2312" w:hAnsi="仿宋" w:hint="eastAsia"/>
          <w:b/>
          <w:sz w:val="28"/>
        </w:rPr>
        <w:t>一</w:t>
      </w:r>
      <w:r w:rsidR="00F60255" w:rsidRPr="00063D6D">
        <w:rPr>
          <w:rFonts w:ascii="仿宋_GB2312" w:eastAsia="仿宋_GB2312" w:hAnsi="仿宋" w:hint="eastAsia"/>
          <w:b/>
          <w:sz w:val="28"/>
        </w:rPr>
        <w:t>、</w:t>
      </w:r>
      <w:r w:rsidRPr="00063D6D">
        <w:rPr>
          <w:rFonts w:ascii="仿宋_GB2312" w:eastAsia="仿宋_GB2312" w:hAnsi="仿宋" w:hint="eastAsia"/>
          <w:b/>
          <w:sz w:val="28"/>
        </w:rPr>
        <w:t>营收</w:t>
      </w:r>
      <w:r w:rsidR="00F60255" w:rsidRPr="00063D6D">
        <w:rPr>
          <w:rFonts w:ascii="仿宋_GB2312" w:eastAsia="仿宋_GB2312" w:hAnsi="仿宋" w:hint="eastAsia"/>
          <w:b/>
          <w:sz w:val="28"/>
        </w:rPr>
        <w:t>规模</w:t>
      </w:r>
      <w:r w:rsidR="00F2795B">
        <w:rPr>
          <w:rFonts w:ascii="仿宋_GB2312" w:eastAsia="仿宋_GB2312" w:hAnsi="仿宋" w:hint="eastAsia"/>
          <w:b/>
          <w:sz w:val="28"/>
        </w:rPr>
        <w:t>平稳</w:t>
      </w:r>
      <w:r w:rsidR="00F60255" w:rsidRPr="00063D6D">
        <w:rPr>
          <w:rFonts w:ascii="仿宋_GB2312" w:eastAsia="仿宋_GB2312" w:hAnsi="仿宋"/>
          <w:b/>
          <w:sz w:val="28"/>
        </w:rPr>
        <w:t>较快增长</w:t>
      </w:r>
      <w:r w:rsidR="00F60255" w:rsidRPr="00063D6D">
        <w:rPr>
          <w:rFonts w:ascii="仿宋_GB2312" w:eastAsia="仿宋_GB2312" w:hAnsi="仿宋" w:hint="eastAsia"/>
          <w:b/>
          <w:sz w:val="28"/>
        </w:rPr>
        <w:t>、</w:t>
      </w:r>
      <w:r w:rsidR="00F60255" w:rsidRPr="00063D6D">
        <w:rPr>
          <w:rFonts w:ascii="仿宋_GB2312" w:eastAsia="仿宋_GB2312" w:hAnsi="仿宋"/>
          <w:b/>
          <w:sz w:val="28"/>
        </w:rPr>
        <w:t>利润增速</w:t>
      </w:r>
      <w:r w:rsidR="007A1B23">
        <w:rPr>
          <w:rFonts w:ascii="仿宋_GB2312" w:eastAsia="仿宋_GB2312" w:hAnsi="仿宋" w:hint="eastAsia"/>
          <w:b/>
          <w:sz w:val="28"/>
        </w:rPr>
        <w:t>持续</w:t>
      </w:r>
      <w:r w:rsidR="00F60255" w:rsidRPr="00063D6D">
        <w:rPr>
          <w:rFonts w:ascii="仿宋_GB2312" w:eastAsia="仿宋_GB2312" w:hAnsi="仿宋" w:hint="eastAsia"/>
          <w:b/>
          <w:sz w:val="28"/>
        </w:rPr>
        <w:t>回落</w:t>
      </w:r>
    </w:p>
    <w:p w:rsidR="005B6EF1" w:rsidRDefault="00F2795B" w:rsidP="00F2795B">
      <w:pPr>
        <w:spacing w:line="360" w:lineRule="auto"/>
        <w:ind w:firstLineChars="200" w:firstLine="560"/>
        <w:rPr>
          <w:rFonts w:ascii="仿宋_GB2312" w:eastAsia="仿宋_GB2312" w:hAnsi="仿宋" w:hint="eastAsia"/>
          <w:sz w:val="28"/>
        </w:rPr>
      </w:pPr>
      <w:r w:rsidRPr="00F60255">
        <w:rPr>
          <w:rFonts w:ascii="仿宋_GB2312" w:eastAsia="仿宋_GB2312" w:hAnsi="仿宋" w:hint="eastAsia"/>
          <w:sz w:val="28"/>
        </w:rPr>
        <w:t>2017年一季度，战略性新兴产业上市公司营收规模为7520亿元，增速达20.9%，依然维持较高水平，较上年同期增加0.8个百分点</w:t>
      </w:r>
      <w:r w:rsidR="007A1B23">
        <w:rPr>
          <w:rFonts w:ascii="仿宋_GB2312" w:eastAsia="仿宋_GB2312" w:hAnsi="仿宋" w:hint="eastAsia"/>
          <w:sz w:val="28"/>
        </w:rPr>
        <w:t>（见</w:t>
      </w:r>
      <w:r w:rsidR="007A1B23">
        <w:rPr>
          <w:rFonts w:ascii="仿宋_GB2312" w:eastAsia="仿宋_GB2312" w:hAnsi="仿宋"/>
          <w:sz w:val="28"/>
        </w:rPr>
        <w:t>图</w:t>
      </w:r>
      <w:r w:rsidR="007A1B23">
        <w:rPr>
          <w:rFonts w:ascii="仿宋_GB2312" w:eastAsia="仿宋_GB2312" w:hAnsi="仿宋" w:hint="eastAsia"/>
          <w:sz w:val="28"/>
        </w:rPr>
        <w:t>1）</w:t>
      </w:r>
      <w:r w:rsidRPr="00F60255">
        <w:rPr>
          <w:rFonts w:ascii="仿宋_GB2312" w:eastAsia="仿宋_GB2312" w:hAnsi="仿宋" w:hint="eastAsia"/>
          <w:sz w:val="28"/>
        </w:rPr>
        <w:t>。但低于上市公司总体0.1个百分点，是近五年来首次增速落后于上市公司整体。分析其原因，主要</w:t>
      </w:r>
      <w:r w:rsidR="004C4148">
        <w:rPr>
          <w:rFonts w:ascii="仿宋_GB2312" w:eastAsia="仿宋_GB2312" w:hAnsi="仿宋" w:hint="eastAsia"/>
          <w:sz w:val="28"/>
        </w:rPr>
        <w:t>受到</w:t>
      </w:r>
      <w:r w:rsidR="004C4148" w:rsidRPr="00F60255">
        <w:rPr>
          <w:rFonts w:ascii="仿宋_GB2312" w:eastAsia="仿宋_GB2312" w:hAnsi="仿宋" w:hint="eastAsia"/>
          <w:sz w:val="28"/>
        </w:rPr>
        <w:t>宏观经济</w:t>
      </w:r>
      <w:r w:rsidR="004C4148">
        <w:rPr>
          <w:rFonts w:ascii="仿宋_GB2312" w:eastAsia="仿宋_GB2312" w:hAnsi="仿宋" w:hint="eastAsia"/>
          <w:sz w:val="28"/>
        </w:rPr>
        <w:t>进入补库存周期</w:t>
      </w:r>
      <w:r w:rsidR="004C4148" w:rsidRPr="00F60255">
        <w:rPr>
          <w:rFonts w:ascii="仿宋_GB2312" w:eastAsia="仿宋_GB2312" w:hAnsi="仿宋" w:hint="eastAsia"/>
          <w:sz w:val="28"/>
        </w:rPr>
        <w:t>，</w:t>
      </w:r>
      <w:r w:rsidR="004C4148">
        <w:rPr>
          <w:rFonts w:ascii="仿宋_GB2312" w:eastAsia="仿宋_GB2312" w:hAnsi="仿宋"/>
          <w:sz w:val="28"/>
        </w:rPr>
        <w:t>前期基数</w:t>
      </w:r>
      <w:r w:rsidR="004C4148">
        <w:rPr>
          <w:rFonts w:ascii="仿宋_GB2312" w:eastAsia="仿宋_GB2312" w:hAnsi="仿宋" w:hint="eastAsia"/>
          <w:sz w:val="28"/>
        </w:rPr>
        <w:t>较低</w:t>
      </w:r>
      <w:r w:rsidR="004C4148">
        <w:rPr>
          <w:rFonts w:ascii="仿宋_GB2312" w:eastAsia="仿宋_GB2312" w:hAnsi="仿宋"/>
          <w:sz w:val="28"/>
        </w:rPr>
        <w:t>等</w:t>
      </w:r>
      <w:r w:rsidR="004C4148">
        <w:rPr>
          <w:rFonts w:ascii="仿宋_GB2312" w:eastAsia="仿宋_GB2312" w:hAnsi="仿宋" w:hint="eastAsia"/>
          <w:sz w:val="28"/>
        </w:rPr>
        <w:t>因素影响</w:t>
      </w:r>
      <w:r w:rsidR="004C4148">
        <w:rPr>
          <w:rFonts w:ascii="仿宋_GB2312" w:eastAsia="仿宋_GB2312" w:hAnsi="仿宋"/>
          <w:sz w:val="28"/>
        </w:rPr>
        <w:t>，</w:t>
      </w:r>
      <w:r w:rsidRPr="00F60255">
        <w:rPr>
          <w:rFonts w:ascii="仿宋_GB2312" w:eastAsia="仿宋_GB2312" w:hAnsi="仿宋" w:hint="eastAsia"/>
          <w:sz w:val="28"/>
        </w:rPr>
        <w:t>传统工业大幅回升，如钢铁、采掘、化工产业营收分别增加62.3%、48.9%和43.8%，交通运输行业也增加53%，拉动</w:t>
      </w:r>
      <w:r>
        <w:rPr>
          <w:rFonts w:ascii="仿宋_GB2312" w:eastAsia="仿宋_GB2312" w:hAnsi="仿宋" w:hint="eastAsia"/>
          <w:sz w:val="28"/>
        </w:rPr>
        <w:t>上市公司整体业绩快速上调，</w:t>
      </w:r>
      <w:r>
        <w:rPr>
          <w:rFonts w:ascii="仿宋_GB2312" w:eastAsia="仿宋_GB2312" w:hAnsi="仿宋"/>
          <w:sz w:val="28"/>
        </w:rPr>
        <w:t>超过</w:t>
      </w:r>
      <w:r>
        <w:rPr>
          <w:rFonts w:ascii="仿宋_GB2312" w:eastAsia="仿宋_GB2312" w:hAnsi="仿宋" w:hint="eastAsia"/>
          <w:sz w:val="28"/>
        </w:rPr>
        <w:t>增速</w:t>
      </w:r>
      <w:r>
        <w:rPr>
          <w:rFonts w:ascii="仿宋_GB2312" w:eastAsia="仿宋_GB2312" w:hAnsi="仿宋"/>
          <w:sz w:val="28"/>
        </w:rPr>
        <w:t>稳定</w:t>
      </w:r>
      <w:r>
        <w:rPr>
          <w:rFonts w:ascii="仿宋_GB2312" w:eastAsia="仿宋_GB2312" w:hAnsi="仿宋" w:hint="eastAsia"/>
          <w:sz w:val="28"/>
        </w:rPr>
        <w:t>的</w:t>
      </w:r>
      <w:r>
        <w:rPr>
          <w:rFonts w:ascii="仿宋_GB2312" w:eastAsia="仿宋_GB2312" w:hAnsi="仿宋"/>
          <w:sz w:val="28"/>
        </w:rPr>
        <w:t>战略性新兴产业。</w:t>
      </w:r>
      <w:r w:rsidR="005B6EF1">
        <w:rPr>
          <w:rFonts w:ascii="仿宋_GB2312" w:eastAsia="仿宋_GB2312" w:hAnsi="仿宋" w:hint="eastAsia"/>
          <w:sz w:val="28"/>
        </w:rPr>
        <w:t>但我们认为这一趋势不会长期持续，上市公司总体营收增速将会随着库存周期的调整趋于回落，而战略性新兴产业仍将保持平稳较快增长。</w:t>
      </w:r>
    </w:p>
    <w:p w:rsidR="004326AD" w:rsidRDefault="009A2340" w:rsidP="00F60255">
      <w:pPr>
        <w:spacing w:line="360" w:lineRule="auto"/>
        <w:ind w:firstLineChars="200" w:firstLine="560"/>
        <w:rPr>
          <w:rFonts w:ascii="仿宋_GB2312" w:eastAsia="仿宋_GB2312" w:hAnsi="仿宋"/>
          <w:sz w:val="28"/>
        </w:rPr>
      </w:pPr>
      <w:r w:rsidRPr="00F60255">
        <w:rPr>
          <w:rFonts w:ascii="仿宋_GB2312" w:eastAsia="仿宋_GB2312" w:hAnsi="仿宋" w:hint="eastAsia"/>
          <w:noProof/>
          <w:sz w:val="28"/>
        </w:rPr>
        <w:lastRenderedPageBreak/>
        <w:drawing>
          <wp:inline distT="0" distB="0" distL="0" distR="0" wp14:anchorId="37A215B8" wp14:editId="6027F554">
            <wp:extent cx="4572000" cy="222885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795B" w:rsidRDefault="00F2795B" w:rsidP="00F2795B">
      <w:pPr>
        <w:spacing w:line="360" w:lineRule="auto"/>
        <w:ind w:firstLineChars="200" w:firstLine="360"/>
        <w:jc w:val="center"/>
        <w:rPr>
          <w:rFonts w:asciiTheme="minorEastAsia" w:hAnsiTheme="minorEastAsia"/>
          <w:sz w:val="18"/>
        </w:rPr>
      </w:pPr>
      <w:r w:rsidRPr="00F2795B">
        <w:rPr>
          <w:rFonts w:asciiTheme="minorEastAsia" w:hAnsiTheme="minorEastAsia" w:hint="eastAsia"/>
          <w:sz w:val="18"/>
        </w:rPr>
        <w:t>图1 战略性</w:t>
      </w:r>
      <w:r w:rsidRPr="00F2795B">
        <w:rPr>
          <w:rFonts w:asciiTheme="minorEastAsia" w:hAnsiTheme="minorEastAsia"/>
          <w:sz w:val="18"/>
        </w:rPr>
        <w:t>新兴产业和</w:t>
      </w:r>
      <w:r w:rsidRPr="00F2795B">
        <w:rPr>
          <w:rFonts w:asciiTheme="minorEastAsia" w:hAnsiTheme="minorEastAsia" w:hint="eastAsia"/>
          <w:sz w:val="18"/>
        </w:rPr>
        <w:t>A股</w:t>
      </w:r>
      <w:r w:rsidRPr="00F2795B">
        <w:rPr>
          <w:rFonts w:asciiTheme="minorEastAsia" w:hAnsiTheme="minorEastAsia"/>
          <w:sz w:val="18"/>
        </w:rPr>
        <w:t>上市公司营收</w:t>
      </w:r>
      <w:r w:rsidRPr="00F2795B">
        <w:rPr>
          <w:rFonts w:asciiTheme="minorEastAsia" w:hAnsiTheme="minorEastAsia" w:hint="eastAsia"/>
          <w:sz w:val="18"/>
        </w:rPr>
        <w:t>增速</w:t>
      </w:r>
      <w:r w:rsidRPr="00F2795B">
        <w:rPr>
          <w:rFonts w:asciiTheme="minorEastAsia" w:hAnsiTheme="minorEastAsia"/>
          <w:sz w:val="18"/>
        </w:rPr>
        <w:t>对比</w:t>
      </w:r>
    </w:p>
    <w:p w:rsidR="00F2795B" w:rsidRPr="00F60255" w:rsidRDefault="00F2795B" w:rsidP="00F2795B">
      <w:pPr>
        <w:spacing w:line="360" w:lineRule="auto"/>
        <w:ind w:firstLineChars="200" w:firstLine="560"/>
        <w:rPr>
          <w:rFonts w:ascii="仿宋_GB2312" w:eastAsia="仿宋_GB2312" w:hAnsi="仿宋"/>
          <w:sz w:val="28"/>
        </w:rPr>
      </w:pPr>
      <w:r w:rsidRPr="00F60255">
        <w:rPr>
          <w:rFonts w:ascii="仿宋_GB2312" w:eastAsia="仿宋_GB2312" w:hAnsi="仿宋" w:hint="eastAsia"/>
          <w:sz w:val="28"/>
        </w:rPr>
        <w:t>2017年一季度战略性新兴产业上市公司实现利润总额为736亿元，增速为</w:t>
      </w:r>
      <w:r w:rsidR="00D83291">
        <w:rPr>
          <w:rFonts w:ascii="仿宋_GB2312" w:eastAsia="仿宋_GB2312" w:hAnsi="仿宋"/>
          <w:sz w:val="28"/>
        </w:rPr>
        <w:t>8</w:t>
      </w:r>
      <w:r w:rsidR="00D83291">
        <w:rPr>
          <w:rFonts w:ascii="仿宋_GB2312" w:eastAsia="仿宋_GB2312" w:hAnsi="仿宋" w:hint="eastAsia"/>
          <w:sz w:val="28"/>
        </w:rPr>
        <w:t>.</w:t>
      </w:r>
      <w:r w:rsidR="00D83291">
        <w:rPr>
          <w:rFonts w:ascii="仿宋_GB2312" w:eastAsia="仿宋_GB2312" w:hAnsi="仿宋"/>
          <w:sz w:val="28"/>
        </w:rPr>
        <w:t>1</w:t>
      </w:r>
      <w:r w:rsidRPr="00F60255">
        <w:rPr>
          <w:rFonts w:ascii="仿宋_GB2312" w:eastAsia="仿宋_GB2312" w:hAnsi="仿宋" w:hint="eastAsia"/>
          <w:sz w:val="28"/>
        </w:rPr>
        <w:t>%，</w:t>
      </w:r>
      <w:r w:rsidR="004C4148">
        <w:rPr>
          <w:rFonts w:ascii="仿宋_GB2312" w:eastAsia="仿宋_GB2312" w:hAnsi="仿宋" w:hint="eastAsia"/>
          <w:sz w:val="28"/>
        </w:rPr>
        <w:t>连续</w:t>
      </w:r>
      <w:r w:rsidR="004C4148">
        <w:rPr>
          <w:rFonts w:ascii="仿宋_GB2312" w:eastAsia="仿宋_GB2312" w:hAnsi="仿宋"/>
          <w:sz w:val="28"/>
        </w:rPr>
        <w:t>四季度</w:t>
      </w:r>
      <w:r w:rsidR="004C4148">
        <w:rPr>
          <w:rFonts w:ascii="仿宋_GB2312" w:eastAsia="仿宋_GB2312" w:hAnsi="仿宋" w:hint="eastAsia"/>
          <w:sz w:val="28"/>
        </w:rPr>
        <w:t>出现</w:t>
      </w:r>
      <w:r w:rsidR="004C4148">
        <w:rPr>
          <w:rFonts w:ascii="仿宋_GB2312" w:eastAsia="仿宋_GB2312" w:hAnsi="仿宋"/>
          <w:sz w:val="28"/>
        </w:rPr>
        <w:t>下滑，</w:t>
      </w:r>
      <w:r w:rsidR="0074088E">
        <w:rPr>
          <w:rFonts w:ascii="仿宋_GB2312" w:eastAsia="仿宋_GB2312" w:hAnsi="仿宋" w:hint="eastAsia"/>
          <w:sz w:val="28"/>
        </w:rPr>
        <w:t>增速</w:t>
      </w:r>
      <w:r w:rsidR="004C4148">
        <w:rPr>
          <w:rFonts w:ascii="仿宋_GB2312" w:eastAsia="仿宋_GB2312" w:hAnsi="仿宋" w:hint="eastAsia"/>
          <w:sz w:val="28"/>
        </w:rPr>
        <w:t>更是</w:t>
      </w:r>
      <w:r w:rsidRPr="00F60255">
        <w:rPr>
          <w:rFonts w:ascii="仿宋_GB2312" w:eastAsia="仿宋_GB2312" w:hAnsi="仿宋" w:hint="eastAsia"/>
          <w:sz w:val="28"/>
        </w:rPr>
        <w:t>比去年同期大幅下降30多个百分点，也是近年来首次低于上市公司整体</w:t>
      </w:r>
      <w:r w:rsidR="007A1B23">
        <w:rPr>
          <w:rFonts w:ascii="仿宋_GB2312" w:eastAsia="仿宋_GB2312" w:hAnsi="仿宋" w:hint="eastAsia"/>
          <w:sz w:val="28"/>
        </w:rPr>
        <w:t>（见</w:t>
      </w:r>
      <w:r w:rsidR="007A1B23">
        <w:rPr>
          <w:rFonts w:ascii="仿宋_GB2312" w:eastAsia="仿宋_GB2312" w:hAnsi="仿宋"/>
          <w:sz w:val="28"/>
        </w:rPr>
        <w:t>图</w:t>
      </w:r>
      <w:r w:rsidR="007A1B23">
        <w:rPr>
          <w:rFonts w:ascii="仿宋_GB2312" w:eastAsia="仿宋_GB2312" w:hAnsi="仿宋" w:hint="eastAsia"/>
          <w:sz w:val="28"/>
        </w:rPr>
        <w:t>2）</w:t>
      </w:r>
      <w:r w:rsidRPr="00F60255">
        <w:rPr>
          <w:rFonts w:ascii="仿宋_GB2312" w:eastAsia="仿宋_GB2312" w:hAnsi="仿宋" w:hint="eastAsia"/>
          <w:sz w:val="28"/>
        </w:rPr>
        <w:t>。分析其原因，</w:t>
      </w:r>
      <w:r w:rsidR="009701A3">
        <w:rPr>
          <w:rFonts w:ascii="仿宋_GB2312" w:eastAsia="仿宋_GB2312" w:hAnsi="仿宋" w:hint="eastAsia"/>
          <w:sz w:val="28"/>
        </w:rPr>
        <w:t>部分</w:t>
      </w:r>
      <w:r w:rsidR="009701A3">
        <w:rPr>
          <w:rFonts w:ascii="仿宋_GB2312" w:eastAsia="仿宋_GB2312" w:hAnsi="仿宋"/>
          <w:sz w:val="28"/>
        </w:rPr>
        <w:t>受到短期因素影响：</w:t>
      </w:r>
      <w:r w:rsidRPr="00F60255">
        <w:rPr>
          <w:rFonts w:ascii="仿宋_GB2312" w:eastAsia="仿宋_GB2312" w:hAnsi="仿宋" w:hint="eastAsia"/>
          <w:sz w:val="28"/>
        </w:rPr>
        <w:t>一</w:t>
      </w:r>
      <w:r w:rsidR="00F92D52">
        <w:rPr>
          <w:rFonts w:ascii="仿宋_GB2312" w:eastAsia="仿宋_GB2312" w:hAnsi="仿宋" w:hint="eastAsia"/>
          <w:sz w:val="28"/>
        </w:rPr>
        <w:t>是规模最大的新一代信息技术产业由于两家企业出现非经常性损益，导致</w:t>
      </w:r>
      <w:r w:rsidRPr="00F60255">
        <w:rPr>
          <w:rFonts w:ascii="仿宋_GB2312" w:eastAsia="仿宋_GB2312" w:hAnsi="仿宋" w:hint="eastAsia"/>
          <w:sz w:val="28"/>
        </w:rPr>
        <w:t>利润增速为-5.1%</w:t>
      </w:r>
      <w:r w:rsidR="00F92D52">
        <w:rPr>
          <w:rStyle w:val="a6"/>
          <w:rFonts w:ascii="仿宋_GB2312" w:eastAsia="仿宋_GB2312" w:hAnsi="仿宋"/>
          <w:sz w:val="28"/>
        </w:rPr>
        <w:footnoteReference w:id="1"/>
      </w:r>
      <w:r w:rsidRPr="00F60255">
        <w:rPr>
          <w:rFonts w:ascii="仿宋_GB2312" w:eastAsia="仿宋_GB2312" w:hAnsi="仿宋" w:hint="eastAsia"/>
          <w:sz w:val="28"/>
        </w:rPr>
        <w:t>，</w:t>
      </w:r>
      <w:r w:rsidR="00F92D52">
        <w:rPr>
          <w:rFonts w:ascii="仿宋_GB2312" w:eastAsia="仿宋_GB2312" w:hAnsi="仿宋" w:hint="eastAsia"/>
          <w:sz w:val="28"/>
        </w:rPr>
        <w:t>二是受产业周期和政策调整影响</w:t>
      </w:r>
      <w:r w:rsidRPr="00F60255">
        <w:rPr>
          <w:rFonts w:ascii="仿宋_GB2312" w:eastAsia="仿宋_GB2312" w:hAnsi="仿宋" w:hint="eastAsia"/>
          <w:sz w:val="28"/>
        </w:rPr>
        <w:t>高端装备制造和新能源也出现大幅利润萎缩，增速分别为-40.5%和-10.2%</w:t>
      </w:r>
      <w:r w:rsidR="007A1B23">
        <w:rPr>
          <w:rFonts w:ascii="仿宋_GB2312" w:eastAsia="仿宋_GB2312" w:hAnsi="仿宋" w:hint="eastAsia"/>
          <w:sz w:val="28"/>
        </w:rPr>
        <w:t>（见</w:t>
      </w:r>
      <w:r w:rsidR="007A1B23">
        <w:rPr>
          <w:rFonts w:ascii="仿宋_GB2312" w:eastAsia="仿宋_GB2312" w:hAnsi="仿宋"/>
          <w:sz w:val="28"/>
        </w:rPr>
        <w:t>图</w:t>
      </w:r>
      <w:r w:rsidR="007A1B23">
        <w:rPr>
          <w:rFonts w:ascii="仿宋_GB2312" w:eastAsia="仿宋_GB2312" w:hAnsi="仿宋" w:hint="eastAsia"/>
          <w:sz w:val="28"/>
        </w:rPr>
        <w:t>3）</w:t>
      </w:r>
      <w:r w:rsidRPr="00F60255">
        <w:rPr>
          <w:rFonts w:ascii="仿宋_GB2312" w:eastAsia="仿宋_GB2312" w:hAnsi="仿宋" w:hint="eastAsia"/>
          <w:sz w:val="28"/>
        </w:rPr>
        <w:t>。</w:t>
      </w:r>
      <w:r w:rsidR="00F92D52">
        <w:rPr>
          <w:rFonts w:ascii="仿宋_GB2312" w:eastAsia="仿宋_GB2312" w:hAnsi="仿宋" w:hint="eastAsia"/>
          <w:sz w:val="28"/>
        </w:rPr>
        <w:t>三是</w:t>
      </w:r>
      <w:r w:rsidRPr="00F60255">
        <w:rPr>
          <w:rFonts w:ascii="仿宋_GB2312" w:eastAsia="仿宋_GB2312" w:hAnsi="仿宋" w:hint="eastAsia"/>
          <w:sz w:val="28"/>
        </w:rPr>
        <w:t>A股上市企业中传统工业企业盈利出现大面积回暖，如建筑材料行业利润同比增长超过5倍，</w:t>
      </w:r>
      <w:r>
        <w:rPr>
          <w:rFonts w:ascii="仿宋_GB2312" w:eastAsia="仿宋_GB2312" w:hAnsi="仿宋" w:hint="eastAsia"/>
          <w:sz w:val="28"/>
        </w:rPr>
        <w:t>钢铁、采掘、有色金属等资源板块</w:t>
      </w:r>
      <w:r w:rsidRPr="00F60255">
        <w:rPr>
          <w:rFonts w:ascii="仿宋_GB2312" w:eastAsia="仿宋_GB2312" w:hAnsi="仿宋" w:hint="eastAsia"/>
          <w:sz w:val="28"/>
        </w:rPr>
        <w:t>利润翻倍增长，拉高A股</w:t>
      </w:r>
      <w:r>
        <w:rPr>
          <w:rFonts w:ascii="仿宋_GB2312" w:eastAsia="仿宋_GB2312" w:hAnsi="仿宋" w:hint="eastAsia"/>
          <w:sz w:val="28"/>
        </w:rPr>
        <w:t>整体利润增速</w:t>
      </w:r>
      <w:r w:rsidRPr="00F60255">
        <w:rPr>
          <w:rFonts w:ascii="仿宋_GB2312" w:eastAsia="仿宋_GB2312" w:hAnsi="仿宋" w:hint="eastAsia"/>
          <w:sz w:val="28"/>
        </w:rPr>
        <w:t>。</w:t>
      </w:r>
      <w:r w:rsidR="005B6EF1">
        <w:rPr>
          <w:rFonts w:ascii="仿宋_GB2312" w:eastAsia="仿宋_GB2312" w:hAnsi="仿宋" w:hint="eastAsia"/>
          <w:sz w:val="28"/>
        </w:rPr>
        <w:t>总体</w:t>
      </w:r>
      <w:bookmarkStart w:id="0" w:name="_GoBack"/>
      <w:bookmarkEnd w:id="0"/>
      <w:r w:rsidR="00F95D71">
        <w:rPr>
          <w:rFonts w:ascii="仿宋_GB2312" w:eastAsia="仿宋_GB2312" w:hAnsi="仿宋" w:hint="eastAsia"/>
          <w:sz w:val="28"/>
        </w:rPr>
        <w:t>从</w:t>
      </w:r>
      <w:r w:rsidR="00F95D71">
        <w:rPr>
          <w:rFonts w:ascii="仿宋_GB2312" w:eastAsia="仿宋_GB2312" w:hAnsi="仿宋"/>
          <w:sz w:val="28"/>
        </w:rPr>
        <w:t>战略性新兴产业自身来看，</w:t>
      </w:r>
      <w:r w:rsidR="00F95D71">
        <w:rPr>
          <w:rFonts w:ascii="仿宋_GB2312" w:eastAsia="仿宋_GB2312" w:hAnsi="仿宋" w:hint="eastAsia"/>
          <w:sz w:val="28"/>
        </w:rPr>
        <w:t>企业</w:t>
      </w:r>
      <w:r w:rsidR="009701A3">
        <w:rPr>
          <w:rFonts w:ascii="仿宋_GB2312" w:eastAsia="仿宋_GB2312" w:hAnsi="仿宋"/>
          <w:sz w:val="28"/>
        </w:rPr>
        <w:t>利润</w:t>
      </w:r>
      <w:r w:rsidR="009701A3">
        <w:rPr>
          <w:rFonts w:ascii="仿宋_GB2312" w:eastAsia="仿宋_GB2312" w:hAnsi="仿宋" w:hint="eastAsia"/>
          <w:sz w:val="28"/>
        </w:rPr>
        <w:t>增速</w:t>
      </w:r>
      <w:r w:rsidR="009701A3">
        <w:rPr>
          <w:rFonts w:ascii="仿宋_GB2312" w:eastAsia="仿宋_GB2312" w:hAnsi="仿宋"/>
          <w:sz w:val="28"/>
        </w:rPr>
        <w:t>下滑趋势</w:t>
      </w:r>
      <w:r w:rsidR="009701A3">
        <w:rPr>
          <w:rFonts w:ascii="仿宋_GB2312" w:eastAsia="仿宋_GB2312" w:hAnsi="仿宋" w:hint="eastAsia"/>
          <w:sz w:val="28"/>
        </w:rPr>
        <w:t>没有</w:t>
      </w:r>
      <w:r w:rsidR="009701A3">
        <w:rPr>
          <w:rFonts w:ascii="仿宋_GB2312" w:eastAsia="仿宋_GB2312" w:hAnsi="仿宋"/>
          <w:sz w:val="28"/>
        </w:rPr>
        <w:t>改变。</w:t>
      </w:r>
    </w:p>
    <w:p w:rsidR="00F2795B" w:rsidRPr="00F2795B" w:rsidRDefault="00F2795B" w:rsidP="00F2795B">
      <w:pPr>
        <w:spacing w:line="360" w:lineRule="auto"/>
        <w:ind w:firstLineChars="200" w:firstLine="360"/>
        <w:jc w:val="center"/>
        <w:rPr>
          <w:rFonts w:asciiTheme="minorEastAsia" w:hAnsiTheme="minorEastAsia"/>
          <w:sz w:val="18"/>
        </w:rPr>
      </w:pPr>
    </w:p>
    <w:p w:rsidR="006D1153" w:rsidRPr="00F60255" w:rsidRDefault="006D1153" w:rsidP="00F60255">
      <w:pPr>
        <w:spacing w:line="360" w:lineRule="auto"/>
        <w:ind w:firstLineChars="200" w:firstLine="560"/>
        <w:rPr>
          <w:rFonts w:ascii="仿宋_GB2312" w:eastAsia="仿宋_GB2312" w:hAnsi="仿宋"/>
          <w:sz w:val="28"/>
        </w:rPr>
      </w:pPr>
      <w:r w:rsidRPr="00F60255">
        <w:rPr>
          <w:rFonts w:ascii="仿宋_GB2312" w:eastAsia="仿宋_GB2312" w:hAnsi="仿宋" w:hint="eastAsia"/>
          <w:noProof/>
          <w:sz w:val="28"/>
        </w:rPr>
        <w:lastRenderedPageBreak/>
        <w:drawing>
          <wp:inline distT="0" distB="0" distL="0" distR="0" wp14:anchorId="0D73C1FA" wp14:editId="2CE54A98">
            <wp:extent cx="4572000" cy="215265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795B" w:rsidRDefault="00F2795B" w:rsidP="00F2795B">
      <w:pPr>
        <w:spacing w:line="360" w:lineRule="auto"/>
        <w:ind w:firstLineChars="200" w:firstLine="360"/>
        <w:jc w:val="center"/>
        <w:rPr>
          <w:rFonts w:ascii="仿宋_GB2312" w:eastAsia="仿宋_GB2312" w:hAnsi="仿宋"/>
          <w:sz w:val="28"/>
        </w:rPr>
      </w:pPr>
      <w:r w:rsidRPr="00F2795B">
        <w:rPr>
          <w:rFonts w:asciiTheme="minorEastAsia" w:hAnsiTheme="minorEastAsia" w:hint="eastAsia"/>
          <w:sz w:val="18"/>
        </w:rPr>
        <w:t>图</w:t>
      </w:r>
      <w:r w:rsidR="007A1B23">
        <w:rPr>
          <w:rFonts w:asciiTheme="minorEastAsia" w:hAnsiTheme="minorEastAsia" w:hint="eastAsia"/>
          <w:sz w:val="18"/>
        </w:rPr>
        <w:t>2</w:t>
      </w:r>
      <w:r w:rsidRPr="00F2795B">
        <w:rPr>
          <w:rFonts w:asciiTheme="minorEastAsia" w:hAnsiTheme="minorEastAsia" w:hint="eastAsia"/>
          <w:sz w:val="18"/>
        </w:rPr>
        <w:t xml:space="preserve"> 战略性</w:t>
      </w:r>
      <w:r w:rsidRPr="00F2795B">
        <w:rPr>
          <w:rFonts w:asciiTheme="minorEastAsia" w:hAnsiTheme="minorEastAsia"/>
          <w:sz w:val="18"/>
        </w:rPr>
        <w:t>新兴产业和</w:t>
      </w:r>
      <w:r w:rsidRPr="00F2795B">
        <w:rPr>
          <w:rFonts w:asciiTheme="minorEastAsia" w:hAnsiTheme="minorEastAsia" w:hint="eastAsia"/>
          <w:sz w:val="18"/>
        </w:rPr>
        <w:t>A股</w:t>
      </w:r>
      <w:r>
        <w:rPr>
          <w:rFonts w:asciiTheme="minorEastAsia" w:hAnsiTheme="minorEastAsia"/>
          <w:sz w:val="18"/>
        </w:rPr>
        <w:t>上市公司</w:t>
      </w:r>
      <w:r>
        <w:rPr>
          <w:rFonts w:asciiTheme="minorEastAsia" w:hAnsiTheme="minorEastAsia" w:hint="eastAsia"/>
          <w:sz w:val="18"/>
        </w:rPr>
        <w:t>利润</w:t>
      </w:r>
      <w:r w:rsidRPr="00F2795B">
        <w:rPr>
          <w:rFonts w:asciiTheme="minorEastAsia" w:hAnsiTheme="minorEastAsia" w:hint="eastAsia"/>
          <w:sz w:val="18"/>
        </w:rPr>
        <w:t>增速</w:t>
      </w:r>
      <w:r w:rsidRPr="00F2795B">
        <w:rPr>
          <w:rFonts w:asciiTheme="minorEastAsia" w:hAnsiTheme="minorEastAsia"/>
          <w:sz w:val="18"/>
        </w:rPr>
        <w:t>对比</w:t>
      </w:r>
    </w:p>
    <w:p w:rsidR="00611A78" w:rsidRPr="00F60255" w:rsidRDefault="00611A78" w:rsidP="00F60255">
      <w:pPr>
        <w:spacing w:line="360" w:lineRule="auto"/>
        <w:ind w:firstLineChars="200" w:firstLine="560"/>
        <w:rPr>
          <w:rFonts w:ascii="仿宋_GB2312" w:eastAsia="仿宋_GB2312" w:hAnsi="仿宋"/>
          <w:sz w:val="28"/>
        </w:rPr>
      </w:pPr>
      <w:r w:rsidRPr="00F60255">
        <w:rPr>
          <w:rFonts w:ascii="仿宋_GB2312" w:eastAsia="仿宋_GB2312" w:hAnsi="仿宋" w:hint="eastAsia"/>
          <w:noProof/>
          <w:sz w:val="28"/>
        </w:rPr>
        <w:drawing>
          <wp:inline distT="0" distB="0" distL="0" distR="0" wp14:anchorId="736B7A97" wp14:editId="7D4AD6BB">
            <wp:extent cx="4572000" cy="222885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1A78" w:rsidRPr="00F60255" w:rsidRDefault="00F2795B" w:rsidP="00F2795B">
      <w:pPr>
        <w:spacing w:line="360" w:lineRule="auto"/>
        <w:ind w:firstLineChars="200" w:firstLine="360"/>
        <w:jc w:val="center"/>
        <w:rPr>
          <w:rFonts w:ascii="仿宋_GB2312" w:eastAsia="仿宋_GB2312" w:hAnsi="仿宋"/>
          <w:sz w:val="28"/>
        </w:rPr>
      </w:pPr>
      <w:r w:rsidRPr="00F2795B">
        <w:rPr>
          <w:rFonts w:asciiTheme="minorEastAsia" w:hAnsiTheme="minorEastAsia" w:hint="eastAsia"/>
          <w:sz w:val="18"/>
        </w:rPr>
        <w:t>图</w:t>
      </w:r>
      <w:r>
        <w:rPr>
          <w:rFonts w:asciiTheme="minorEastAsia" w:hAnsiTheme="minorEastAsia" w:hint="eastAsia"/>
          <w:sz w:val="18"/>
        </w:rPr>
        <w:t>3</w:t>
      </w:r>
      <w:r w:rsidRPr="00F2795B">
        <w:rPr>
          <w:rFonts w:asciiTheme="minorEastAsia" w:hAnsiTheme="minorEastAsia" w:hint="eastAsia"/>
          <w:sz w:val="18"/>
        </w:rPr>
        <w:t xml:space="preserve"> 战略性</w:t>
      </w:r>
      <w:r w:rsidRPr="00F2795B">
        <w:rPr>
          <w:rFonts w:asciiTheme="minorEastAsia" w:hAnsiTheme="minorEastAsia"/>
          <w:sz w:val="18"/>
        </w:rPr>
        <w:t>新兴产业</w:t>
      </w:r>
      <w:r>
        <w:rPr>
          <w:rFonts w:asciiTheme="minorEastAsia" w:hAnsiTheme="minorEastAsia"/>
          <w:sz w:val="18"/>
        </w:rPr>
        <w:t>上市公司</w:t>
      </w:r>
      <w:r>
        <w:rPr>
          <w:rFonts w:asciiTheme="minorEastAsia" w:hAnsiTheme="minorEastAsia" w:hint="eastAsia"/>
          <w:sz w:val="18"/>
        </w:rPr>
        <w:t>分</w:t>
      </w:r>
      <w:r>
        <w:rPr>
          <w:rFonts w:asciiTheme="minorEastAsia" w:hAnsiTheme="minorEastAsia"/>
          <w:sz w:val="18"/>
        </w:rPr>
        <w:t>领域</w:t>
      </w:r>
      <w:r>
        <w:rPr>
          <w:rFonts w:asciiTheme="minorEastAsia" w:hAnsiTheme="minorEastAsia" w:hint="eastAsia"/>
          <w:sz w:val="18"/>
        </w:rPr>
        <w:t>利润</w:t>
      </w:r>
      <w:r w:rsidRPr="00F2795B">
        <w:rPr>
          <w:rFonts w:asciiTheme="minorEastAsia" w:hAnsiTheme="minorEastAsia" w:hint="eastAsia"/>
          <w:sz w:val="18"/>
        </w:rPr>
        <w:t>增速</w:t>
      </w:r>
      <w:r w:rsidRPr="00F2795B">
        <w:rPr>
          <w:rFonts w:asciiTheme="minorEastAsia" w:hAnsiTheme="minorEastAsia"/>
          <w:sz w:val="18"/>
        </w:rPr>
        <w:t>对比</w:t>
      </w:r>
    </w:p>
    <w:p w:rsidR="00AC2114" w:rsidRPr="000A65D3" w:rsidRDefault="007A1B23" w:rsidP="00F60255">
      <w:pPr>
        <w:spacing w:line="360" w:lineRule="auto"/>
        <w:ind w:firstLineChars="200" w:firstLine="562"/>
        <w:rPr>
          <w:rFonts w:ascii="仿宋_GB2312" w:eastAsia="仿宋_GB2312" w:hAnsi="仿宋"/>
          <w:b/>
          <w:sz w:val="28"/>
        </w:rPr>
      </w:pPr>
      <w:r>
        <w:rPr>
          <w:rFonts w:ascii="仿宋_GB2312" w:eastAsia="仿宋_GB2312" w:hAnsi="仿宋" w:hint="eastAsia"/>
          <w:b/>
          <w:sz w:val="28"/>
        </w:rPr>
        <w:t>二</w:t>
      </w:r>
      <w:r w:rsidR="00AC2114" w:rsidRPr="000A65D3">
        <w:rPr>
          <w:rFonts w:ascii="仿宋_GB2312" w:eastAsia="仿宋_GB2312" w:hAnsi="仿宋" w:hint="eastAsia"/>
          <w:b/>
          <w:sz w:val="28"/>
        </w:rPr>
        <w:t>、</w:t>
      </w:r>
      <w:r w:rsidR="000A65D3" w:rsidRPr="000A65D3">
        <w:rPr>
          <w:rFonts w:ascii="仿宋_GB2312" w:eastAsia="仿宋_GB2312" w:hAnsi="仿宋" w:hint="eastAsia"/>
          <w:b/>
          <w:sz w:val="28"/>
        </w:rPr>
        <w:t>重点</w:t>
      </w:r>
      <w:r w:rsidR="000A65D3" w:rsidRPr="000A65D3">
        <w:rPr>
          <w:rFonts w:ascii="仿宋_GB2312" w:eastAsia="仿宋_GB2312" w:hAnsi="仿宋"/>
          <w:b/>
          <w:sz w:val="28"/>
        </w:rPr>
        <w:t>领域</w:t>
      </w:r>
      <w:r w:rsidR="000A65D3" w:rsidRPr="000A65D3">
        <w:rPr>
          <w:rFonts w:ascii="仿宋_GB2312" w:eastAsia="仿宋_GB2312" w:hAnsi="仿宋" w:hint="eastAsia"/>
          <w:b/>
          <w:sz w:val="28"/>
        </w:rPr>
        <w:t>业绩</w:t>
      </w:r>
      <w:r w:rsidR="000A65D3" w:rsidRPr="000A65D3">
        <w:rPr>
          <w:rFonts w:ascii="仿宋_GB2312" w:eastAsia="仿宋_GB2312" w:hAnsi="仿宋"/>
          <w:b/>
          <w:sz w:val="28"/>
        </w:rPr>
        <w:t>较快增长</w:t>
      </w:r>
    </w:p>
    <w:p w:rsidR="00DC5F21" w:rsidRPr="00F60255" w:rsidRDefault="000A65D3" w:rsidP="00F92D52">
      <w:pPr>
        <w:spacing w:line="360" w:lineRule="auto"/>
        <w:ind w:firstLineChars="200" w:firstLine="600"/>
        <w:rPr>
          <w:rFonts w:ascii="仿宋_GB2312" w:eastAsia="仿宋_GB2312" w:hAnsi="仿宋"/>
          <w:sz w:val="28"/>
        </w:rPr>
      </w:pPr>
      <w:r>
        <w:rPr>
          <w:rFonts w:ascii="仿宋" w:eastAsia="仿宋" w:hAnsi="仿宋" w:hint="eastAsia"/>
          <w:sz w:val="30"/>
          <w:szCs w:val="30"/>
        </w:rPr>
        <w:t>2017年一</w:t>
      </w:r>
      <w:r w:rsidRPr="008C0052">
        <w:rPr>
          <w:rFonts w:ascii="仿宋" w:eastAsia="仿宋" w:hAnsi="仿宋" w:hint="eastAsia"/>
          <w:sz w:val="30"/>
          <w:szCs w:val="30"/>
        </w:rPr>
        <w:t>季度</w:t>
      </w:r>
      <w:r w:rsidRPr="00875695">
        <w:rPr>
          <w:rFonts w:ascii="仿宋" w:eastAsia="仿宋" w:hAnsi="仿宋" w:hint="eastAsia"/>
          <w:sz w:val="30"/>
          <w:szCs w:val="30"/>
        </w:rPr>
        <w:t>，</w:t>
      </w:r>
      <w:r w:rsidRPr="00094414">
        <w:rPr>
          <w:rFonts w:ascii="仿宋" w:eastAsia="仿宋" w:hAnsi="仿宋" w:hint="eastAsia"/>
          <w:sz w:val="30"/>
          <w:szCs w:val="30"/>
        </w:rPr>
        <w:t>重点领域业绩</w:t>
      </w:r>
      <w:r>
        <w:rPr>
          <w:rFonts w:ascii="仿宋" w:eastAsia="仿宋" w:hAnsi="仿宋" w:hint="eastAsia"/>
          <w:sz w:val="30"/>
          <w:szCs w:val="30"/>
        </w:rPr>
        <w:t>表现良好，带动战略性</w:t>
      </w:r>
      <w:r>
        <w:rPr>
          <w:rFonts w:ascii="仿宋" w:eastAsia="仿宋" w:hAnsi="仿宋"/>
          <w:sz w:val="30"/>
          <w:szCs w:val="30"/>
        </w:rPr>
        <w:t>新兴产业上市公司</w:t>
      </w:r>
      <w:r>
        <w:rPr>
          <w:rFonts w:ascii="仿宋" w:eastAsia="仿宋" w:hAnsi="仿宋" w:hint="eastAsia"/>
          <w:sz w:val="30"/>
          <w:szCs w:val="30"/>
        </w:rPr>
        <w:t>整体</w:t>
      </w:r>
      <w:r>
        <w:rPr>
          <w:rFonts w:ascii="仿宋" w:eastAsia="仿宋" w:hAnsi="仿宋"/>
          <w:sz w:val="30"/>
          <w:szCs w:val="30"/>
        </w:rPr>
        <w:t>业绩</w:t>
      </w:r>
      <w:r>
        <w:rPr>
          <w:rFonts w:ascii="仿宋" w:eastAsia="仿宋" w:hAnsi="仿宋" w:hint="eastAsia"/>
          <w:sz w:val="30"/>
          <w:szCs w:val="30"/>
        </w:rPr>
        <w:t>保持</w:t>
      </w:r>
      <w:r>
        <w:rPr>
          <w:rFonts w:ascii="仿宋" w:eastAsia="仿宋" w:hAnsi="仿宋"/>
          <w:sz w:val="30"/>
          <w:szCs w:val="30"/>
        </w:rPr>
        <w:t>较</w:t>
      </w:r>
      <w:r>
        <w:rPr>
          <w:rFonts w:ascii="仿宋" w:eastAsia="仿宋" w:hAnsi="仿宋" w:hint="eastAsia"/>
          <w:sz w:val="30"/>
          <w:szCs w:val="30"/>
        </w:rPr>
        <w:t>快</w:t>
      </w:r>
      <w:r>
        <w:rPr>
          <w:rFonts w:ascii="仿宋" w:eastAsia="仿宋" w:hAnsi="仿宋"/>
          <w:sz w:val="30"/>
          <w:szCs w:val="30"/>
        </w:rPr>
        <w:t>增长</w:t>
      </w:r>
      <w:r>
        <w:rPr>
          <w:rFonts w:ascii="仿宋" w:eastAsia="仿宋" w:hAnsi="仿宋" w:hint="eastAsia"/>
          <w:sz w:val="30"/>
          <w:szCs w:val="30"/>
        </w:rPr>
        <w:t>。</w:t>
      </w:r>
      <w:r w:rsidR="00C71BAB">
        <w:rPr>
          <w:rFonts w:ascii="仿宋" w:eastAsia="仿宋" w:hAnsi="仿宋" w:hint="eastAsia"/>
          <w:sz w:val="30"/>
          <w:szCs w:val="30"/>
        </w:rPr>
        <w:t>一季度</w:t>
      </w:r>
      <w:r w:rsidR="00C71BAB">
        <w:rPr>
          <w:rFonts w:ascii="仿宋" w:eastAsia="仿宋" w:hAnsi="仿宋"/>
          <w:sz w:val="30"/>
          <w:szCs w:val="30"/>
        </w:rPr>
        <w:t>，</w:t>
      </w:r>
      <w:r w:rsidR="00DC5F21" w:rsidRPr="000A65D3">
        <w:rPr>
          <w:rFonts w:ascii="仿宋_GB2312" w:eastAsia="仿宋_GB2312" w:hAnsi="仿宋" w:hint="eastAsia"/>
          <w:b/>
          <w:sz w:val="28"/>
        </w:rPr>
        <w:t>节能环保和新材料</w:t>
      </w:r>
      <w:r w:rsidR="00DC5F21" w:rsidRPr="00F60255">
        <w:rPr>
          <w:rFonts w:ascii="仿宋_GB2312" w:eastAsia="仿宋_GB2312" w:hAnsi="仿宋" w:hint="eastAsia"/>
          <w:sz w:val="28"/>
        </w:rPr>
        <w:t>延续去年快速增长态势，增速均超过40%，处于高速</w:t>
      </w:r>
      <w:r>
        <w:rPr>
          <w:rFonts w:ascii="仿宋_GB2312" w:eastAsia="仿宋_GB2312" w:hAnsi="仿宋" w:hint="eastAsia"/>
          <w:sz w:val="28"/>
        </w:rPr>
        <w:t>增长区间，</w:t>
      </w:r>
      <w:r w:rsidR="00DC5F21" w:rsidRPr="00F60255">
        <w:rPr>
          <w:rFonts w:ascii="仿宋_GB2312" w:eastAsia="仿宋_GB2312" w:hAnsi="仿宋" w:hint="eastAsia"/>
          <w:sz w:val="28"/>
        </w:rPr>
        <w:t>较去年同期也分别提升了20.7和38个百分点</w:t>
      </w:r>
      <w:r w:rsidR="007A1B23">
        <w:rPr>
          <w:rFonts w:ascii="仿宋_GB2312" w:eastAsia="仿宋_GB2312" w:hAnsi="仿宋" w:hint="eastAsia"/>
          <w:sz w:val="28"/>
        </w:rPr>
        <w:t>（见</w:t>
      </w:r>
      <w:r w:rsidR="007A1B23">
        <w:rPr>
          <w:rFonts w:ascii="仿宋_GB2312" w:eastAsia="仿宋_GB2312" w:hAnsi="仿宋"/>
          <w:sz w:val="28"/>
        </w:rPr>
        <w:t>图</w:t>
      </w:r>
      <w:r w:rsidR="007A1B23">
        <w:rPr>
          <w:rFonts w:ascii="仿宋_GB2312" w:eastAsia="仿宋_GB2312" w:hAnsi="仿宋" w:hint="eastAsia"/>
          <w:sz w:val="28"/>
        </w:rPr>
        <w:t>4）</w:t>
      </w:r>
      <w:r w:rsidR="00DC5F21" w:rsidRPr="00F60255">
        <w:rPr>
          <w:rFonts w:ascii="仿宋_GB2312" w:eastAsia="仿宋_GB2312" w:hAnsi="仿宋" w:hint="eastAsia"/>
          <w:sz w:val="28"/>
        </w:rPr>
        <w:t>。节能环保领域</w:t>
      </w:r>
      <w:r w:rsidR="00C71BAB">
        <w:rPr>
          <w:rFonts w:ascii="仿宋_GB2312" w:eastAsia="仿宋_GB2312" w:hAnsi="仿宋" w:hint="eastAsia"/>
          <w:sz w:val="28"/>
        </w:rPr>
        <w:t>营收规模</w:t>
      </w:r>
      <w:r w:rsidR="00DC5F21" w:rsidRPr="00F60255">
        <w:rPr>
          <w:rFonts w:ascii="仿宋_GB2312" w:eastAsia="仿宋_GB2312" w:hAnsi="仿宋" w:hint="eastAsia"/>
          <w:sz w:val="28"/>
        </w:rPr>
        <w:t>为464.3亿元，其中高效节能、先进环保、资源循环利用三大细分领域业绩发展均衡，增速均超过40%。新材料领域营收规模为504.5亿元，其中占比超过90%的先进结构材料和新型功能材料领域增速分别为30.7%和50%，与去年同期相比，增幅</w:t>
      </w:r>
      <w:r w:rsidR="00C71BAB">
        <w:rPr>
          <w:rFonts w:ascii="仿宋_GB2312" w:eastAsia="仿宋_GB2312" w:hAnsi="仿宋" w:hint="eastAsia"/>
          <w:sz w:val="28"/>
        </w:rPr>
        <w:t>明显</w:t>
      </w:r>
      <w:r w:rsidR="00DC5F21" w:rsidRPr="00F60255">
        <w:rPr>
          <w:rFonts w:ascii="仿宋_GB2312" w:eastAsia="仿宋_GB2312" w:hAnsi="仿宋" w:hint="eastAsia"/>
          <w:sz w:val="28"/>
        </w:rPr>
        <w:t>扩大。</w:t>
      </w:r>
      <w:r w:rsidR="00DC5F21" w:rsidRPr="00C71BAB">
        <w:rPr>
          <w:rFonts w:ascii="仿宋_GB2312" w:eastAsia="仿宋_GB2312" w:hAnsi="仿宋" w:hint="eastAsia"/>
          <w:b/>
          <w:sz w:val="28"/>
        </w:rPr>
        <w:t>生物</w:t>
      </w:r>
      <w:r w:rsidR="00DC5F21" w:rsidRPr="00C71BAB">
        <w:rPr>
          <w:rFonts w:ascii="仿宋_GB2312" w:eastAsia="仿宋_GB2312" w:hAnsi="仿宋" w:hint="eastAsia"/>
          <w:b/>
          <w:sz w:val="28"/>
        </w:rPr>
        <w:lastRenderedPageBreak/>
        <w:t>领域</w:t>
      </w:r>
      <w:r w:rsidR="00C71BAB" w:rsidRPr="00C71BAB">
        <w:rPr>
          <w:rFonts w:ascii="仿宋_GB2312" w:eastAsia="仿宋_GB2312" w:hAnsi="仿宋" w:hint="eastAsia"/>
          <w:sz w:val="28"/>
        </w:rPr>
        <w:t>增长较快</w:t>
      </w:r>
      <w:r w:rsidR="00C71BAB" w:rsidRPr="00C71BAB">
        <w:rPr>
          <w:rFonts w:ascii="仿宋_GB2312" w:eastAsia="仿宋_GB2312" w:hAnsi="仿宋"/>
          <w:sz w:val="28"/>
        </w:rPr>
        <w:t>，</w:t>
      </w:r>
      <w:r w:rsidR="00C71BAB">
        <w:rPr>
          <w:rFonts w:ascii="仿宋_GB2312" w:eastAsia="仿宋_GB2312" w:hAnsi="仿宋" w:hint="eastAsia"/>
          <w:sz w:val="28"/>
        </w:rPr>
        <w:t>一季度</w:t>
      </w:r>
      <w:r w:rsidR="00DC5F21" w:rsidRPr="00F60255">
        <w:rPr>
          <w:rFonts w:ascii="仿宋_GB2312" w:eastAsia="仿宋_GB2312" w:hAnsi="仿宋" w:hint="eastAsia"/>
          <w:sz w:val="28"/>
        </w:rPr>
        <w:t>营收规模为1678亿元，增速为24.2%，较去年同期增加9.3个百分点。主要受主体领域生物医药的快速增长驱动，2017年一季度生物医药增长24.3%。</w:t>
      </w:r>
      <w:r w:rsidR="00DC5F21" w:rsidRPr="00C71BAB">
        <w:rPr>
          <w:rFonts w:ascii="仿宋_GB2312" w:eastAsia="仿宋_GB2312" w:hAnsi="仿宋" w:hint="eastAsia"/>
          <w:b/>
          <w:sz w:val="28"/>
        </w:rPr>
        <w:t>新一代信息技术</w:t>
      </w:r>
      <w:r w:rsidR="00DC5F21" w:rsidRPr="00F60255">
        <w:rPr>
          <w:rFonts w:ascii="仿宋_GB2312" w:eastAsia="仿宋_GB2312" w:hAnsi="仿宋" w:hint="eastAsia"/>
          <w:sz w:val="28"/>
        </w:rPr>
        <w:t>领域与去年持平，营收规模为3426亿元，增速为23.6%，较去年同期回落0.6个百分点。</w:t>
      </w:r>
      <w:r w:rsidR="00DC5F21" w:rsidRPr="00C71BAB">
        <w:rPr>
          <w:rFonts w:ascii="仿宋_GB2312" w:eastAsia="仿宋_GB2312" w:hAnsi="仿宋" w:hint="eastAsia"/>
          <w:b/>
          <w:sz w:val="28"/>
        </w:rPr>
        <w:t>数字创意</w:t>
      </w:r>
      <w:r w:rsidR="00DC5F21" w:rsidRPr="00F60255">
        <w:rPr>
          <w:rFonts w:ascii="仿宋_GB2312" w:eastAsia="仿宋_GB2312" w:hAnsi="仿宋" w:hint="eastAsia"/>
          <w:sz w:val="28"/>
        </w:rPr>
        <w:t>领域体量较小，波动较大，2017年一季度出现</w:t>
      </w:r>
      <w:r w:rsidR="007B7E9F">
        <w:rPr>
          <w:rFonts w:ascii="仿宋_GB2312" w:eastAsia="仿宋_GB2312" w:hAnsi="仿宋" w:hint="eastAsia"/>
          <w:sz w:val="28"/>
        </w:rPr>
        <w:t>较大幅度下滑。</w:t>
      </w:r>
      <w:r w:rsidR="00DC5F21" w:rsidRPr="00F60255">
        <w:rPr>
          <w:rFonts w:ascii="仿宋_GB2312" w:eastAsia="仿宋_GB2312" w:hAnsi="仿宋" w:hint="eastAsia"/>
          <w:sz w:val="28"/>
        </w:rPr>
        <w:t>营收规模为367.5亿元，增速为18.6%，较去年同期下滑44个百分点，主要受去年同期上市企业数量多，营收增速基数高的影响。</w:t>
      </w:r>
      <w:r w:rsidR="00DC5F21" w:rsidRPr="00C71BAB">
        <w:rPr>
          <w:rFonts w:ascii="仿宋_GB2312" w:eastAsia="仿宋_GB2312" w:hAnsi="仿宋" w:hint="eastAsia"/>
          <w:b/>
          <w:sz w:val="28"/>
        </w:rPr>
        <w:t>新能源和高端装备</w:t>
      </w:r>
      <w:r w:rsidR="00DC5F21" w:rsidRPr="00C71BAB">
        <w:rPr>
          <w:rFonts w:ascii="仿宋_GB2312" w:eastAsia="仿宋_GB2312" w:hAnsi="仿宋" w:hint="eastAsia"/>
          <w:sz w:val="28"/>
        </w:rPr>
        <w:t>领域</w:t>
      </w:r>
      <w:r w:rsidR="00DC5F21" w:rsidRPr="00F60255">
        <w:rPr>
          <w:rFonts w:ascii="仿宋_GB2312" w:eastAsia="仿宋_GB2312" w:hAnsi="仿宋" w:hint="eastAsia"/>
          <w:sz w:val="28"/>
        </w:rPr>
        <w:t>表现较差，一季度新能源企业</w:t>
      </w:r>
      <w:r w:rsidR="00F92D52" w:rsidRPr="00F60255">
        <w:rPr>
          <w:rFonts w:ascii="仿宋_GB2312" w:eastAsia="仿宋_GB2312" w:hAnsi="仿宋" w:hint="eastAsia"/>
          <w:sz w:val="28"/>
        </w:rPr>
        <w:t>营收规模为412.1亿元，</w:t>
      </w:r>
      <w:r w:rsidR="00F92D52">
        <w:rPr>
          <w:rFonts w:ascii="仿宋_GB2312" w:eastAsia="仿宋_GB2312" w:hAnsi="仿宋" w:hint="eastAsia"/>
          <w:sz w:val="28"/>
        </w:rPr>
        <w:t>受去年抢装带来的高基数的影响</w:t>
      </w:r>
      <w:r w:rsidR="00DC5F21" w:rsidRPr="00F60255">
        <w:rPr>
          <w:rFonts w:ascii="仿宋_GB2312" w:eastAsia="仿宋_GB2312" w:hAnsi="仿宋" w:hint="eastAsia"/>
          <w:sz w:val="28"/>
        </w:rPr>
        <w:t>呈现零增长状态。</w:t>
      </w:r>
      <w:r w:rsidR="00DC5F21" w:rsidRPr="00C71BAB">
        <w:rPr>
          <w:rFonts w:ascii="仿宋_GB2312" w:eastAsia="仿宋_GB2312" w:hAnsi="仿宋" w:hint="eastAsia"/>
          <w:b/>
          <w:sz w:val="28"/>
        </w:rPr>
        <w:t>高端装备制造</w:t>
      </w:r>
      <w:r w:rsidR="00DC5F21" w:rsidRPr="00F60255">
        <w:rPr>
          <w:rFonts w:ascii="仿宋_GB2312" w:eastAsia="仿宋_GB2312" w:hAnsi="仿宋" w:hint="eastAsia"/>
          <w:sz w:val="28"/>
        </w:rPr>
        <w:t>领域持续下滑，一季度营收出现负增长，</w:t>
      </w:r>
      <w:r w:rsidR="00F92D52">
        <w:rPr>
          <w:rFonts w:ascii="仿宋_GB2312" w:eastAsia="仿宋_GB2312" w:hAnsi="仿宋" w:hint="eastAsia"/>
          <w:sz w:val="28"/>
        </w:rPr>
        <w:t>主要是</w:t>
      </w:r>
      <w:r w:rsidR="00DC5F21" w:rsidRPr="00F60255">
        <w:rPr>
          <w:rFonts w:ascii="仿宋_GB2312" w:eastAsia="仿宋_GB2312" w:hAnsi="仿宋" w:hint="eastAsia"/>
          <w:sz w:val="28"/>
        </w:rPr>
        <w:t>占比约三分之二的轨道交通子领域持续下滑，增速为-15.9%，</w:t>
      </w:r>
      <w:r w:rsidR="00C71BAB">
        <w:rPr>
          <w:rFonts w:ascii="仿宋_GB2312" w:eastAsia="仿宋_GB2312" w:hAnsi="仿宋" w:hint="eastAsia"/>
          <w:sz w:val="28"/>
        </w:rPr>
        <w:t>但</w:t>
      </w:r>
      <w:r w:rsidR="00DC5F21" w:rsidRPr="00F60255">
        <w:rPr>
          <w:rFonts w:ascii="仿宋_GB2312" w:eastAsia="仿宋_GB2312" w:hAnsi="仿宋" w:hint="eastAsia"/>
          <w:sz w:val="28"/>
        </w:rPr>
        <w:t>智能制造和卫星应用子</w:t>
      </w:r>
      <w:r w:rsidR="00C71BAB">
        <w:rPr>
          <w:rFonts w:ascii="仿宋_GB2312" w:eastAsia="仿宋_GB2312" w:hAnsi="仿宋" w:hint="eastAsia"/>
          <w:sz w:val="28"/>
        </w:rPr>
        <w:t>领域仍保持</w:t>
      </w:r>
      <w:r w:rsidR="00DC5F21" w:rsidRPr="00F60255">
        <w:rPr>
          <w:rFonts w:ascii="仿宋_GB2312" w:eastAsia="仿宋_GB2312" w:hAnsi="仿宋" w:hint="eastAsia"/>
          <w:sz w:val="28"/>
        </w:rPr>
        <w:t>超过20%的较高速增长。</w:t>
      </w:r>
    </w:p>
    <w:p w:rsidR="00BC66E7" w:rsidRPr="00F60255" w:rsidRDefault="00BC66E7" w:rsidP="00F60255">
      <w:pPr>
        <w:spacing w:line="360" w:lineRule="auto"/>
        <w:ind w:firstLineChars="200" w:firstLine="560"/>
        <w:rPr>
          <w:rFonts w:ascii="仿宋_GB2312" w:eastAsia="仿宋_GB2312" w:hAnsi="仿宋"/>
          <w:sz w:val="28"/>
        </w:rPr>
      </w:pPr>
      <w:r w:rsidRPr="00F60255">
        <w:rPr>
          <w:rFonts w:ascii="仿宋_GB2312" w:eastAsia="仿宋_GB2312" w:hAnsi="仿宋" w:hint="eastAsia"/>
          <w:noProof/>
          <w:sz w:val="28"/>
        </w:rPr>
        <w:drawing>
          <wp:inline distT="0" distB="0" distL="0" distR="0" wp14:anchorId="3B1CC915" wp14:editId="5A5AFBED">
            <wp:extent cx="4572000" cy="20955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4EF6" w:rsidRPr="00F60255" w:rsidRDefault="00694EF6" w:rsidP="00694EF6">
      <w:pPr>
        <w:spacing w:line="360" w:lineRule="auto"/>
        <w:ind w:firstLineChars="200" w:firstLine="360"/>
        <w:jc w:val="center"/>
        <w:rPr>
          <w:rFonts w:ascii="仿宋_GB2312" w:eastAsia="仿宋_GB2312" w:hAnsi="仿宋"/>
          <w:sz w:val="28"/>
        </w:rPr>
      </w:pPr>
      <w:r w:rsidRPr="00F2795B">
        <w:rPr>
          <w:rFonts w:asciiTheme="minorEastAsia" w:hAnsiTheme="minorEastAsia" w:hint="eastAsia"/>
          <w:sz w:val="18"/>
        </w:rPr>
        <w:t>图</w:t>
      </w:r>
      <w:r w:rsidR="007A1B23">
        <w:rPr>
          <w:rFonts w:asciiTheme="minorEastAsia" w:hAnsiTheme="minorEastAsia" w:hint="eastAsia"/>
          <w:sz w:val="18"/>
        </w:rPr>
        <w:t>4</w:t>
      </w:r>
      <w:r w:rsidRPr="00F2795B">
        <w:rPr>
          <w:rFonts w:asciiTheme="minorEastAsia" w:hAnsiTheme="minorEastAsia" w:hint="eastAsia"/>
          <w:sz w:val="18"/>
        </w:rPr>
        <w:t xml:space="preserve"> 战略性</w:t>
      </w:r>
      <w:r w:rsidRPr="00F2795B">
        <w:rPr>
          <w:rFonts w:asciiTheme="minorEastAsia" w:hAnsiTheme="minorEastAsia"/>
          <w:sz w:val="18"/>
        </w:rPr>
        <w:t>新兴产业</w:t>
      </w:r>
      <w:r>
        <w:rPr>
          <w:rFonts w:asciiTheme="minorEastAsia" w:hAnsiTheme="minorEastAsia"/>
          <w:sz w:val="18"/>
        </w:rPr>
        <w:t>上市公司</w:t>
      </w:r>
      <w:r>
        <w:rPr>
          <w:rFonts w:asciiTheme="minorEastAsia" w:hAnsiTheme="minorEastAsia" w:hint="eastAsia"/>
          <w:sz w:val="18"/>
        </w:rPr>
        <w:t>分领域</w:t>
      </w:r>
      <w:r>
        <w:rPr>
          <w:rFonts w:asciiTheme="minorEastAsia" w:hAnsiTheme="minorEastAsia"/>
          <w:sz w:val="18"/>
        </w:rPr>
        <w:t>营收</w:t>
      </w:r>
      <w:r w:rsidRPr="00F2795B">
        <w:rPr>
          <w:rFonts w:asciiTheme="minorEastAsia" w:hAnsiTheme="minorEastAsia" w:hint="eastAsia"/>
          <w:sz w:val="18"/>
        </w:rPr>
        <w:t>增速</w:t>
      </w:r>
      <w:r w:rsidRPr="00F2795B">
        <w:rPr>
          <w:rFonts w:asciiTheme="minorEastAsia" w:hAnsiTheme="minorEastAsia"/>
          <w:sz w:val="18"/>
        </w:rPr>
        <w:t>对比</w:t>
      </w:r>
    </w:p>
    <w:p w:rsidR="007A1B23" w:rsidRPr="00F2795B" w:rsidRDefault="007A1B23" w:rsidP="007A1B23">
      <w:pPr>
        <w:spacing w:line="360" w:lineRule="auto"/>
        <w:ind w:firstLineChars="200" w:firstLine="562"/>
        <w:rPr>
          <w:rFonts w:ascii="仿宋_GB2312" w:eastAsia="仿宋_GB2312" w:hAnsi="仿宋"/>
          <w:b/>
          <w:sz w:val="28"/>
        </w:rPr>
      </w:pPr>
      <w:r>
        <w:rPr>
          <w:rFonts w:ascii="仿宋_GB2312" w:eastAsia="仿宋_GB2312" w:hAnsi="仿宋" w:hint="eastAsia"/>
          <w:b/>
          <w:sz w:val="28"/>
        </w:rPr>
        <w:t>三</w:t>
      </w:r>
      <w:r w:rsidRPr="00F2795B">
        <w:rPr>
          <w:rFonts w:ascii="仿宋_GB2312" w:eastAsia="仿宋_GB2312" w:hAnsi="仿宋" w:hint="eastAsia"/>
          <w:b/>
          <w:sz w:val="28"/>
        </w:rPr>
        <w:t>、战略性新兴产业上市企业</w:t>
      </w:r>
      <w:r>
        <w:rPr>
          <w:rFonts w:ascii="仿宋_GB2312" w:eastAsia="仿宋_GB2312" w:hAnsi="仿宋" w:hint="eastAsia"/>
          <w:b/>
          <w:sz w:val="28"/>
        </w:rPr>
        <w:t>在</w:t>
      </w:r>
      <w:r w:rsidRPr="00F2795B">
        <w:rPr>
          <w:rFonts w:ascii="仿宋_GB2312" w:eastAsia="仿宋_GB2312" w:hAnsi="仿宋" w:hint="eastAsia"/>
          <w:b/>
          <w:sz w:val="28"/>
        </w:rPr>
        <w:t>创业板表现最好</w:t>
      </w:r>
    </w:p>
    <w:p w:rsidR="007A1B23" w:rsidRPr="00F60255" w:rsidRDefault="007A1B23" w:rsidP="007A1B23">
      <w:pPr>
        <w:spacing w:line="360" w:lineRule="auto"/>
        <w:ind w:firstLineChars="200" w:firstLine="560"/>
        <w:rPr>
          <w:rFonts w:ascii="仿宋_GB2312" w:eastAsia="仿宋_GB2312" w:hAnsi="仿宋"/>
          <w:sz w:val="28"/>
        </w:rPr>
      </w:pPr>
      <w:r w:rsidRPr="00F60255">
        <w:rPr>
          <w:rFonts w:ascii="仿宋_GB2312" w:eastAsia="仿宋_GB2312" w:hAnsi="仿宋" w:hint="eastAsia"/>
          <w:sz w:val="28"/>
        </w:rPr>
        <w:t>战略性新兴产业上市公司占据创业</w:t>
      </w:r>
      <w:proofErr w:type="gramStart"/>
      <w:r w:rsidRPr="00F60255">
        <w:rPr>
          <w:rFonts w:ascii="仿宋_GB2312" w:eastAsia="仿宋_GB2312" w:hAnsi="仿宋" w:hint="eastAsia"/>
          <w:sz w:val="28"/>
        </w:rPr>
        <w:t>板企业</w:t>
      </w:r>
      <w:proofErr w:type="gramEnd"/>
      <w:r w:rsidRPr="00F60255">
        <w:rPr>
          <w:rFonts w:ascii="仿宋_GB2312" w:eastAsia="仿宋_GB2312" w:hAnsi="仿宋" w:hint="eastAsia"/>
          <w:sz w:val="28"/>
        </w:rPr>
        <w:t>数的三分之二，是其重要组成部分。2017年一季度，A股</w:t>
      </w:r>
      <w:r>
        <w:rPr>
          <w:rFonts w:ascii="仿宋_GB2312" w:eastAsia="仿宋_GB2312" w:hAnsi="仿宋" w:hint="eastAsia"/>
          <w:sz w:val="28"/>
        </w:rPr>
        <w:t>上市</w:t>
      </w:r>
      <w:r>
        <w:rPr>
          <w:rFonts w:ascii="仿宋_GB2312" w:eastAsia="仿宋_GB2312" w:hAnsi="仿宋"/>
          <w:sz w:val="28"/>
        </w:rPr>
        <w:t>企业</w:t>
      </w:r>
      <w:r w:rsidRPr="00F60255">
        <w:rPr>
          <w:rFonts w:ascii="仿宋_GB2312" w:eastAsia="仿宋_GB2312" w:hAnsi="仿宋" w:hint="eastAsia"/>
          <w:sz w:val="28"/>
        </w:rPr>
        <w:t>中创业</w:t>
      </w:r>
      <w:proofErr w:type="gramStart"/>
      <w:r w:rsidRPr="00F60255">
        <w:rPr>
          <w:rFonts w:ascii="仿宋_GB2312" w:eastAsia="仿宋_GB2312" w:hAnsi="仿宋" w:hint="eastAsia"/>
          <w:sz w:val="28"/>
        </w:rPr>
        <w:t>板业绩</w:t>
      </w:r>
      <w:proofErr w:type="gramEnd"/>
      <w:r>
        <w:rPr>
          <w:rFonts w:ascii="仿宋_GB2312" w:eastAsia="仿宋_GB2312" w:hAnsi="仿宋" w:hint="eastAsia"/>
          <w:sz w:val="28"/>
        </w:rPr>
        <w:t>表现最好，营收增速达</w:t>
      </w:r>
      <w:r w:rsidRPr="00F60255">
        <w:rPr>
          <w:rFonts w:ascii="仿宋_GB2312" w:eastAsia="仿宋_GB2312" w:hAnsi="仿宋" w:hint="eastAsia"/>
          <w:sz w:val="28"/>
        </w:rPr>
        <w:t>36.3%</w:t>
      </w:r>
      <w:r>
        <w:rPr>
          <w:rFonts w:ascii="仿宋_GB2312" w:eastAsia="仿宋_GB2312" w:hAnsi="仿宋" w:hint="eastAsia"/>
          <w:sz w:val="28"/>
        </w:rPr>
        <w:t>（见</w:t>
      </w:r>
      <w:r>
        <w:rPr>
          <w:rFonts w:ascii="仿宋_GB2312" w:eastAsia="仿宋_GB2312" w:hAnsi="仿宋"/>
          <w:sz w:val="28"/>
        </w:rPr>
        <w:t>图</w:t>
      </w:r>
      <w:r>
        <w:rPr>
          <w:rFonts w:ascii="仿宋_GB2312" w:eastAsia="仿宋_GB2312" w:hAnsi="仿宋" w:hint="eastAsia"/>
          <w:sz w:val="28"/>
        </w:rPr>
        <w:t>5）</w:t>
      </w:r>
      <w:r w:rsidR="007B7E9F">
        <w:rPr>
          <w:rFonts w:ascii="仿宋_GB2312" w:eastAsia="仿宋_GB2312" w:hAnsi="仿宋" w:hint="eastAsia"/>
          <w:sz w:val="28"/>
        </w:rPr>
        <w:t>，</w:t>
      </w:r>
      <w:r w:rsidRPr="00F60255">
        <w:rPr>
          <w:rFonts w:ascii="仿宋_GB2312" w:eastAsia="仿宋_GB2312" w:hAnsi="仿宋" w:hint="eastAsia"/>
          <w:sz w:val="28"/>
        </w:rPr>
        <w:t>而其中的战略性新兴产业企业更甚一筹，</w:t>
      </w:r>
      <w:r w:rsidR="007B7E9F" w:rsidRPr="00F60255">
        <w:rPr>
          <w:rFonts w:ascii="仿宋_GB2312" w:eastAsia="仿宋_GB2312" w:hAnsi="仿宋" w:hint="eastAsia"/>
          <w:sz w:val="28"/>
        </w:rPr>
        <w:lastRenderedPageBreak/>
        <w:t>增速</w:t>
      </w:r>
      <w:r w:rsidRPr="00F60255">
        <w:rPr>
          <w:rFonts w:ascii="仿宋_GB2312" w:eastAsia="仿宋_GB2312" w:hAnsi="仿宋" w:hint="eastAsia"/>
          <w:sz w:val="28"/>
        </w:rPr>
        <w:t>达40.9%，是拉动创业板增长的关键力量</w:t>
      </w:r>
      <w:r w:rsidR="00F2345E">
        <w:rPr>
          <w:rFonts w:ascii="仿宋_GB2312" w:eastAsia="仿宋_GB2312" w:hAnsi="仿宋" w:hint="eastAsia"/>
          <w:sz w:val="28"/>
        </w:rPr>
        <w:t>，显示战略性新兴产业的成长空间仍旧巨大</w:t>
      </w:r>
      <w:r w:rsidRPr="00F60255">
        <w:rPr>
          <w:rFonts w:ascii="仿宋_GB2312" w:eastAsia="仿宋_GB2312" w:hAnsi="仿宋" w:hint="eastAsia"/>
          <w:sz w:val="28"/>
        </w:rPr>
        <w:t>。中小企业板中战略性新兴产业企业和整体</w:t>
      </w:r>
      <w:r>
        <w:rPr>
          <w:rFonts w:ascii="仿宋_GB2312" w:eastAsia="仿宋_GB2312" w:hAnsi="仿宋" w:hint="eastAsia"/>
          <w:sz w:val="28"/>
        </w:rPr>
        <w:t>板块</w:t>
      </w:r>
      <w:r w:rsidRPr="00F60255">
        <w:rPr>
          <w:rFonts w:ascii="仿宋_GB2312" w:eastAsia="仿宋_GB2312" w:hAnsi="仿宋" w:hint="eastAsia"/>
          <w:sz w:val="28"/>
        </w:rPr>
        <w:t>增速基本持平，二者增速均接近30%。主板</w:t>
      </w:r>
      <w:r>
        <w:rPr>
          <w:rFonts w:ascii="仿宋_GB2312" w:eastAsia="仿宋_GB2312" w:hAnsi="仿宋" w:hint="eastAsia"/>
          <w:sz w:val="28"/>
        </w:rPr>
        <w:t>中</w:t>
      </w:r>
      <w:r w:rsidRPr="00F60255">
        <w:rPr>
          <w:rFonts w:ascii="仿宋_GB2312" w:eastAsia="仿宋_GB2312" w:hAnsi="仿宋" w:hint="eastAsia"/>
          <w:sz w:val="28"/>
        </w:rPr>
        <w:t>战略性新兴产业企业增速为13.6%</w:t>
      </w:r>
      <w:r>
        <w:rPr>
          <w:rFonts w:ascii="仿宋_GB2312" w:eastAsia="仿宋_GB2312" w:hAnsi="仿宋" w:hint="eastAsia"/>
          <w:sz w:val="28"/>
        </w:rPr>
        <w:t>，</w:t>
      </w:r>
      <w:r w:rsidR="000E749F">
        <w:rPr>
          <w:rFonts w:ascii="仿宋_GB2312" w:eastAsia="仿宋_GB2312" w:hAnsi="仿宋" w:hint="eastAsia"/>
          <w:sz w:val="28"/>
        </w:rPr>
        <w:t>主要是高端装备等产业表现不佳导致，</w:t>
      </w:r>
      <w:r w:rsidRPr="00F60255">
        <w:rPr>
          <w:rFonts w:ascii="仿宋_GB2312" w:eastAsia="仿宋_GB2312" w:hAnsi="仿宋" w:hint="eastAsia"/>
          <w:sz w:val="28"/>
        </w:rPr>
        <w:t>低于</w:t>
      </w:r>
      <w:r>
        <w:rPr>
          <w:rFonts w:ascii="仿宋_GB2312" w:eastAsia="仿宋_GB2312" w:hAnsi="仿宋" w:hint="eastAsia"/>
          <w:sz w:val="28"/>
        </w:rPr>
        <w:t>主板</w:t>
      </w:r>
      <w:r w:rsidRPr="00F60255">
        <w:rPr>
          <w:rFonts w:ascii="仿宋_GB2312" w:eastAsia="仿宋_GB2312" w:hAnsi="仿宋" w:hint="eastAsia"/>
          <w:sz w:val="28"/>
        </w:rPr>
        <w:t>整体</w:t>
      </w:r>
      <w:r>
        <w:rPr>
          <w:rFonts w:ascii="仿宋_GB2312" w:eastAsia="仿宋_GB2312" w:hAnsi="仿宋" w:hint="eastAsia"/>
          <w:sz w:val="28"/>
        </w:rPr>
        <w:t>21.7</w:t>
      </w:r>
      <w:r>
        <w:rPr>
          <w:rFonts w:ascii="仿宋_GB2312" w:eastAsia="仿宋_GB2312" w:hAnsi="仿宋"/>
          <w:sz w:val="28"/>
        </w:rPr>
        <w:t>%的较高水平</w:t>
      </w:r>
      <w:r>
        <w:rPr>
          <w:rFonts w:ascii="仿宋_GB2312" w:eastAsia="仿宋_GB2312" w:hAnsi="仿宋" w:hint="eastAsia"/>
          <w:sz w:val="28"/>
        </w:rPr>
        <w:t>，主要</w:t>
      </w:r>
      <w:r>
        <w:rPr>
          <w:rFonts w:ascii="仿宋_GB2312" w:eastAsia="仿宋_GB2312" w:hAnsi="仿宋"/>
          <w:sz w:val="28"/>
        </w:rPr>
        <w:t>由于</w:t>
      </w:r>
      <w:r w:rsidRPr="00F60255">
        <w:rPr>
          <w:rFonts w:ascii="仿宋_GB2312" w:eastAsia="仿宋_GB2312" w:hAnsi="仿宋" w:hint="eastAsia"/>
          <w:sz w:val="28"/>
        </w:rPr>
        <w:t>传统</w:t>
      </w:r>
      <w:r>
        <w:rPr>
          <w:rFonts w:ascii="仿宋_GB2312" w:eastAsia="仿宋_GB2312" w:hAnsi="仿宋" w:hint="eastAsia"/>
          <w:sz w:val="28"/>
        </w:rPr>
        <w:t>产</w:t>
      </w:r>
      <w:r w:rsidRPr="00F60255">
        <w:rPr>
          <w:rFonts w:ascii="仿宋_GB2312" w:eastAsia="仿宋_GB2312" w:hAnsi="仿宋" w:hint="eastAsia"/>
          <w:sz w:val="28"/>
        </w:rPr>
        <w:t>业</w:t>
      </w:r>
      <w:r>
        <w:rPr>
          <w:rFonts w:ascii="仿宋_GB2312" w:eastAsia="仿宋_GB2312" w:hAnsi="仿宋" w:hint="eastAsia"/>
          <w:sz w:val="28"/>
        </w:rPr>
        <w:t>业</w:t>
      </w:r>
      <w:r w:rsidRPr="00F60255">
        <w:rPr>
          <w:rFonts w:ascii="仿宋_GB2312" w:eastAsia="仿宋_GB2312" w:hAnsi="仿宋" w:hint="eastAsia"/>
          <w:sz w:val="28"/>
        </w:rPr>
        <w:t>绩大幅上扬，</w:t>
      </w:r>
      <w:r>
        <w:rPr>
          <w:rFonts w:ascii="仿宋_GB2312" w:eastAsia="仿宋_GB2312" w:hAnsi="仿宋" w:hint="eastAsia"/>
          <w:sz w:val="28"/>
        </w:rPr>
        <w:t>拉动主板</w:t>
      </w:r>
      <w:r>
        <w:rPr>
          <w:rFonts w:ascii="仿宋_GB2312" w:eastAsia="仿宋_GB2312" w:hAnsi="仿宋"/>
          <w:sz w:val="28"/>
        </w:rPr>
        <w:t>营收</w:t>
      </w:r>
      <w:r>
        <w:rPr>
          <w:rFonts w:ascii="仿宋_GB2312" w:eastAsia="仿宋_GB2312" w:hAnsi="仿宋" w:hint="eastAsia"/>
          <w:sz w:val="28"/>
        </w:rPr>
        <w:t>增速迅速</w:t>
      </w:r>
      <w:r>
        <w:rPr>
          <w:rFonts w:ascii="仿宋_GB2312" w:eastAsia="仿宋_GB2312" w:hAnsi="仿宋"/>
          <w:sz w:val="28"/>
        </w:rPr>
        <w:t>上调</w:t>
      </w:r>
      <w:r w:rsidRPr="00F60255">
        <w:rPr>
          <w:rFonts w:ascii="仿宋_GB2312" w:eastAsia="仿宋_GB2312" w:hAnsi="仿宋" w:hint="eastAsia"/>
          <w:sz w:val="28"/>
        </w:rPr>
        <w:t>。</w:t>
      </w:r>
    </w:p>
    <w:p w:rsidR="007A1B23" w:rsidRPr="00F60255" w:rsidRDefault="007A1B23" w:rsidP="007A1B23">
      <w:pPr>
        <w:spacing w:line="360" w:lineRule="auto"/>
        <w:ind w:firstLineChars="200" w:firstLine="560"/>
        <w:rPr>
          <w:rFonts w:ascii="仿宋_GB2312" w:eastAsia="仿宋_GB2312" w:hAnsi="仿宋"/>
          <w:sz w:val="28"/>
        </w:rPr>
      </w:pPr>
      <w:r w:rsidRPr="00F60255">
        <w:rPr>
          <w:rFonts w:ascii="仿宋_GB2312" w:eastAsia="仿宋_GB2312" w:hAnsi="仿宋" w:hint="eastAsia"/>
          <w:noProof/>
          <w:sz w:val="28"/>
        </w:rPr>
        <w:drawing>
          <wp:inline distT="0" distB="0" distL="0" distR="0" wp14:anchorId="14471EE7" wp14:editId="077950E0">
            <wp:extent cx="4572000" cy="1876425"/>
            <wp:effectExtent l="0" t="0" r="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1B23" w:rsidRPr="00F60255" w:rsidRDefault="007A1B23" w:rsidP="007A1B23">
      <w:pPr>
        <w:spacing w:line="360" w:lineRule="auto"/>
        <w:ind w:firstLineChars="200" w:firstLine="360"/>
        <w:jc w:val="center"/>
        <w:rPr>
          <w:rFonts w:ascii="仿宋_GB2312" w:eastAsia="仿宋_GB2312" w:hAnsi="仿宋"/>
          <w:sz w:val="28"/>
        </w:rPr>
      </w:pPr>
      <w:r w:rsidRPr="00F2795B">
        <w:rPr>
          <w:rFonts w:asciiTheme="minorEastAsia" w:hAnsiTheme="minorEastAsia" w:hint="eastAsia"/>
          <w:sz w:val="18"/>
        </w:rPr>
        <w:t>图</w:t>
      </w:r>
      <w:r>
        <w:rPr>
          <w:rFonts w:asciiTheme="minorEastAsia" w:hAnsiTheme="minorEastAsia" w:hint="eastAsia"/>
          <w:sz w:val="18"/>
        </w:rPr>
        <w:t>5</w:t>
      </w:r>
      <w:r w:rsidRPr="00F2795B">
        <w:rPr>
          <w:rFonts w:asciiTheme="minorEastAsia" w:hAnsiTheme="minorEastAsia" w:hint="eastAsia"/>
          <w:sz w:val="18"/>
        </w:rPr>
        <w:t xml:space="preserve"> 战略性</w:t>
      </w:r>
      <w:r w:rsidRPr="00F2795B">
        <w:rPr>
          <w:rFonts w:asciiTheme="minorEastAsia" w:hAnsiTheme="minorEastAsia"/>
          <w:sz w:val="18"/>
        </w:rPr>
        <w:t>新兴产业</w:t>
      </w:r>
      <w:r>
        <w:rPr>
          <w:rFonts w:asciiTheme="minorEastAsia" w:hAnsiTheme="minorEastAsia" w:hint="eastAsia"/>
          <w:sz w:val="18"/>
        </w:rPr>
        <w:t>和A股</w:t>
      </w:r>
      <w:r>
        <w:rPr>
          <w:rFonts w:asciiTheme="minorEastAsia" w:hAnsiTheme="minorEastAsia"/>
          <w:sz w:val="18"/>
        </w:rPr>
        <w:t>上市公司</w:t>
      </w:r>
      <w:proofErr w:type="gramStart"/>
      <w:r>
        <w:rPr>
          <w:rFonts w:asciiTheme="minorEastAsia" w:hAnsiTheme="minorEastAsia" w:hint="eastAsia"/>
          <w:sz w:val="18"/>
        </w:rPr>
        <w:t>分板块</w:t>
      </w:r>
      <w:r>
        <w:rPr>
          <w:rFonts w:asciiTheme="minorEastAsia" w:hAnsiTheme="minorEastAsia"/>
          <w:sz w:val="18"/>
        </w:rPr>
        <w:t>营</w:t>
      </w:r>
      <w:proofErr w:type="gramEnd"/>
      <w:r>
        <w:rPr>
          <w:rFonts w:asciiTheme="minorEastAsia" w:hAnsiTheme="minorEastAsia"/>
          <w:sz w:val="18"/>
        </w:rPr>
        <w:t>收</w:t>
      </w:r>
      <w:r w:rsidRPr="00F2795B">
        <w:rPr>
          <w:rFonts w:asciiTheme="minorEastAsia" w:hAnsiTheme="minorEastAsia" w:hint="eastAsia"/>
          <w:sz w:val="18"/>
        </w:rPr>
        <w:t>增速</w:t>
      </w:r>
      <w:r w:rsidRPr="00F2795B">
        <w:rPr>
          <w:rFonts w:asciiTheme="minorEastAsia" w:hAnsiTheme="minorEastAsia"/>
          <w:sz w:val="18"/>
        </w:rPr>
        <w:t>对比</w:t>
      </w:r>
    </w:p>
    <w:p w:rsidR="00AC2114" w:rsidRPr="00C71BAB" w:rsidRDefault="007A1B23" w:rsidP="00F60255">
      <w:pPr>
        <w:spacing w:line="360" w:lineRule="auto"/>
        <w:ind w:firstLineChars="200" w:firstLine="562"/>
        <w:rPr>
          <w:rFonts w:ascii="仿宋_GB2312" w:eastAsia="仿宋_GB2312" w:hAnsi="仿宋"/>
          <w:b/>
          <w:sz w:val="28"/>
        </w:rPr>
      </w:pPr>
      <w:r>
        <w:rPr>
          <w:rFonts w:ascii="仿宋_GB2312" w:eastAsia="仿宋_GB2312" w:hAnsi="仿宋" w:hint="eastAsia"/>
          <w:b/>
          <w:sz w:val="28"/>
        </w:rPr>
        <w:t>四</w:t>
      </w:r>
      <w:r w:rsidR="00EC3B21" w:rsidRPr="00C71BAB">
        <w:rPr>
          <w:rFonts w:ascii="仿宋_GB2312" w:eastAsia="仿宋_GB2312" w:hAnsi="仿宋" w:hint="eastAsia"/>
          <w:b/>
          <w:sz w:val="28"/>
        </w:rPr>
        <w:t>、</w:t>
      </w:r>
      <w:r w:rsidR="00D07101" w:rsidRPr="00C71BAB">
        <w:rPr>
          <w:rFonts w:ascii="仿宋_GB2312" w:eastAsia="仿宋_GB2312" w:hAnsi="仿宋" w:hint="eastAsia"/>
          <w:b/>
          <w:sz w:val="28"/>
        </w:rPr>
        <w:t>中部</w:t>
      </w:r>
      <w:r w:rsidR="00D07101" w:rsidRPr="00C71BAB">
        <w:rPr>
          <w:rFonts w:ascii="仿宋_GB2312" w:eastAsia="仿宋_GB2312" w:hAnsi="仿宋"/>
          <w:b/>
          <w:sz w:val="28"/>
        </w:rPr>
        <w:t>地区</w:t>
      </w:r>
      <w:r w:rsidR="00D07101" w:rsidRPr="00C71BAB">
        <w:rPr>
          <w:rFonts w:ascii="仿宋_GB2312" w:eastAsia="仿宋_GB2312" w:hAnsi="仿宋" w:hint="eastAsia"/>
          <w:b/>
          <w:sz w:val="28"/>
        </w:rPr>
        <w:t>领航全国</w:t>
      </w:r>
      <w:r w:rsidR="00D07101" w:rsidRPr="00C71BAB">
        <w:rPr>
          <w:rFonts w:ascii="仿宋_GB2312" w:eastAsia="仿宋_GB2312" w:hAnsi="仿宋"/>
          <w:b/>
          <w:sz w:val="28"/>
        </w:rPr>
        <w:t>增长</w:t>
      </w:r>
    </w:p>
    <w:p w:rsidR="00AC2114" w:rsidRPr="00F60255" w:rsidRDefault="00C71BAB" w:rsidP="00F60255">
      <w:pPr>
        <w:spacing w:line="360" w:lineRule="auto"/>
        <w:ind w:firstLineChars="200" w:firstLine="560"/>
        <w:rPr>
          <w:rFonts w:ascii="仿宋_GB2312" w:eastAsia="仿宋_GB2312" w:hAnsi="仿宋"/>
          <w:sz w:val="28"/>
        </w:rPr>
      </w:pPr>
      <w:r w:rsidRPr="00C71BAB">
        <w:rPr>
          <w:rFonts w:ascii="仿宋_GB2312" w:eastAsia="仿宋_GB2312" w:hAnsi="仿宋" w:hint="eastAsia"/>
          <w:sz w:val="28"/>
        </w:rPr>
        <w:t>分区域来看，中</w:t>
      </w:r>
      <w:r w:rsidR="00694EF6">
        <w:rPr>
          <w:rFonts w:ascii="仿宋_GB2312" w:eastAsia="仿宋_GB2312" w:hAnsi="仿宋" w:hint="eastAsia"/>
          <w:sz w:val="28"/>
        </w:rPr>
        <w:t>东</w:t>
      </w:r>
      <w:r w:rsidRPr="00C71BAB">
        <w:rPr>
          <w:rFonts w:ascii="仿宋_GB2312" w:eastAsia="仿宋_GB2312" w:hAnsi="仿宋" w:hint="eastAsia"/>
          <w:sz w:val="28"/>
        </w:rPr>
        <w:t>部地区增速明显领先</w:t>
      </w:r>
      <w:r w:rsidR="00694EF6">
        <w:rPr>
          <w:rFonts w:ascii="仿宋_GB2312" w:eastAsia="仿宋_GB2312" w:hAnsi="仿宋" w:hint="eastAsia"/>
          <w:sz w:val="28"/>
        </w:rPr>
        <w:t>，与其他</w:t>
      </w:r>
      <w:r w:rsidR="00694EF6">
        <w:rPr>
          <w:rFonts w:ascii="仿宋_GB2312" w:eastAsia="仿宋_GB2312" w:hAnsi="仿宋"/>
          <w:sz w:val="28"/>
        </w:rPr>
        <w:t>地区</w:t>
      </w:r>
      <w:r w:rsidR="00694EF6">
        <w:rPr>
          <w:rFonts w:ascii="仿宋_GB2312" w:eastAsia="仿宋_GB2312" w:hAnsi="仿宋" w:hint="eastAsia"/>
          <w:sz w:val="28"/>
        </w:rPr>
        <w:t>差距</w:t>
      </w:r>
      <w:r w:rsidR="00694EF6">
        <w:rPr>
          <w:rFonts w:ascii="仿宋_GB2312" w:eastAsia="仿宋_GB2312" w:hAnsi="仿宋"/>
          <w:sz w:val="28"/>
        </w:rPr>
        <w:t>较大</w:t>
      </w:r>
      <w:r w:rsidRPr="00C71BAB">
        <w:rPr>
          <w:rFonts w:ascii="仿宋_GB2312" w:eastAsia="仿宋_GB2312" w:hAnsi="仿宋" w:hint="eastAsia"/>
          <w:sz w:val="28"/>
        </w:rPr>
        <w:t>。</w:t>
      </w:r>
      <w:r w:rsidR="00694EF6">
        <w:rPr>
          <w:rFonts w:ascii="仿宋_GB2312" w:eastAsia="仿宋_GB2312" w:hAnsi="仿宋" w:hint="eastAsia"/>
          <w:sz w:val="28"/>
        </w:rPr>
        <w:t>其中</w:t>
      </w:r>
      <w:r w:rsidR="00694EF6">
        <w:rPr>
          <w:rFonts w:ascii="仿宋_GB2312" w:eastAsia="仿宋_GB2312" w:hAnsi="仿宋"/>
          <w:sz w:val="28"/>
        </w:rPr>
        <w:t>，</w:t>
      </w:r>
      <w:r w:rsidR="00DC5F21" w:rsidRPr="00C71BAB">
        <w:rPr>
          <w:rFonts w:ascii="仿宋_GB2312" w:eastAsia="仿宋_GB2312" w:hAnsi="仿宋" w:hint="eastAsia"/>
          <w:b/>
          <w:sz w:val="28"/>
        </w:rPr>
        <w:t>中部地区</w:t>
      </w:r>
      <w:r w:rsidR="00DC5F21" w:rsidRPr="00F60255">
        <w:rPr>
          <w:rFonts w:ascii="仿宋_GB2312" w:eastAsia="仿宋_GB2312" w:hAnsi="仿宋" w:hint="eastAsia"/>
          <w:sz w:val="28"/>
        </w:rPr>
        <w:t>新兴产业实现翻番增长，增速为41.6%，较去年同期增长一倍</w:t>
      </w:r>
      <w:r w:rsidR="00694EF6">
        <w:rPr>
          <w:rFonts w:ascii="仿宋_GB2312" w:eastAsia="仿宋_GB2312" w:hAnsi="仿宋" w:hint="eastAsia"/>
          <w:sz w:val="28"/>
        </w:rPr>
        <w:t>，</w:t>
      </w:r>
      <w:r w:rsidR="00CD1F60" w:rsidRPr="00F60255">
        <w:rPr>
          <w:rFonts w:ascii="仿宋_GB2312" w:eastAsia="仿宋_GB2312" w:hAnsi="仿宋" w:hint="eastAsia"/>
          <w:sz w:val="28"/>
        </w:rPr>
        <w:t>大幅领先其他三大区域</w:t>
      </w:r>
      <w:r w:rsidR="007A1B23">
        <w:rPr>
          <w:rFonts w:ascii="仿宋_GB2312" w:eastAsia="仿宋_GB2312" w:hAnsi="仿宋" w:hint="eastAsia"/>
          <w:sz w:val="28"/>
        </w:rPr>
        <w:t>（见</w:t>
      </w:r>
      <w:r w:rsidR="007A1B23">
        <w:rPr>
          <w:rFonts w:ascii="仿宋_GB2312" w:eastAsia="仿宋_GB2312" w:hAnsi="仿宋"/>
          <w:sz w:val="28"/>
        </w:rPr>
        <w:t>图</w:t>
      </w:r>
      <w:r w:rsidR="007A1B23">
        <w:rPr>
          <w:rFonts w:ascii="仿宋_GB2312" w:eastAsia="仿宋_GB2312" w:hAnsi="仿宋" w:hint="eastAsia"/>
          <w:sz w:val="28"/>
        </w:rPr>
        <w:t>6）</w:t>
      </w:r>
      <w:r w:rsidR="00CD1F60" w:rsidRPr="00F60255">
        <w:rPr>
          <w:rFonts w:ascii="仿宋_GB2312" w:eastAsia="仿宋_GB2312" w:hAnsi="仿宋" w:hint="eastAsia"/>
          <w:sz w:val="28"/>
        </w:rPr>
        <w:t>。分省份看，湖北和安徽两个主力省份增长迅猛，分别增长75%和63%，带动中部地区快速增长</w:t>
      </w:r>
      <w:r w:rsidR="00225261">
        <w:rPr>
          <w:rFonts w:ascii="仿宋_GB2312" w:eastAsia="仿宋_GB2312" w:hAnsi="仿宋" w:hint="eastAsia"/>
          <w:sz w:val="28"/>
        </w:rPr>
        <w:t>。</w:t>
      </w:r>
      <w:r w:rsidR="00BA5D25" w:rsidRPr="00225261">
        <w:rPr>
          <w:rFonts w:ascii="仿宋_GB2312" w:eastAsia="仿宋_GB2312" w:hAnsi="仿宋" w:hint="eastAsia"/>
          <w:b/>
          <w:sz w:val="28"/>
        </w:rPr>
        <w:t>东部地区</w:t>
      </w:r>
      <w:r w:rsidR="00BA5D25" w:rsidRPr="00F60255">
        <w:rPr>
          <w:rFonts w:ascii="仿宋_GB2312" w:eastAsia="仿宋_GB2312" w:hAnsi="仿宋" w:hint="eastAsia"/>
          <w:sz w:val="28"/>
        </w:rPr>
        <w:t>增长较为稳定，增速略微下滑但仍保持在20%的</w:t>
      </w:r>
      <w:r w:rsidR="00225261">
        <w:rPr>
          <w:rFonts w:ascii="仿宋_GB2312" w:eastAsia="仿宋_GB2312" w:hAnsi="仿宋" w:hint="eastAsia"/>
          <w:sz w:val="28"/>
        </w:rPr>
        <w:t>较高</w:t>
      </w:r>
      <w:r w:rsidR="00BA5D25" w:rsidRPr="00F60255">
        <w:rPr>
          <w:rFonts w:ascii="仿宋_GB2312" w:eastAsia="仿宋_GB2312" w:hAnsi="仿宋" w:hint="eastAsia"/>
          <w:sz w:val="28"/>
        </w:rPr>
        <w:t>水平。</w:t>
      </w:r>
      <w:r w:rsidR="00225261">
        <w:rPr>
          <w:rFonts w:ascii="仿宋_GB2312" w:eastAsia="仿宋_GB2312" w:hAnsi="仿宋" w:hint="eastAsia"/>
          <w:sz w:val="28"/>
        </w:rPr>
        <w:t>分省份看，</w:t>
      </w:r>
      <w:r w:rsidR="00BA5D25" w:rsidRPr="00F60255">
        <w:rPr>
          <w:rFonts w:ascii="仿宋_GB2312" w:eastAsia="仿宋_GB2312" w:hAnsi="仿宋" w:hint="eastAsia"/>
          <w:sz w:val="28"/>
        </w:rPr>
        <w:t>北京出现</w:t>
      </w:r>
      <w:r w:rsidR="00225261">
        <w:rPr>
          <w:rFonts w:ascii="仿宋_GB2312" w:eastAsia="仿宋_GB2312" w:hAnsi="仿宋" w:hint="eastAsia"/>
          <w:sz w:val="28"/>
        </w:rPr>
        <w:t>较大</w:t>
      </w:r>
      <w:r w:rsidR="00225261">
        <w:rPr>
          <w:rFonts w:ascii="仿宋_GB2312" w:eastAsia="仿宋_GB2312" w:hAnsi="仿宋"/>
          <w:sz w:val="28"/>
        </w:rPr>
        <w:t>幅度</w:t>
      </w:r>
      <w:r w:rsidR="00BA5D25" w:rsidRPr="00F60255">
        <w:rPr>
          <w:rFonts w:ascii="仿宋_GB2312" w:eastAsia="仿宋_GB2312" w:hAnsi="仿宋" w:hint="eastAsia"/>
          <w:sz w:val="28"/>
        </w:rPr>
        <w:t>下滑，</w:t>
      </w:r>
      <w:r w:rsidR="00225261">
        <w:rPr>
          <w:rFonts w:ascii="仿宋_GB2312" w:eastAsia="仿宋_GB2312" w:hAnsi="仿宋" w:hint="eastAsia"/>
          <w:sz w:val="28"/>
        </w:rPr>
        <w:t>由去年</w:t>
      </w:r>
      <w:r w:rsidR="00225261">
        <w:rPr>
          <w:rFonts w:ascii="仿宋_GB2312" w:eastAsia="仿宋_GB2312" w:hAnsi="仿宋"/>
          <w:sz w:val="28"/>
        </w:rPr>
        <w:t>同期的</w:t>
      </w:r>
      <w:r w:rsidR="00225261">
        <w:rPr>
          <w:rFonts w:ascii="仿宋_GB2312" w:eastAsia="仿宋_GB2312" w:hAnsi="仿宋" w:hint="eastAsia"/>
          <w:sz w:val="28"/>
        </w:rPr>
        <w:t>43</w:t>
      </w:r>
      <w:r w:rsidR="00225261">
        <w:rPr>
          <w:rFonts w:ascii="仿宋_GB2312" w:eastAsia="仿宋_GB2312" w:hAnsi="仿宋"/>
          <w:sz w:val="28"/>
        </w:rPr>
        <w:t>%</w:t>
      </w:r>
      <w:r w:rsidR="00225261">
        <w:rPr>
          <w:rFonts w:ascii="仿宋_GB2312" w:eastAsia="仿宋_GB2312" w:hAnsi="仿宋" w:hint="eastAsia"/>
          <w:sz w:val="28"/>
        </w:rPr>
        <w:t>降至15</w:t>
      </w:r>
      <w:r w:rsidR="00225261">
        <w:rPr>
          <w:rFonts w:ascii="仿宋_GB2312" w:eastAsia="仿宋_GB2312" w:hAnsi="仿宋"/>
          <w:sz w:val="28"/>
        </w:rPr>
        <w:t>%，</w:t>
      </w:r>
      <w:r w:rsidR="00225261">
        <w:rPr>
          <w:rFonts w:ascii="仿宋_GB2312" w:eastAsia="仿宋_GB2312" w:hAnsi="仿宋" w:hint="eastAsia"/>
          <w:sz w:val="28"/>
        </w:rPr>
        <w:t>上海则较</w:t>
      </w:r>
      <w:r w:rsidR="00225261">
        <w:rPr>
          <w:rFonts w:ascii="仿宋_GB2312" w:eastAsia="仿宋_GB2312" w:hAnsi="仿宋"/>
          <w:sz w:val="28"/>
        </w:rPr>
        <w:t>去年同期</w:t>
      </w:r>
      <w:r w:rsidR="00225261">
        <w:rPr>
          <w:rFonts w:ascii="仿宋_GB2312" w:eastAsia="仿宋_GB2312" w:hAnsi="仿宋" w:hint="eastAsia"/>
          <w:sz w:val="28"/>
        </w:rPr>
        <w:t>微降3个</w:t>
      </w:r>
      <w:r w:rsidR="00225261">
        <w:rPr>
          <w:rFonts w:ascii="仿宋_GB2312" w:eastAsia="仿宋_GB2312" w:hAnsi="仿宋"/>
          <w:sz w:val="28"/>
        </w:rPr>
        <w:t>百分点至</w:t>
      </w:r>
      <w:r w:rsidR="00225261">
        <w:rPr>
          <w:rFonts w:ascii="仿宋_GB2312" w:eastAsia="仿宋_GB2312" w:hAnsi="仿宋" w:hint="eastAsia"/>
          <w:sz w:val="28"/>
        </w:rPr>
        <w:t>30</w:t>
      </w:r>
      <w:r w:rsidR="00225261">
        <w:rPr>
          <w:rFonts w:ascii="仿宋_GB2312" w:eastAsia="仿宋_GB2312" w:hAnsi="仿宋"/>
          <w:sz w:val="28"/>
        </w:rPr>
        <w:t>%，</w:t>
      </w:r>
      <w:r w:rsidR="00BA5D25" w:rsidRPr="00F60255">
        <w:rPr>
          <w:rFonts w:ascii="仿宋_GB2312" w:eastAsia="仿宋_GB2312" w:hAnsi="仿宋" w:hint="eastAsia"/>
          <w:sz w:val="28"/>
        </w:rPr>
        <w:t>其他省份</w:t>
      </w:r>
      <w:r w:rsidR="00225261">
        <w:rPr>
          <w:rFonts w:ascii="仿宋_GB2312" w:eastAsia="仿宋_GB2312" w:hAnsi="仿宋" w:hint="eastAsia"/>
          <w:sz w:val="28"/>
        </w:rPr>
        <w:t>均</w:t>
      </w:r>
      <w:r w:rsidR="00225261">
        <w:rPr>
          <w:rFonts w:ascii="仿宋_GB2312" w:eastAsia="仿宋_GB2312" w:hAnsi="仿宋"/>
          <w:sz w:val="28"/>
        </w:rPr>
        <w:t>实现加速增长。</w:t>
      </w:r>
      <w:r w:rsidR="00BA5D25" w:rsidRPr="00225261">
        <w:rPr>
          <w:rFonts w:ascii="仿宋_GB2312" w:eastAsia="仿宋_GB2312" w:hAnsi="仿宋" w:hint="eastAsia"/>
          <w:b/>
          <w:sz w:val="28"/>
        </w:rPr>
        <w:t>西部地区</w:t>
      </w:r>
      <w:r w:rsidR="00BA5D25" w:rsidRPr="00F60255">
        <w:rPr>
          <w:rFonts w:ascii="仿宋_GB2312" w:eastAsia="仿宋_GB2312" w:hAnsi="仿宋" w:hint="eastAsia"/>
          <w:sz w:val="28"/>
        </w:rPr>
        <w:t>增速为15%，</w:t>
      </w:r>
      <w:r w:rsidR="00225261">
        <w:rPr>
          <w:rFonts w:ascii="仿宋_GB2312" w:eastAsia="仿宋_GB2312" w:hAnsi="仿宋" w:hint="eastAsia"/>
          <w:sz w:val="28"/>
        </w:rPr>
        <w:t>较去年</w:t>
      </w:r>
      <w:r w:rsidR="00225261">
        <w:rPr>
          <w:rFonts w:ascii="仿宋_GB2312" w:eastAsia="仿宋_GB2312" w:hAnsi="仿宋"/>
          <w:sz w:val="28"/>
        </w:rPr>
        <w:t>下降</w:t>
      </w:r>
      <w:r w:rsidR="00225261">
        <w:rPr>
          <w:rFonts w:ascii="仿宋_GB2312" w:eastAsia="仿宋_GB2312" w:hAnsi="仿宋" w:hint="eastAsia"/>
          <w:sz w:val="28"/>
        </w:rPr>
        <w:t>2.6个</w:t>
      </w:r>
      <w:r w:rsidR="00225261">
        <w:rPr>
          <w:rFonts w:ascii="仿宋_GB2312" w:eastAsia="仿宋_GB2312" w:hAnsi="仿宋"/>
          <w:sz w:val="28"/>
        </w:rPr>
        <w:t>百分点。</w:t>
      </w:r>
      <w:r w:rsidR="00225261">
        <w:rPr>
          <w:rFonts w:ascii="仿宋_GB2312" w:eastAsia="仿宋_GB2312" w:hAnsi="仿宋" w:hint="eastAsia"/>
          <w:sz w:val="28"/>
        </w:rPr>
        <w:t>分</w:t>
      </w:r>
      <w:r w:rsidR="00225261">
        <w:rPr>
          <w:rFonts w:ascii="仿宋_GB2312" w:eastAsia="仿宋_GB2312" w:hAnsi="仿宋"/>
          <w:sz w:val="28"/>
        </w:rPr>
        <w:t>省份看，</w:t>
      </w:r>
      <w:r w:rsidR="00BA5D25" w:rsidRPr="00F60255">
        <w:rPr>
          <w:rFonts w:ascii="仿宋_GB2312" w:eastAsia="仿宋_GB2312" w:hAnsi="仿宋" w:hint="eastAsia"/>
          <w:sz w:val="28"/>
        </w:rPr>
        <w:t>增速下滑的省份约占60%，包括占比最大的四川省，其增速下滑20个百分</w:t>
      </w:r>
      <w:r w:rsidR="00BA5D25" w:rsidRPr="00F60255">
        <w:rPr>
          <w:rFonts w:ascii="仿宋_GB2312" w:eastAsia="仿宋_GB2312" w:hAnsi="仿宋" w:hint="eastAsia"/>
          <w:sz w:val="28"/>
        </w:rPr>
        <w:lastRenderedPageBreak/>
        <w:t>点至14%</w:t>
      </w:r>
      <w:r w:rsidR="007B7E9F">
        <w:rPr>
          <w:rFonts w:ascii="仿宋_GB2312" w:eastAsia="仿宋_GB2312" w:hAnsi="仿宋" w:hint="eastAsia"/>
          <w:sz w:val="28"/>
        </w:rPr>
        <w:t>。</w:t>
      </w:r>
      <w:r w:rsidR="00BA5D25" w:rsidRPr="00F60255">
        <w:rPr>
          <w:rFonts w:ascii="仿宋_GB2312" w:eastAsia="仿宋_GB2312" w:hAnsi="仿宋" w:hint="eastAsia"/>
          <w:sz w:val="28"/>
        </w:rPr>
        <w:t>内蒙古、重庆、广西</w:t>
      </w:r>
      <w:r w:rsidR="00225261">
        <w:rPr>
          <w:rFonts w:ascii="仿宋_GB2312" w:eastAsia="仿宋_GB2312" w:hAnsi="仿宋" w:hint="eastAsia"/>
          <w:sz w:val="28"/>
        </w:rPr>
        <w:t>则</w:t>
      </w:r>
      <w:r w:rsidR="00BA5D25" w:rsidRPr="00F60255">
        <w:rPr>
          <w:rFonts w:ascii="仿宋_GB2312" w:eastAsia="仿宋_GB2312" w:hAnsi="仿宋" w:hint="eastAsia"/>
          <w:sz w:val="28"/>
        </w:rPr>
        <w:t>表现亮眼，均由去年同期负增长反弹至30%以上的较高速增长区间。</w:t>
      </w:r>
      <w:r w:rsidR="00BA5D25" w:rsidRPr="00225261">
        <w:rPr>
          <w:rFonts w:ascii="仿宋_GB2312" w:eastAsia="仿宋_GB2312" w:hAnsi="仿宋" w:hint="eastAsia"/>
          <w:b/>
          <w:sz w:val="28"/>
        </w:rPr>
        <w:t>东北地区</w:t>
      </w:r>
      <w:r w:rsidR="00225261">
        <w:rPr>
          <w:rFonts w:ascii="仿宋_GB2312" w:eastAsia="仿宋_GB2312" w:hAnsi="仿宋" w:hint="eastAsia"/>
          <w:sz w:val="28"/>
        </w:rPr>
        <w:t>出现</w:t>
      </w:r>
      <w:r w:rsidR="00BA5D25" w:rsidRPr="00F60255">
        <w:rPr>
          <w:rFonts w:ascii="仿宋_GB2312" w:eastAsia="仿宋_GB2312" w:hAnsi="仿宋" w:hint="eastAsia"/>
          <w:sz w:val="28"/>
        </w:rPr>
        <w:t>好转，增速由去年的</w:t>
      </w:r>
      <w:r w:rsidR="00CF0EDC" w:rsidRPr="00F60255">
        <w:rPr>
          <w:rFonts w:ascii="仿宋_GB2312" w:eastAsia="仿宋_GB2312" w:hAnsi="仿宋" w:hint="eastAsia"/>
          <w:sz w:val="28"/>
        </w:rPr>
        <w:t>-1.4%上升为3.8%。其中吉林省表现最好，增速为21%，辽宁省增长低迷，增速为-4.2%。</w:t>
      </w:r>
    </w:p>
    <w:p w:rsidR="00CD1F60" w:rsidRPr="00F60255" w:rsidRDefault="00CD1F60" w:rsidP="00F60255">
      <w:pPr>
        <w:spacing w:line="360" w:lineRule="auto"/>
        <w:ind w:firstLineChars="200" w:firstLine="560"/>
        <w:rPr>
          <w:rFonts w:ascii="仿宋_GB2312" w:eastAsia="仿宋_GB2312" w:hAnsi="仿宋"/>
          <w:sz w:val="28"/>
        </w:rPr>
      </w:pPr>
      <w:r w:rsidRPr="00F60255">
        <w:rPr>
          <w:rFonts w:ascii="仿宋_GB2312" w:eastAsia="仿宋_GB2312" w:hAnsi="仿宋" w:hint="eastAsia"/>
          <w:noProof/>
          <w:sz w:val="28"/>
        </w:rPr>
        <w:drawing>
          <wp:inline distT="0" distB="0" distL="0" distR="0" wp14:anchorId="54204364" wp14:editId="74C63EFF">
            <wp:extent cx="4572000" cy="2224087"/>
            <wp:effectExtent l="0" t="0" r="0"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4EF6" w:rsidRDefault="00694EF6" w:rsidP="00694EF6">
      <w:pPr>
        <w:spacing w:line="360" w:lineRule="auto"/>
        <w:ind w:firstLineChars="200" w:firstLine="360"/>
        <w:jc w:val="center"/>
        <w:rPr>
          <w:rFonts w:ascii="仿宋_GB2312" w:eastAsia="仿宋_GB2312" w:hAnsi="仿宋"/>
          <w:b/>
          <w:sz w:val="28"/>
        </w:rPr>
      </w:pPr>
      <w:r w:rsidRPr="00F2795B">
        <w:rPr>
          <w:rFonts w:asciiTheme="minorEastAsia" w:hAnsiTheme="minorEastAsia" w:hint="eastAsia"/>
          <w:sz w:val="18"/>
        </w:rPr>
        <w:t>图</w:t>
      </w:r>
      <w:r>
        <w:rPr>
          <w:rFonts w:asciiTheme="minorEastAsia" w:hAnsiTheme="minorEastAsia" w:hint="eastAsia"/>
          <w:sz w:val="18"/>
        </w:rPr>
        <w:t>6</w:t>
      </w:r>
      <w:r w:rsidRPr="00F2795B">
        <w:rPr>
          <w:rFonts w:asciiTheme="minorEastAsia" w:hAnsiTheme="minorEastAsia" w:hint="eastAsia"/>
          <w:sz w:val="18"/>
        </w:rPr>
        <w:t xml:space="preserve"> 战略性</w:t>
      </w:r>
      <w:r w:rsidRPr="00F2795B">
        <w:rPr>
          <w:rFonts w:asciiTheme="minorEastAsia" w:hAnsiTheme="minorEastAsia"/>
          <w:sz w:val="18"/>
        </w:rPr>
        <w:t>新兴产业</w:t>
      </w:r>
      <w:r>
        <w:rPr>
          <w:rFonts w:asciiTheme="minorEastAsia" w:hAnsiTheme="minorEastAsia"/>
          <w:sz w:val="18"/>
        </w:rPr>
        <w:t>上市公司</w:t>
      </w:r>
      <w:r>
        <w:rPr>
          <w:rFonts w:asciiTheme="minorEastAsia" w:hAnsiTheme="minorEastAsia" w:hint="eastAsia"/>
          <w:sz w:val="18"/>
        </w:rPr>
        <w:t>分区域</w:t>
      </w:r>
      <w:r>
        <w:rPr>
          <w:rFonts w:asciiTheme="minorEastAsia" w:hAnsiTheme="minorEastAsia"/>
          <w:sz w:val="18"/>
        </w:rPr>
        <w:t>营收</w:t>
      </w:r>
      <w:r w:rsidRPr="00F2795B">
        <w:rPr>
          <w:rFonts w:asciiTheme="minorEastAsia" w:hAnsiTheme="minorEastAsia" w:hint="eastAsia"/>
          <w:sz w:val="18"/>
        </w:rPr>
        <w:t>增速</w:t>
      </w:r>
      <w:r w:rsidRPr="00F2795B">
        <w:rPr>
          <w:rFonts w:asciiTheme="minorEastAsia" w:hAnsiTheme="minorEastAsia"/>
          <w:sz w:val="18"/>
        </w:rPr>
        <w:t>对比</w:t>
      </w:r>
    </w:p>
    <w:p w:rsidR="005C7F83" w:rsidRPr="00C71BAB" w:rsidRDefault="005C7F83" w:rsidP="00F60255">
      <w:pPr>
        <w:spacing w:line="360" w:lineRule="auto"/>
        <w:ind w:firstLineChars="200" w:firstLine="562"/>
        <w:rPr>
          <w:rFonts w:ascii="仿宋_GB2312" w:eastAsia="仿宋_GB2312" w:hAnsi="仿宋"/>
          <w:b/>
          <w:sz w:val="28"/>
        </w:rPr>
      </w:pPr>
      <w:r w:rsidRPr="00C71BAB">
        <w:rPr>
          <w:rFonts w:ascii="仿宋_GB2312" w:eastAsia="仿宋_GB2312" w:hAnsi="仿宋" w:hint="eastAsia"/>
          <w:b/>
          <w:sz w:val="28"/>
        </w:rPr>
        <w:t>五、</w:t>
      </w:r>
      <w:r w:rsidR="005F4985" w:rsidRPr="00C71BAB">
        <w:rPr>
          <w:rFonts w:ascii="仿宋_GB2312" w:eastAsia="仿宋_GB2312" w:hAnsi="仿宋" w:hint="eastAsia"/>
          <w:b/>
          <w:sz w:val="28"/>
        </w:rPr>
        <w:t>股价恢复增长</w:t>
      </w:r>
    </w:p>
    <w:p w:rsidR="009F4349" w:rsidRPr="00F60255" w:rsidRDefault="002902C2" w:rsidP="00F60255">
      <w:pPr>
        <w:spacing w:line="360" w:lineRule="auto"/>
        <w:ind w:firstLineChars="200" w:firstLine="560"/>
        <w:rPr>
          <w:rFonts w:ascii="仿宋_GB2312" w:eastAsia="仿宋_GB2312" w:hAnsi="仿宋"/>
          <w:sz w:val="28"/>
        </w:rPr>
      </w:pPr>
      <w:r>
        <w:rPr>
          <w:rFonts w:ascii="仿宋_GB2312" w:eastAsia="仿宋_GB2312" w:hAnsi="仿宋" w:hint="eastAsia"/>
          <w:sz w:val="28"/>
        </w:rPr>
        <w:t>2017年</w:t>
      </w:r>
      <w:r>
        <w:rPr>
          <w:rFonts w:ascii="仿宋_GB2312" w:eastAsia="仿宋_GB2312" w:hAnsi="仿宋"/>
          <w:sz w:val="28"/>
        </w:rPr>
        <w:t>一季度战略</w:t>
      </w:r>
      <w:r>
        <w:rPr>
          <w:rFonts w:ascii="仿宋_GB2312" w:eastAsia="仿宋_GB2312" w:hAnsi="仿宋" w:hint="eastAsia"/>
          <w:sz w:val="28"/>
        </w:rPr>
        <w:t>性</w:t>
      </w:r>
      <w:r>
        <w:rPr>
          <w:rFonts w:ascii="仿宋_GB2312" w:eastAsia="仿宋_GB2312" w:hAnsi="仿宋"/>
          <w:sz w:val="28"/>
        </w:rPr>
        <w:t>新兴产业上市公司股价筑底反弹。</w:t>
      </w:r>
      <w:r w:rsidR="009F4349" w:rsidRPr="00F60255">
        <w:rPr>
          <w:rFonts w:ascii="仿宋_GB2312" w:eastAsia="仿宋_GB2312" w:hAnsi="仿宋" w:hint="eastAsia"/>
          <w:sz w:val="28"/>
        </w:rPr>
        <w:t>2016年，在总体市场处于弱市环境下，股价下跌风险集中释放，上市公司总体股价和战略性新兴产业上市公司股价各季度均处于下跌态势，且战略性新兴产业企业由于高溢价导致</w:t>
      </w:r>
      <w:r w:rsidR="00225261">
        <w:rPr>
          <w:rFonts w:ascii="仿宋_GB2312" w:eastAsia="仿宋_GB2312" w:hAnsi="仿宋" w:hint="eastAsia"/>
          <w:sz w:val="28"/>
        </w:rPr>
        <w:t>更大幅度</w:t>
      </w:r>
      <w:r w:rsidR="009F4349" w:rsidRPr="00F60255">
        <w:rPr>
          <w:rFonts w:ascii="仿宋_GB2312" w:eastAsia="仿宋_GB2312" w:hAnsi="仿宋" w:hint="eastAsia"/>
          <w:sz w:val="28"/>
        </w:rPr>
        <w:t>价格回撤。但2017年一季度，</w:t>
      </w:r>
      <w:r w:rsidR="00225261">
        <w:rPr>
          <w:rFonts w:ascii="仿宋_GB2312" w:eastAsia="仿宋_GB2312" w:hAnsi="仿宋" w:hint="eastAsia"/>
          <w:sz w:val="28"/>
        </w:rPr>
        <w:t>战略性</w:t>
      </w:r>
      <w:r w:rsidR="00225261" w:rsidRPr="00F60255">
        <w:rPr>
          <w:rFonts w:ascii="仿宋_GB2312" w:eastAsia="仿宋_GB2312" w:hAnsi="仿宋" w:hint="eastAsia"/>
          <w:sz w:val="28"/>
        </w:rPr>
        <w:t>新兴产业</w:t>
      </w:r>
      <w:r w:rsidR="007B7E9F">
        <w:rPr>
          <w:rFonts w:ascii="仿宋_GB2312" w:eastAsia="仿宋_GB2312" w:hAnsi="仿宋" w:hint="eastAsia"/>
          <w:sz w:val="28"/>
        </w:rPr>
        <w:t>政策层层加码：</w:t>
      </w:r>
      <w:r w:rsidR="00225261">
        <w:rPr>
          <w:rFonts w:ascii="仿宋_GB2312" w:eastAsia="仿宋_GB2312" w:hAnsi="仿宋"/>
          <w:sz w:val="28"/>
        </w:rPr>
        <w:t>《</w:t>
      </w:r>
      <w:r w:rsidR="00225261">
        <w:rPr>
          <w:rFonts w:ascii="仿宋_GB2312" w:eastAsia="仿宋_GB2312" w:hAnsi="仿宋" w:hint="eastAsia"/>
          <w:sz w:val="28"/>
        </w:rPr>
        <w:t>“</w:t>
      </w:r>
      <w:r w:rsidR="00225261" w:rsidRPr="00F60255">
        <w:rPr>
          <w:rFonts w:ascii="仿宋_GB2312" w:eastAsia="仿宋_GB2312" w:hAnsi="仿宋" w:hint="eastAsia"/>
          <w:sz w:val="28"/>
        </w:rPr>
        <w:t>十三五”</w:t>
      </w:r>
      <w:r w:rsidR="00225261">
        <w:rPr>
          <w:rFonts w:ascii="仿宋_GB2312" w:eastAsia="仿宋_GB2312" w:hAnsi="仿宋" w:hint="eastAsia"/>
          <w:sz w:val="28"/>
        </w:rPr>
        <w:t>国家</w:t>
      </w:r>
      <w:r w:rsidR="00225261" w:rsidRPr="00F60255">
        <w:rPr>
          <w:rFonts w:ascii="仿宋_GB2312" w:eastAsia="仿宋_GB2312" w:hAnsi="仿宋" w:hint="eastAsia"/>
          <w:sz w:val="28"/>
        </w:rPr>
        <w:t>战略性新兴产业</w:t>
      </w:r>
      <w:r w:rsidR="00225261">
        <w:rPr>
          <w:rFonts w:ascii="仿宋_GB2312" w:eastAsia="仿宋_GB2312" w:hAnsi="仿宋" w:hint="eastAsia"/>
          <w:sz w:val="28"/>
        </w:rPr>
        <w:t>发展</w:t>
      </w:r>
      <w:r w:rsidR="00225261" w:rsidRPr="00F60255">
        <w:rPr>
          <w:rFonts w:ascii="仿宋_GB2312" w:eastAsia="仿宋_GB2312" w:hAnsi="仿宋" w:hint="eastAsia"/>
          <w:sz w:val="28"/>
        </w:rPr>
        <w:t>规划</w:t>
      </w:r>
      <w:r w:rsidR="00225261">
        <w:rPr>
          <w:rFonts w:ascii="仿宋_GB2312" w:eastAsia="仿宋_GB2312" w:hAnsi="仿宋"/>
          <w:sz w:val="28"/>
        </w:rPr>
        <w:t>》</w:t>
      </w:r>
      <w:r w:rsidR="00225261" w:rsidRPr="00F60255">
        <w:rPr>
          <w:rFonts w:ascii="仿宋_GB2312" w:eastAsia="仿宋_GB2312" w:hAnsi="仿宋" w:hint="eastAsia"/>
          <w:sz w:val="28"/>
        </w:rPr>
        <w:t>正式发布，数字文化、智能制造等相关政策接连出台，对</w:t>
      </w:r>
      <w:r w:rsidR="00225261">
        <w:rPr>
          <w:rFonts w:ascii="仿宋_GB2312" w:eastAsia="仿宋_GB2312" w:hAnsi="仿宋" w:hint="eastAsia"/>
          <w:sz w:val="28"/>
        </w:rPr>
        <w:t>战略性</w:t>
      </w:r>
      <w:r w:rsidR="00225261" w:rsidRPr="00F60255">
        <w:rPr>
          <w:rFonts w:ascii="仿宋_GB2312" w:eastAsia="仿宋_GB2312" w:hAnsi="仿宋" w:hint="eastAsia"/>
          <w:sz w:val="28"/>
        </w:rPr>
        <w:t>新兴产业上市公司带来利好</w:t>
      </w:r>
      <w:r w:rsidR="00225261">
        <w:rPr>
          <w:rFonts w:ascii="仿宋_GB2312" w:eastAsia="仿宋_GB2312" w:hAnsi="仿宋" w:hint="eastAsia"/>
          <w:sz w:val="28"/>
        </w:rPr>
        <w:t>影响</w:t>
      </w:r>
      <w:r w:rsidR="00225261" w:rsidRPr="00F60255">
        <w:rPr>
          <w:rFonts w:ascii="仿宋_GB2312" w:eastAsia="仿宋_GB2312" w:hAnsi="仿宋" w:hint="eastAsia"/>
          <w:sz w:val="28"/>
        </w:rPr>
        <w:t>。</w:t>
      </w:r>
      <w:r w:rsidR="009F4349" w:rsidRPr="00F60255">
        <w:rPr>
          <w:rFonts w:ascii="仿宋_GB2312" w:eastAsia="仿宋_GB2312" w:hAnsi="仿宋" w:hint="eastAsia"/>
          <w:sz w:val="28"/>
        </w:rPr>
        <w:t>股价涨幅开始明显反弹，截止2017年3月底，战略性新兴产业上市公司股价增长0.2%，结束了连续4季度的下跌行情</w:t>
      </w:r>
      <w:r w:rsidR="007A1B23">
        <w:rPr>
          <w:rFonts w:ascii="仿宋_GB2312" w:eastAsia="仿宋_GB2312" w:hAnsi="仿宋" w:hint="eastAsia"/>
          <w:sz w:val="28"/>
        </w:rPr>
        <w:t>（见</w:t>
      </w:r>
      <w:r w:rsidR="007A1B23">
        <w:rPr>
          <w:rFonts w:ascii="仿宋_GB2312" w:eastAsia="仿宋_GB2312" w:hAnsi="仿宋"/>
          <w:sz w:val="28"/>
        </w:rPr>
        <w:t>图</w:t>
      </w:r>
      <w:r w:rsidR="007A1B23">
        <w:rPr>
          <w:rFonts w:ascii="仿宋_GB2312" w:eastAsia="仿宋_GB2312" w:hAnsi="仿宋" w:hint="eastAsia"/>
          <w:sz w:val="28"/>
        </w:rPr>
        <w:t>7）</w:t>
      </w:r>
      <w:r w:rsidR="009F4349" w:rsidRPr="00F60255">
        <w:rPr>
          <w:rFonts w:ascii="仿宋_GB2312" w:eastAsia="仿宋_GB2312" w:hAnsi="仿宋" w:hint="eastAsia"/>
          <w:sz w:val="28"/>
        </w:rPr>
        <w:t>。</w:t>
      </w:r>
    </w:p>
    <w:p w:rsidR="00760786" w:rsidRPr="00F60255" w:rsidRDefault="00760786" w:rsidP="00F60255">
      <w:pPr>
        <w:spacing w:line="360" w:lineRule="auto"/>
        <w:ind w:firstLineChars="200" w:firstLine="560"/>
        <w:rPr>
          <w:rFonts w:ascii="仿宋_GB2312" w:eastAsia="仿宋_GB2312" w:hAnsi="仿宋"/>
          <w:sz w:val="28"/>
        </w:rPr>
      </w:pPr>
      <w:r w:rsidRPr="00F60255">
        <w:rPr>
          <w:rFonts w:ascii="仿宋_GB2312" w:eastAsia="仿宋_GB2312" w:hAnsi="仿宋" w:hint="eastAsia"/>
          <w:noProof/>
          <w:sz w:val="28"/>
        </w:rPr>
        <w:lastRenderedPageBreak/>
        <w:drawing>
          <wp:inline distT="0" distB="0" distL="0" distR="0" wp14:anchorId="746BBD83" wp14:editId="6452349D">
            <wp:extent cx="4572000" cy="200025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4985" w:rsidRDefault="00225261" w:rsidP="00225261">
      <w:pPr>
        <w:spacing w:line="360" w:lineRule="auto"/>
        <w:ind w:firstLineChars="200" w:firstLine="360"/>
        <w:jc w:val="center"/>
        <w:rPr>
          <w:rFonts w:ascii="仿宋_GB2312" w:eastAsia="仿宋_GB2312" w:hAnsi="仿宋"/>
          <w:sz w:val="28"/>
        </w:rPr>
      </w:pPr>
      <w:r w:rsidRPr="00F2795B">
        <w:rPr>
          <w:rFonts w:asciiTheme="minorEastAsia" w:hAnsiTheme="minorEastAsia" w:hint="eastAsia"/>
          <w:sz w:val="18"/>
        </w:rPr>
        <w:t>图</w:t>
      </w:r>
      <w:r>
        <w:rPr>
          <w:rFonts w:asciiTheme="minorEastAsia" w:hAnsiTheme="minorEastAsia" w:hint="eastAsia"/>
          <w:sz w:val="18"/>
        </w:rPr>
        <w:t>7</w:t>
      </w:r>
      <w:r w:rsidRPr="00F2795B">
        <w:rPr>
          <w:rFonts w:asciiTheme="minorEastAsia" w:hAnsiTheme="minorEastAsia" w:hint="eastAsia"/>
          <w:sz w:val="18"/>
        </w:rPr>
        <w:t xml:space="preserve"> 战略性</w:t>
      </w:r>
      <w:r w:rsidRPr="00F2795B">
        <w:rPr>
          <w:rFonts w:asciiTheme="minorEastAsia" w:hAnsiTheme="minorEastAsia"/>
          <w:sz w:val="18"/>
        </w:rPr>
        <w:t>新兴产业</w:t>
      </w:r>
      <w:r>
        <w:rPr>
          <w:rFonts w:asciiTheme="minorEastAsia" w:hAnsiTheme="minorEastAsia" w:hint="eastAsia"/>
          <w:sz w:val="18"/>
        </w:rPr>
        <w:t>和A股</w:t>
      </w:r>
      <w:r>
        <w:rPr>
          <w:rFonts w:asciiTheme="minorEastAsia" w:hAnsiTheme="minorEastAsia"/>
          <w:sz w:val="18"/>
        </w:rPr>
        <w:t>上市公司</w:t>
      </w:r>
      <w:r>
        <w:rPr>
          <w:rFonts w:asciiTheme="minorEastAsia" w:hAnsiTheme="minorEastAsia" w:hint="eastAsia"/>
          <w:sz w:val="18"/>
        </w:rPr>
        <w:t>股价</w:t>
      </w:r>
      <w:r>
        <w:rPr>
          <w:rFonts w:asciiTheme="minorEastAsia" w:hAnsiTheme="minorEastAsia"/>
          <w:sz w:val="18"/>
        </w:rPr>
        <w:t>涨幅</w:t>
      </w:r>
      <w:r w:rsidRPr="00F2795B">
        <w:rPr>
          <w:rFonts w:asciiTheme="minorEastAsia" w:hAnsiTheme="minorEastAsia"/>
          <w:sz w:val="18"/>
        </w:rPr>
        <w:t>对比</w:t>
      </w:r>
    </w:p>
    <w:p w:rsidR="007A1B23" w:rsidRPr="002902C2" w:rsidRDefault="007A1B23" w:rsidP="007A1B23">
      <w:pPr>
        <w:spacing w:line="360" w:lineRule="auto"/>
        <w:ind w:firstLineChars="200" w:firstLine="562"/>
        <w:rPr>
          <w:rFonts w:ascii="仿宋_GB2312" w:eastAsia="仿宋_GB2312" w:hAnsi="仿宋"/>
          <w:b/>
          <w:sz w:val="28"/>
        </w:rPr>
      </w:pPr>
      <w:r>
        <w:rPr>
          <w:rFonts w:ascii="仿宋_GB2312" w:eastAsia="仿宋_GB2312" w:hAnsi="仿宋" w:hint="eastAsia"/>
          <w:b/>
          <w:sz w:val="28"/>
        </w:rPr>
        <w:t>六</w:t>
      </w:r>
      <w:r w:rsidRPr="002902C2">
        <w:rPr>
          <w:rFonts w:ascii="仿宋_GB2312" w:eastAsia="仿宋_GB2312" w:hAnsi="仿宋" w:hint="eastAsia"/>
          <w:b/>
          <w:sz w:val="28"/>
        </w:rPr>
        <w:t>、并购重组规模扩张</w:t>
      </w:r>
    </w:p>
    <w:p w:rsidR="007A1B23" w:rsidRPr="00F60255" w:rsidRDefault="007A1B23" w:rsidP="007A1B23">
      <w:pPr>
        <w:spacing w:line="360" w:lineRule="auto"/>
        <w:ind w:firstLineChars="200" w:firstLine="560"/>
        <w:rPr>
          <w:rFonts w:ascii="仿宋_GB2312" w:eastAsia="仿宋_GB2312" w:hAnsi="仿宋"/>
          <w:sz w:val="28"/>
        </w:rPr>
      </w:pPr>
      <w:r w:rsidRPr="00F60255">
        <w:rPr>
          <w:rFonts w:ascii="仿宋_GB2312" w:eastAsia="仿宋_GB2312" w:hAnsi="仿宋" w:hint="eastAsia"/>
          <w:sz w:val="28"/>
        </w:rPr>
        <w:t>2017年一季度共有19家战略性新兴产业企业发起并购重组，交易总额为858.2亿元，占A股上市公司</w:t>
      </w:r>
      <w:r>
        <w:rPr>
          <w:rFonts w:ascii="仿宋_GB2312" w:eastAsia="仿宋_GB2312" w:hAnsi="仿宋" w:hint="eastAsia"/>
          <w:sz w:val="28"/>
        </w:rPr>
        <w:t>重组</w:t>
      </w:r>
      <w:r w:rsidRPr="00F60255">
        <w:rPr>
          <w:rFonts w:ascii="仿宋_GB2312" w:eastAsia="仿宋_GB2312" w:hAnsi="仿宋" w:hint="eastAsia"/>
          <w:sz w:val="28"/>
        </w:rPr>
        <w:t>并购交易总额的22%。</w:t>
      </w:r>
      <w:r>
        <w:rPr>
          <w:rFonts w:ascii="仿宋_GB2312" w:eastAsia="仿宋_GB2312" w:hAnsi="仿宋" w:hint="eastAsia"/>
          <w:sz w:val="28"/>
        </w:rPr>
        <w:t>交易额同比、</w:t>
      </w:r>
      <w:r>
        <w:rPr>
          <w:rFonts w:ascii="仿宋_GB2312" w:eastAsia="仿宋_GB2312" w:hAnsi="仿宋"/>
          <w:sz w:val="28"/>
        </w:rPr>
        <w:t>环比</w:t>
      </w:r>
      <w:r>
        <w:rPr>
          <w:rFonts w:ascii="仿宋_GB2312" w:eastAsia="仿宋_GB2312" w:hAnsi="仿宋" w:hint="eastAsia"/>
          <w:sz w:val="28"/>
        </w:rPr>
        <w:t>分别增长</w:t>
      </w:r>
      <w:r w:rsidRPr="00F60255">
        <w:rPr>
          <w:rFonts w:ascii="仿宋_GB2312" w:eastAsia="仿宋_GB2312" w:hAnsi="仿宋" w:hint="eastAsia"/>
          <w:sz w:val="28"/>
        </w:rPr>
        <w:t>130%和18.2%</w:t>
      </w:r>
      <w:r>
        <w:rPr>
          <w:rFonts w:ascii="仿宋_GB2312" w:eastAsia="仿宋_GB2312" w:hAnsi="仿宋" w:hint="eastAsia"/>
          <w:sz w:val="28"/>
        </w:rPr>
        <w:t>，</w:t>
      </w:r>
      <w:r>
        <w:rPr>
          <w:rFonts w:ascii="仿宋_GB2312" w:eastAsia="仿宋_GB2312" w:hAnsi="仿宋"/>
          <w:sz w:val="28"/>
        </w:rPr>
        <w:t>规模</w:t>
      </w:r>
      <w:r>
        <w:rPr>
          <w:rFonts w:ascii="仿宋_GB2312" w:eastAsia="仿宋_GB2312" w:hAnsi="仿宋" w:hint="eastAsia"/>
          <w:sz w:val="28"/>
        </w:rPr>
        <w:t>扩张</w:t>
      </w:r>
      <w:r>
        <w:rPr>
          <w:rFonts w:ascii="仿宋_GB2312" w:eastAsia="仿宋_GB2312" w:hAnsi="仿宋"/>
          <w:sz w:val="28"/>
        </w:rPr>
        <w:t>明显。</w:t>
      </w:r>
      <w:r w:rsidRPr="00F60255">
        <w:rPr>
          <w:rFonts w:ascii="仿宋_GB2312" w:eastAsia="仿宋_GB2312" w:hAnsi="仿宋" w:hint="eastAsia"/>
          <w:sz w:val="28"/>
        </w:rPr>
        <w:t>实现横向整合和多元化业务拓展是企业重组并购的主要目的。</w:t>
      </w:r>
    </w:p>
    <w:p w:rsidR="007A1B23" w:rsidRPr="00F60255" w:rsidRDefault="007A1B23" w:rsidP="007A1B23">
      <w:pPr>
        <w:spacing w:line="360" w:lineRule="auto"/>
        <w:ind w:firstLineChars="200" w:firstLine="560"/>
        <w:rPr>
          <w:rFonts w:ascii="仿宋_GB2312" w:eastAsia="仿宋_GB2312" w:hAnsi="仿宋"/>
          <w:sz w:val="28"/>
        </w:rPr>
      </w:pPr>
      <w:r w:rsidRPr="00F60255">
        <w:rPr>
          <w:rFonts w:ascii="仿宋_GB2312" w:eastAsia="仿宋_GB2312" w:hAnsi="仿宋" w:hint="eastAsia"/>
          <w:sz w:val="28"/>
        </w:rPr>
        <w:t>分领域看，生物和新一代信息技术领域是重组活动最为活跃的两个领域。一季度两大领域共有12家企业完成重组。例如</w:t>
      </w:r>
      <w:r w:rsidRPr="00215957">
        <w:rPr>
          <w:rFonts w:ascii="仿宋_GB2312" w:eastAsia="仿宋_GB2312" w:hAnsi="仿宋" w:hint="eastAsia"/>
          <w:sz w:val="28"/>
        </w:rPr>
        <w:t>新一代信息技术</w:t>
      </w:r>
      <w:r w:rsidRPr="00F60255">
        <w:rPr>
          <w:rFonts w:ascii="仿宋_GB2312" w:eastAsia="仿宋_GB2312" w:hAnsi="仿宋" w:hint="eastAsia"/>
          <w:sz w:val="28"/>
        </w:rPr>
        <w:t>领域的</w:t>
      </w:r>
      <w:proofErr w:type="gramStart"/>
      <w:r w:rsidRPr="00215957">
        <w:rPr>
          <w:rFonts w:ascii="仿宋_GB2312" w:eastAsia="仿宋_GB2312" w:hAnsi="仿宋" w:hint="eastAsia"/>
          <w:b/>
          <w:sz w:val="28"/>
        </w:rPr>
        <w:t>四维图</w:t>
      </w:r>
      <w:proofErr w:type="gramEnd"/>
      <w:r w:rsidRPr="00215957">
        <w:rPr>
          <w:rFonts w:ascii="仿宋_GB2312" w:eastAsia="仿宋_GB2312" w:hAnsi="仿宋" w:hint="eastAsia"/>
          <w:b/>
          <w:sz w:val="28"/>
        </w:rPr>
        <w:t>新</w:t>
      </w:r>
      <w:r w:rsidRPr="00F60255">
        <w:rPr>
          <w:rFonts w:ascii="仿宋_GB2312" w:eastAsia="仿宋_GB2312" w:hAnsi="仿宋" w:hint="eastAsia"/>
          <w:sz w:val="28"/>
        </w:rPr>
        <w:t>全资</w:t>
      </w:r>
      <w:proofErr w:type="gramStart"/>
      <w:r w:rsidRPr="00F60255">
        <w:rPr>
          <w:rFonts w:ascii="仿宋_GB2312" w:eastAsia="仿宋_GB2312" w:hAnsi="仿宋" w:hint="eastAsia"/>
          <w:sz w:val="28"/>
        </w:rPr>
        <w:t>收购杰发科技</w:t>
      </w:r>
      <w:proofErr w:type="gramEnd"/>
      <w:r w:rsidRPr="00F60255">
        <w:rPr>
          <w:rFonts w:ascii="仿宋_GB2312" w:eastAsia="仿宋_GB2312" w:hAnsi="仿宋" w:hint="eastAsia"/>
          <w:sz w:val="28"/>
        </w:rPr>
        <w:t>，有利于强化</w:t>
      </w:r>
      <w:proofErr w:type="gramStart"/>
      <w:r w:rsidRPr="00F60255">
        <w:rPr>
          <w:rFonts w:ascii="仿宋_GB2312" w:eastAsia="仿宋_GB2312" w:hAnsi="仿宋" w:hint="eastAsia"/>
          <w:sz w:val="28"/>
        </w:rPr>
        <w:t>四维图</w:t>
      </w:r>
      <w:proofErr w:type="gramEnd"/>
      <w:r w:rsidRPr="00F60255">
        <w:rPr>
          <w:rFonts w:ascii="仿宋_GB2312" w:eastAsia="仿宋_GB2312" w:hAnsi="仿宋" w:hint="eastAsia"/>
          <w:sz w:val="28"/>
        </w:rPr>
        <w:t>新的产业链布局，推进业务垂直一体化战略，实现在产品、市场和客户等领域的优势互补。生物领域的</w:t>
      </w:r>
      <w:r w:rsidRPr="00215957">
        <w:rPr>
          <w:rFonts w:ascii="仿宋_GB2312" w:eastAsia="仿宋_GB2312" w:hAnsi="仿宋" w:hint="eastAsia"/>
          <w:b/>
          <w:sz w:val="28"/>
        </w:rPr>
        <w:t>升华拜</w:t>
      </w:r>
      <w:proofErr w:type="gramStart"/>
      <w:r w:rsidRPr="00215957">
        <w:rPr>
          <w:rFonts w:ascii="仿宋_GB2312" w:eastAsia="仿宋_GB2312" w:hAnsi="仿宋" w:hint="eastAsia"/>
          <w:b/>
          <w:sz w:val="28"/>
        </w:rPr>
        <w:t>克</w:t>
      </w:r>
      <w:r w:rsidRPr="00F60255">
        <w:rPr>
          <w:rFonts w:ascii="仿宋_GB2312" w:eastAsia="仿宋_GB2312" w:hAnsi="仿宋" w:hint="eastAsia"/>
          <w:sz w:val="28"/>
        </w:rPr>
        <w:t>定增16亿元</w:t>
      </w:r>
      <w:proofErr w:type="gramEnd"/>
      <w:r w:rsidRPr="00F60255">
        <w:rPr>
          <w:rFonts w:ascii="仿宋_GB2312" w:eastAsia="仿宋_GB2312" w:hAnsi="仿宋" w:hint="eastAsia"/>
          <w:sz w:val="28"/>
        </w:rPr>
        <w:t>收购</w:t>
      </w:r>
      <w:r>
        <w:rPr>
          <w:rFonts w:ascii="仿宋_GB2312" w:eastAsia="仿宋_GB2312" w:hAnsi="仿宋" w:hint="eastAsia"/>
          <w:sz w:val="28"/>
        </w:rPr>
        <w:t>以</w:t>
      </w:r>
      <w:r>
        <w:rPr>
          <w:rFonts w:ascii="仿宋_GB2312" w:eastAsia="仿宋_GB2312" w:hAnsi="仿宋"/>
          <w:sz w:val="28"/>
        </w:rPr>
        <w:t>网络游戏为</w:t>
      </w:r>
      <w:r>
        <w:rPr>
          <w:rFonts w:ascii="仿宋_GB2312" w:eastAsia="仿宋_GB2312" w:hAnsi="仿宋" w:hint="eastAsia"/>
          <w:sz w:val="28"/>
        </w:rPr>
        <w:t>主业</w:t>
      </w:r>
      <w:proofErr w:type="gramStart"/>
      <w:r>
        <w:rPr>
          <w:rFonts w:ascii="仿宋_GB2312" w:eastAsia="仿宋_GB2312" w:hAnsi="仿宋"/>
          <w:sz w:val="28"/>
        </w:rPr>
        <w:t>的</w:t>
      </w:r>
      <w:r w:rsidRPr="00F60255">
        <w:rPr>
          <w:rFonts w:ascii="仿宋_GB2312" w:eastAsia="仿宋_GB2312" w:hAnsi="仿宋" w:hint="eastAsia"/>
          <w:sz w:val="28"/>
        </w:rPr>
        <w:t>炎龙科技</w:t>
      </w:r>
      <w:proofErr w:type="gramEnd"/>
      <w:r w:rsidRPr="00F60255">
        <w:rPr>
          <w:rFonts w:ascii="仿宋_GB2312" w:eastAsia="仿宋_GB2312" w:hAnsi="仿宋" w:hint="eastAsia"/>
          <w:sz w:val="28"/>
        </w:rPr>
        <w:t>，</w:t>
      </w:r>
      <w:r>
        <w:rPr>
          <w:rFonts w:ascii="仿宋_GB2312" w:eastAsia="仿宋_GB2312" w:hAnsi="仿宋" w:hint="eastAsia"/>
          <w:sz w:val="28"/>
        </w:rPr>
        <w:t>跨界收购</w:t>
      </w:r>
      <w:r w:rsidRPr="00215957">
        <w:rPr>
          <w:rFonts w:ascii="仿宋_GB2312" w:eastAsia="仿宋_GB2312" w:hAnsi="仿宋" w:hint="eastAsia"/>
          <w:sz w:val="28"/>
        </w:rPr>
        <w:t>令升华</w:t>
      </w:r>
      <w:r>
        <w:rPr>
          <w:rFonts w:ascii="仿宋_GB2312" w:eastAsia="仿宋_GB2312" w:hAnsi="仿宋" w:hint="eastAsia"/>
          <w:sz w:val="28"/>
        </w:rPr>
        <w:t>拜克迅速切入游戏行业，逐步实现战略转型，盈利能力和抗风险能力大幅</w:t>
      </w:r>
      <w:r w:rsidRPr="00215957">
        <w:rPr>
          <w:rFonts w:ascii="仿宋_GB2312" w:eastAsia="仿宋_GB2312" w:hAnsi="仿宋" w:hint="eastAsia"/>
          <w:sz w:val="28"/>
        </w:rPr>
        <w:t>提升</w:t>
      </w:r>
      <w:r>
        <w:rPr>
          <w:rFonts w:ascii="仿宋_GB2312" w:eastAsia="仿宋_GB2312" w:hAnsi="仿宋" w:hint="eastAsia"/>
          <w:sz w:val="28"/>
        </w:rPr>
        <w:t>。</w:t>
      </w:r>
    </w:p>
    <w:p w:rsidR="00A528D5" w:rsidRPr="002902C2" w:rsidRDefault="007A1B23" w:rsidP="00F60255">
      <w:pPr>
        <w:spacing w:line="360" w:lineRule="auto"/>
        <w:ind w:firstLineChars="200" w:firstLine="562"/>
        <w:rPr>
          <w:rFonts w:ascii="仿宋_GB2312" w:eastAsia="仿宋_GB2312" w:hAnsi="仿宋"/>
          <w:b/>
          <w:sz w:val="28"/>
        </w:rPr>
      </w:pPr>
      <w:r>
        <w:rPr>
          <w:rFonts w:ascii="仿宋_GB2312" w:eastAsia="仿宋_GB2312" w:hAnsi="仿宋" w:hint="eastAsia"/>
          <w:b/>
          <w:sz w:val="28"/>
        </w:rPr>
        <w:t>七</w:t>
      </w:r>
      <w:r w:rsidR="00A528D5" w:rsidRPr="002902C2">
        <w:rPr>
          <w:rFonts w:ascii="仿宋_GB2312" w:eastAsia="仿宋_GB2312" w:hAnsi="仿宋"/>
          <w:b/>
          <w:sz w:val="28"/>
        </w:rPr>
        <w:t>、企业投资</w:t>
      </w:r>
      <w:r w:rsidR="00E940FB" w:rsidRPr="002902C2">
        <w:rPr>
          <w:rFonts w:ascii="仿宋_GB2312" w:eastAsia="仿宋_GB2312" w:hAnsi="仿宋" w:hint="eastAsia"/>
          <w:b/>
          <w:sz w:val="28"/>
        </w:rPr>
        <w:t>增长</w:t>
      </w:r>
      <w:r w:rsidR="00E940FB" w:rsidRPr="002902C2">
        <w:rPr>
          <w:rFonts w:ascii="仿宋_GB2312" w:eastAsia="仿宋_GB2312" w:hAnsi="仿宋"/>
          <w:b/>
          <w:sz w:val="28"/>
        </w:rPr>
        <w:t>缓慢</w:t>
      </w:r>
    </w:p>
    <w:p w:rsidR="00A528D5" w:rsidRDefault="00A528D5" w:rsidP="00A528D5">
      <w:pPr>
        <w:ind w:firstLineChars="200" w:firstLine="560"/>
        <w:rPr>
          <w:rFonts w:ascii="仿宋_GB2312" w:eastAsia="仿宋_GB2312"/>
          <w:color w:val="000000"/>
          <w:sz w:val="28"/>
          <w:szCs w:val="21"/>
        </w:rPr>
      </w:pPr>
      <w:r w:rsidRPr="00234531">
        <w:rPr>
          <w:rFonts w:ascii="仿宋_GB2312" w:eastAsia="仿宋_GB2312" w:hint="eastAsia"/>
          <w:color w:val="000000"/>
          <w:sz w:val="28"/>
          <w:szCs w:val="21"/>
        </w:rPr>
        <w:t>从企业</w:t>
      </w:r>
      <w:r>
        <w:rPr>
          <w:rFonts w:ascii="仿宋_GB2312" w:eastAsia="仿宋_GB2312" w:hint="eastAsia"/>
          <w:color w:val="000000"/>
          <w:sz w:val="28"/>
          <w:szCs w:val="21"/>
        </w:rPr>
        <w:t>固定</w:t>
      </w:r>
      <w:r>
        <w:rPr>
          <w:rFonts w:ascii="仿宋_GB2312" w:eastAsia="仿宋_GB2312"/>
          <w:color w:val="000000"/>
          <w:sz w:val="28"/>
          <w:szCs w:val="21"/>
        </w:rPr>
        <w:t>资产形成</w:t>
      </w:r>
      <w:r w:rsidRPr="00234531">
        <w:rPr>
          <w:rFonts w:ascii="仿宋_GB2312" w:eastAsia="仿宋_GB2312" w:hint="eastAsia"/>
          <w:color w:val="000000"/>
          <w:sz w:val="28"/>
          <w:szCs w:val="21"/>
        </w:rPr>
        <w:t>来看，</w:t>
      </w:r>
      <w:r>
        <w:rPr>
          <w:rFonts w:ascii="仿宋_GB2312" w:eastAsia="仿宋_GB2312" w:hint="eastAsia"/>
          <w:color w:val="000000"/>
          <w:sz w:val="28"/>
          <w:szCs w:val="21"/>
        </w:rPr>
        <w:t>2017</w:t>
      </w:r>
      <w:r w:rsidRPr="00C735FE">
        <w:rPr>
          <w:rFonts w:ascii="仿宋_GB2312" w:eastAsia="仿宋_GB2312" w:hint="eastAsia"/>
          <w:color w:val="000000"/>
          <w:sz w:val="28"/>
          <w:szCs w:val="21"/>
        </w:rPr>
        <w:t>年</w:t>
      </w:r>
      <w:r>
        <w:rPr>
          <w:rFonts w:ascii="仿宋_GB2312" w:eastAsia="仿宋_GB2312" w:hint="eastAsia"/>
          <w:color w:val="000000"/>
          <w:sz w:val="28"/>
          <w:szCs w:val="21"/>
        </w:rPr>
        <w:t>一季度</w:t>
      </w:r>
      <w:r w:rsidRPr="00C735FE">
        <w:rPr>
          <w:rFonts w:ascii="仿宋_GB2312" w:eastAsia="仿宋_GB2312" w:hint="eastAsia"/>
          <w:color w:val="000000"/>
          <w:sz w:val="28"/>
          <w:szCs w:val="21"/>
        </w:rPr>
        <w:t>战略性新兴产业上市公司固定资产净值为1.67</w:t>
      </w:r>
      <w:proofErr w:type="gramStart"/>
      <w:r w:rsidRPr="00C735FE">
        <w:rPr>
          <w:rFonts w:ascii="仿宋_GB2312" w:eastAsia="仿宋_GB2312" w:hint="eastAsia"/>
          <w:color w:val="000000"/>
          <w:sz w:val="28"/>
          <w:szCs w:val="21"/>
        </w:rPr>
        <w:t>万亿</w:t>
      </w:r>
      <w:proofErr w:type="gramEnd"/>
      <w:r w:rsidRPr="00C735FE">
        <w:rPr>
          <w:rFonts w:ascii="仿宋_GB2312" w:eastAsia="仿宋_GB2312" w:hint="eastAsia"/>
          <w:color w:val="000000"/>
          <w:sz w:val="28"/>
          <w:szCs w:val="21"/>
        </w:rPr>
        <w:t>元，</w:t>
      </w:r>
      <w:r>
        <w:rPr>
          <w:rFonts w:ascii="仿宋_GB2312" w:eastAsia="仿宋_GB2312" w:hint="eastAsia"/>
          <w:color w:val="000000"/>
          <w:sz w:val="28"/>
          <w:szCs w:val="21"/>
        </w:rPr>
        <w:t>与上季度</w:t>
      </w:r>
      <w:r>
        <w:rPr>
          <w:rFonts w:ascii="仿宋_GB2312" w:eastAsia="仿宋_GB2312"/>
          <w:color w:val="000000"/>
          <w:sz w:val="28"/>
          <w:szCs w:val="21"/>
        </w:rPr>
        <w:t>相比微增</w:t>
      </w:r>
      <w:r>
        <w:rPr>
          <w:rFonts w:ascii="仿宋_GB2312" w:eastAsia="仿宋_GB2312" w:hint="eastAsia"/>
          <w:color w:val="000000"/>
          <w:sz w:val="28"/>
          <w:szCs w:val="21"/>
        </w:rPr>
        <w:t>16亿元</w:t>
      </w:r>
      <w:r>
        <w:rPr>
          <w:rFonts w:ascii="仿宋_GB2312" w:eastAsia="仿宋_GB2312"/>
          <w:color w:val="000000"/>
          <w:sz w:val="28"/>
          <w:szCs w:val="21"/>
        </w:rPr>
        <w:t>，</w:t>
      </w:r>
      <w:r w:rsidR="002902C2">
        <w:rPr>
          <w:rFonts w:ascii="仿宋_GB2312" w:eastAsia="仿宋_GB2312" w:hint="eastAsia"/>
          <w:color w:val="000000"/>
          <w:sz w:val="28"/>
          <w:szCs w:val="21"/>
        </w:rPr>
        <w:t>环比增速</w:t>
      </w:r>
      <w:r w:rsidR="002902C2">
        <w:rPr>
          <w:rFonts w:ascii="仿宋_GB2312" w:eastAsia="仿宋_GB2312"/>
          <w:color w:val="000000"/>
          <w:sz w:val="28"/>
          <w:szCs w:val="21"/>
        </w:rPr>
        <w:t>趋近于</w:t>
      </w:r>
      <w:r w:rsidR="002902C2">
        <w:rPr>
          <w:rFonts w:ascii="仿宋_GB2312" w:eastAsia="仿宋_GB2312" w:hint="eastAsia"/>
          <w:color w:val="000000"/>
          <w:sz w:val="28"/>
          <w:szCs w:val="21"/>
        </w:rPr>
        <w:t>0，增速</w:t>
      </w:r>
      <w:r>
        <w:rPr>
          <w:rFonts w:ascii="仿宋_GB2312" w:eastAsia="仿宋_GB2312"/>
          <w:color w:val="000000"/>
          <w:sz w:val="28"/>
          <w:szCs w:val="21"/>
        </w:rPr>
        <w:t>下降</w:t>
      </w:r>
      <w:r>
        <w:rPr>
          <w:rFonts w:ascii="仿宋_GB2312" w:eastAsia="仿宋_GB2312" w:hint="eastAsia"/>
          <w:color w:val="000000"/>
          <w:sz w:val="28"/>
          <w:szCs w:val="21"/>
        </w:rPr>
        <w:t>10.5个</w:t>
      </w:r>
      <w:r>
        <w:rPr>
          <w:rFonts w:ascii="仿宋_GB2312" w:eastAsia="仿宋_GB2312"/>
          <w:color w:val="000000"/>
          <w:sz w:val="28"/>
          <w:szCs w:val="21"/>
        </w:rPr>
        <w:t>百分点</w:t>
      </w:r>
      <w:r>
        <w:rPr>
          <w:rFonts w:ascii="仿宋_GB2312" w:eastAsia="仿宋_GB2312" w:hint="eastAsia"/>
          <w:color w:val="000000"/>
          <w:sz w:val="28"/>
          <w:szCs w:val="21"/>
        </w:rPr>
        <w:t>。</w:t>
      </w:r>
      <w:r w:rsidR="00E940FB">
        <w:rPr>
          <w:rFonts w:ascii="仿宋_GB2312" w:eastAsia="仿宋_GB2312" w:hint="eastAsia"/>
          <w:color w:val="000000"/>
          <w:sz w:val="28"/>
          <w:szCs w:val="21"/>
        </w:rPr>
        <w:t>从投资</w:t>
      </w:r>
      <w:r w:rsidR="00E940FB" w:rsidRPr="00234531">
        <w:rPr>
          <w:rFonts w:ascii="仿宋_GB2312" w:eastAsia="仿宋_GB2312" w:hint="eastAsia"/>
          <w:color w:val="000000"/>
          <w:sz w:val="28"/>
          <w:szCs w:val="21"/>
        </w:rPr>
        <w:t>金额来看，</w:t>
      </w:r>
      <w:r w:rsidR="00E940FB">
        <w:rPr>
          <w:rFonts w:ascii="仿宋_GB2312" w:eastAsia="仿宋_GB2312" w:hint="eastAsia"/>
          <w:color w:val="000000"/>
          <w:sz w:val="28"/>
          <w:szCs w:val="21"/>
        </w:rPr>
        <w:t>2017</w:t>
      </w:r>
      <w:r w:rsidR="00E940FB" w:rsidRPr="00C735FE">
        <w:rPr>
          <w:rFonts w:ascii="仿宋_GB2312" w:eastAsia="仿宋_GB2312" w:hint="eastAsia"/>
          <w:color w:val="000000"/>
          <w:sz w:val="28"/>
          <w:szCs w:val="21"/>
        </w:rPr>
        <w:t>年</w:t>
      </w:r>
      <w:r w:rsidR="00E940FB">
        <w:rPr>
          <w:rFonts w:ascii="仿宋_GB2312" w:eastAsia="仿宋_GB2312" w:hint="eastAsia"/>
          <w:color w:val="000000"/>
          <w:sz w:val="28"/>
          <w:szCs w:val="21"/>
        </w:rPr>
        <w:lastRenderedPageBreak/>
        <w:t>一季度</w:t>
      </w:r>
      <w:r w:rsidR="00E940FB" w:rsidRPr="00C735FE">
        <w:rPr>
          <w:rFonts w:ascii="仿宋_GB2312" w:eastAsia="仿宋_GB2312" w:hint="eastAsia"/>
          <w:color w:val="000000"/>
          <w:sz w:val="28"/>
          <w:szCs w:val="21"/>
        </w:rPr>
        <w:t>战略性新兴产业上市公司投资</w:t>
      </w:r>
      <w:r w:rsidR="00E940FB">
        <w:rPr>
          <w:rFonts w:ascii="仿宋_GB2312" w:eastAsia="仿宋_GB2312" w:hint="eastAsia"/>
          <w:color w:val="000000"/>
          <w:sz w:val="28"/>
          <w:szCs w:val="21"/>
        </w:rPr>
        <w:t>与去年</w:t>
      </w:r>
      <w:r w:rsidR="00E940FB">
        <w:rPr>
          <w:rFonts w:ascii="仿宋_GB2312" w:eastAsia="仿宋_GB2312"/>
          <w:color w:val="000000"/>
          <w:sz w:val="28"/>
          <w:szCs w:val="21"/>
        </w:rPr>
        <w:t>同期相比，</w:t>
      </w:r>
      <w:r w:rsidR="00E940FB">
        <w:rPr>
          <w:rFonts w:ascii="仿宋_GB2312" w:eastAsia="仿宋_GB2312" w:hint="eastAsia"/>
          <w:color w:val="000000"/>
          <w:sz w:val="28"/>
          <w:szCs w:val="21"/>
        </w:rPr>
        <w:t>投资</w:t>
      </w:r>
      <w:r w:rsidR="00E940FB">
        <w:rPr>
          <w:rFonts w:ascii="仿宋_GB2312" w:eastAsia="仿宋_GB2312"/>
          <w:color w:val="000000"/>
          <w:sz w:val="28"/>
          <w:szCs w:val="21"/>
        </w:rPr>
        <w:t>减少了</w:t>
      </w:r>
      <w:r w:rsidR="00E940FB">
        <w:rPr>
          <w:rFonts w:ascii="仿宋_GB2312" w:eastAsia="仿宋_GB2312" w:hint="eastAsia"/>
          <w:color w:val="000000"/>
          <w:sz w:val="28"/>
          <w:szCs w:val="21"/>
        </w:rPr>
        <w:t>178亿元，减幅</w:t>
      </w:r>
      <w:r w:rsidR="00E940FB">
        <w:rPr>
          <w:rFonts w:ascii="仿宋_GB2312" w:eastAsia="仿宋_GB2312"/>
          <w:color w:val="000000"/>
          <w:sz w:val="28"/>
          <w:szCs w:val="21"/>
        </w:rPr>
        <w:t>为</w:t>
      </w:r>
      <w:r w:rsidR="00E940FB">
        <w:rPr>
          <w:rFonts w:ascii="仿宋_GB2312" w:eastAsia="仿宋_GB2312" w:hint="eastAsia"/>
          <w:color w:val="000000"/>
          <w:sz w:val="28"/>
          <w:szCs w:val="21"/>
        </w:rPr>
        <w:t>10.7</w:t>
      </w:r>
      <w:r w:rsidR="00E940FB">
        <w:rPr>
          <w:rFonts w:ascii="仿宋_GB2312" w:eastAsia="仿宋_GB2312"/>
          <w:color w:val="000000"/>
          <w:sz w:val="28"/>
          <w:szCs w:val="21"/>
        </w:rPr>
        <w:t>%</w:t>
      </w:r>
      <w:r w:rsidR="00E940FB" w:rsidRPr="00C735FE">
        <w:rPr>
          <w:rFonts w:ascii="仿宋_GB2312" w:eastAsia="仿宋_GB2312" w:hint="eastAsia"/>
          <w:color w:val="000000"/>
          <w:sz w:val="28"/>
          <w:szCs w:val="21"/>
        </w:rPr>
        <w:t>。</w:t>
      </w:r>
      <w:r w:rsidR="00E940FB">
        <w:rPr>
          <w:rFonts w:ascii="仿宋_GB2312" w:eastAsia="仿宋_GB2312" w:hint="eastAsia"/>
          <w:color w:val="000000"/>
          <w:sz w:val="28"/>
          <w:szCs w:val="21"/>
        </w:rPr>
        <w:t>分领域</w:t>
      </w:r>
      <w:r w:rsidR="00E940FB">
        <w:rPr>
          <w:rFonts w:ascii="仿宋_GB2312" w:eastAsia="仿宋_GB2312"/>
          <w:color w:val="000000"/>
          <w:sz w:val="28"/>
          <w:szCs w:val="21"/>
        </w:rPr>
        <w:t>看</w:t>
      </w:r>
      <w:r w:rsidR="00E940FB">
        <w:rPr>
          <w:rFonts w:ascii="仿宋_GB2312" w:eastAsia="仿宋_GB2312" w:hint="eastAsia"/>
          <w:color w:val="000000"/>
          <w:sz w:val="28"/>
          <w:szCs w:val="21"/>
        </w:rPr>
        <w:t>，投资</w:t>
      </w:r>
      <w:r w:rsidR="00E940FB" w:rsidRPr="00C735FE">
        <w:rPr>
          <w:rFonts w:ascii="仿宋_GB2312" w:eastAsia="仿宋_GB2312" w:hint="eastAsia"/>
          <w:color w:val="000000"/>
          <w:sz w:val="28"/>
          <w:szCs w:val="21"/>
        </w:rPr>
        <w:t>规模</w:t>
      </w:r>
      <w:r w:rsidR="00E940FB">
        <w:rPr>
          <w:rFonts w:ascii="仿宋_GB2312" w:eastAsia="仿宋_GB2312" w:hint="eastAsia"/>
          <w:color w:val="000000"/>
          <w:sz w:val="28"/>
          <w:szCs w:val="21"/>
        </w:rPr>
        <w:t>收缩</w:t>
      </w:r>
      <w:r w:rsidR="00E940FB">
        <w:rPr>
          <w:rFonts w:ascii="仿宋_GB2312" w:eastAsia="仿宋_GB2312"/>
          <w:color w:val="000000"/>
          <w:sz w:val="28"/>
          <w:szCs w:val="21"/>
        </w:rPr>
        <w:t>最大</w:t>
      </w:r>
      <w:r w:rsidR="00E940FB" w:rsidRPr="00C735FE">
        <w:rPr>
          <w:rFonts w:ascii="仿宋_GB2312" w:eastAsia="仿宋_GB2312" w:hint="eastAsia"/>
          <w:color w:val="000000"/>
          <w:sz w:val="28"/>
          <w:szCs w:val="21"/>
        </w:rPr>
        <w:t>的</w:t>
      </w:r>
      <w:r w:rsidR="00E940FB">
        <w:rPr>
          <w:rFonts w:ascii="仿宋_GB2312" w:eastAsia="仿宋_GB2312" w:hint="eastAsia"/>
          <w:color w:val="000000"/>
          <w:sz w:val="28"/>
          <w:szCs w:val="21"/>
        </w:rPr>
        <w:t>领域</w:t>
      </w:r>
      <w:r w:rsidR="00E940FB" w:rsidRPr="00C735FE">
        <w:rPr>
          <w:rFonts w:ascii="仿宋_GB2312" w:eastAsia="仿宋_GB2312" w:hint="eastAsia"/>
          <w:color w:val="000000"/>
          <w:sz w:val="28"/>
          <w:szCs w:val="21"/>
        </w:rPr>
        <w:t>是</w:t>
      </w:r>
      <w:r w:rsidR="00E940FB">
        <w:rPr>
          <w:rFonts w:ascii="仿宋_GB2312" w:eastAsia="仿宋_GB2312" w:hint="eastAsia"/>
          <w:color w:val="000000"/>
          <w:sz w:val="28"/>
          <w:szCs w:val="21"/>
        </w:rPr>
        <w:t>高端装备</w:t>
      </w:r>
      <w:r w:rsidR="00E940FB">
        <w:rPr>
          <w:rFonts w:ascii="仿宋_GB2312" w:eastAsia="仿宋_GB2312"/>
          <w:color w:val="000000"/>
          <w:sz w:val="28"/>
          <w:szCs w:val="21"/>
        </w:rPr>
        <w:t>制造</w:t>
      </w:r>
      <w:r w:rsidR="00E940FB">
        <w:rPr>
          <w:rFonts w:ascii="仿宋_GB2312" w:eastAsia="仿宋_GB2312" w:hint="eastAsia"/>
          <w:color w:val="000000"/>
          <w:sz w:val="28"/>
          <w:szCs w:val="21"/>
        </w:rPr>
        <w:t>，投资</w:t>
      </w:r>
      <w:r w:rsidR="00E940FB">
        <w:rPr>
          <w:rFonts w:ascii="仿宋_GB2312" w:eastAsia="仿宋_GB2312"/>
          <w:color w:val="000000"/>
          <w:sz w:val="28"/>
          <w:szCs w:val="21"/>
        </w:rPr>
        <w:t>减少</w:t>
      </w:r>
      <w:r w:rsidR="00E940FB">
        <w:rPr>
          <w:rFonts w:ascii="仿宋_GB2312" w:eastAsia="仿宋_GB2312" w:hint="eastAsia"/>
          <w:color w:val="000000"/>
          <w:sz w:val="28"/>
          <w:szCs w:val="21"/>
        </w:rPr>
        <w:t>134亿元</w:t>
      </w:r>
      <w:r w:rsidR="007A1B23">
        <w:rPr>
          <w:rFonts w:ascii="仿宋_GB2312" w:eastAsia="仿宋_GB2312" w:hint="eastAsia"/>
          <w:color w:val="000000"/>
          <w:sz w:val="28"/>
          <w:szCs w:val="21"/>
        </w:rPr>
        <w:t>（见</w:t>
      </w:r>
      <w:r w:rsidR="007A1B23">
        <w:rPr>
          <w:rFonts w:ascii="仿宋_GB2312" w:eastAsia="仿宋_GB2312"/>
          <w:color w:val="000000"/>
          <w:sz w:val="28"/>
          <w:szCs w:val="21"/>
        </w:rPr>
        <w:t>图</w:t>
      </w:r>
      <w:r w:rsidR="007A1B23">
        <w:rPr>
          <w:rFonts w:ascii="仿宋_GB2312" w:eastAsia="仿宋_GB2312" w:hint="eastAsia"/>
          <w:color w:val="000000"/>
          <w:sz w:val="28"/>
          <w:szCs w:val="21"/>
        </w:rPr>
        <w:t>8）</w:t>
      </w:r>
      <w:r w:rsidR="00E940FB">
        <w:rPr>
          <w:rFonts w:ascii="仿宋_GB2312" w:eastAsia="仿宋_GB2312"/>
          <w:color w:val="000000"/>
          <w:sz w:val="28"/>
          <w:szCs w:val="21"/>
        </w:rPr>
        <w:t>。投资扩张最大的是新一代信息技术领域，投资增加</w:t>
      </w:r>
      <w:r w:rsidR="00E940FB">
        <w:rPr>
          <w:rFonts w:ascii="仿宋_GB2312" w:eastAsia="仿宋_GB2312" w:hint="eastAsia"/>
          <w:color w:val="000000"/>
          <w:sz w:val="28"/>
          <w:szCs w:val="21"/>
        </w:rPr>
        <w:t>98.8亿元</w:t>
      </w:r>
      <w:r w:rsidR="00E940FB">
        <w:rPr>
          <w:rFonts w:ascii="仿宋_GB2312" w:eastAsia="仿宋_GB2312"/>
          <w:color w:val="000000"/>
          <w:sz w:val="28"/>
          <w:szCs w:val="21"/>
        </w:rPr>
        <w:t>。</w:t>
      </w:r>
      <w:r w:rsidR="00D378E1">
        <w:rPr>
          <w:rFonts w:ascii="仿宋_GB2312" w:eastAsia="仿宋_GB2312" w:hint="eastAsia"/>
          <w:color w:val="000000"/>
          <w:sz w:val="28"/>
          <w:szCs w:val="21"/>
        </w:rPr>
        <w:t>除了</w:t>
      </w:r>
      <w:r w:rsidR="00D378E1">
        <w:rPr>
          <w:rFonts w:ascii="仿宋_GB2312" w:eastAsia="仿宋_GB2312"/>
          <w:color w:val="000000"/>
          <w:sz w:val="28"/>
          <w:szCs w:val="21"/>
        </w:rPr>
        <w:t>新能源领域投资微增</w:t>
      </w:r>
      <w:r w:rsidR="00D378E1">
        <w:rPr>
          <w:rFonts w:ascii="仿宋_GB2312" w:eastAsia="仿宋_GB2312" w:hint="eastAsia"/>
          <w:color w:val="000000"/>
          <w:sz w:val="28"/>
          <w:szCs w:val="21"/>
        </w:rPr>
        <w:t>6亿元</w:t>
      </w:r>
      <w:r w:rsidR="002902C2">
        <w:rPr>
          <w:rFonts w:ascii="仿宋_GB2312" w:eastAsia="仿宋_GB2312" w:hint="eastAsia"/>
          <w:color w:val="000000"/>
          <w:sz w:val="28"/>
          <w:szCs w:val="21"/>
        </w:rPr>
        <w:t>之外</w:t>
      </w:r>
      <w:r w:rsidR="00D378E1">
        <w:rPr>
          <w:rFonts w:ascii="仿宋_GB2312" w:eastAsia="仿宋_GB2312"/>
          <w:color w:val="000000"/>
          <w:sz w:val="28"/>
          <w:szCs w:val="21"/>
        </w:rPr>
        <w:t>，其他领域</w:t>
      </w:r>
      <w:r w:rsidR="00D378E1">
        <w:rPr>
          <w:rFonts w:ascii="仿宋_GB2312" w:eastAsia="仿宋_GB2312" w:hint="eastAsia"/>
          <w:color w:val="000000"/>
          <w:sz w:val="28"/>
          <w:szCs w:val="21"/>
        </w:rPr>
        <w:t>企业</w:t>
      </w:r>
      <w:r w:rsidR="00D378E1">
        <w:rPr>
          <w:rFonts w:ascii="仿宋_GB2312" w:eastAsia="仿宋_GB2312"/>
          <w:color w:val="000000"/>
          <w:sz w:val="28"/>
          <w:szCs w:val="21"/>
        </w:rPr>
        <w:t>投资都</w:t>
      </w:r>
      <w:r w:rsidR="00D378E1">
        <w:rPr>
          <w:rFonts w:ascii="仿宋_GB2312" w:eastAsia="仿宋_GB2312" w:hint="eastAsia"/>
          <w:color w:val="000000"/>
          <w:sz w:val="28"/>
          <w:szCs w:val="21"/>
        </w:rPr>
        <w:t>较</w:t>
      </w:r>
      <w:r w:rsidR="00E940FB">
        <w:rPr>
          <w:rFonts w:ascii="仿宋_GB2312" w:eastAsia="仿宋_GB2312"/>
          <w:color w:val="000000"/>
          <w:sz w:val="28"/>
          <w:szCs w:val="21"/>
        </w:rPr>
        <w:t>去年</w:t>
      </w:r>
      <w:r w:rsidR="00E940FB">
        <w:rPr>
          <w:rFonts w:ascii="仿宋_GB2312" w:eastAsia="仿宋_GB2312" w:hint="eastAsia"/>
          <w:color w:val="000000"/>
          <w:sz w:val="28"/>
          <w:szCs w:val="21"/>
        </w:rPr>
        <w:t>同期</w:t>
      </w:r>
      <w:r w:rsidR="00D378E1">
        <w:rPr>
          <w:rFonts w:ascii="仿宋_GB2312" w:eastAsia="仿宋_GB2312" w:hint="eastAsia"/>
          <w:color w:val="000000"/>
          <w:sz w:val="28"/>
          <w:szCs w:val="21"/>
        </w:rPr>
        <w:t>出现</w:t>
      </w:r>
      <w:r w:rsidR="00D378E1">
        <w:rPr>
          <w:rFonts w:ascii="仿宋_GB2312" w:eastAsia="仿宋_GB2312"/>
          <w:color w:val="000000"/>
          <w:sz w:val="28"/>
          <w:szCs w:val="21"/>
        </w:rPr>
        <w:t>不同程度</w:t>
      </w:r>
      <w:r w:rsidR="00E940FB">
        <w:rPr>
          <w:rFonts w:ascii="仿宋_GB2312" w:eastAsia="仿宋_GB2312" w:hint="eastAsia"/>
          <w:color w:val="000000"/>
          <w:sz w:val="28"/>
          <w:szCs w:val="21"/>
        </w:rPr>
        <w:t>缩减</w:t>
      </w:r>
      <w:r w:rsidR="00E940FB">
        <w:rPr>
          <w:rFonts w:ascii="仿宋_GB2312" w:eastAsia="仿宋_GB2312"/>
          <w:color w:val="000000"/>
          <w:sz w:val="28"/>
          <w:szCs w:val="21"/>
        </w:rPr>
        <w:t>。</w:t>
      </w:r>
      <w:r w:rsidR="00F2345E">
        <w:rPr>
          <w:rFonts w:ascii="仿宋_GB2312" w:eastAsia="仿宋_GB2312" w:hint="eastAsia"/>
          <w:color w:val="000000"/>
          <w:sz w:val="28"/>
          <w:szCs w:val="21"/>
        </w:rPr>
        <w:t>显示</w:t>
      </w:r>
      <w:r w:rsidR="00F2345E">
        <w:rPr>
          <w:rFonts w:ascii="仿宋_GB2312" w:eastAsia="仿宋_GB2312"/>
          <w:color w:val="000000"/>
          <w:sz w:val="28"/>
          <w:szCs w:val="21"/>
        </w:rPr>
        <w:t>企业对于未来</w:t>
      </w:r>
      <w:r w:rsidR="00F2345E">
        <w:rPr>
          <w:rFonts w:ascii="仿宋_GB2312" w:eastAsia="仿宋_GB2312" w:hint="eastAsia"/>
          <w:color w:val="000000"/>
          <w:sz w:val="28"/>
          <w:szCs w:val="21"/>
        </w:rPr>
        <w:t>预期</w:t>
      </w:r>
      <w:r w:rsidR="00F2345E">
        <w:rPr>
          <w:rFonts w:ascii="仿宋_GB2312" w:eastAsia="仿宋_GB2312"/>
          <w:color w:val="000000"/>
          <w:sz w:val="28"/>
          <w:szCs w:val="21"/>
        </w:rPr>
        <w:t>不乐观，</w:t>
      </w:r>
      <w:r w:rsidR="00F2345E">
        <w:rPr>
          <w:rFonts w:ascii="仿宋_GB2312" w:eastAsia="仿宋_GB2312" w:hint="eastAsia"/>
          <w:color w:val="000000"/>
          <w:sz w:val="28"/>
          <w:szCs w:val="21"/>
        </w:rPr>
        <w:t>投资意愿下降</w:t>
      </w:r>
      <w:r w:rsidR="00F2345E">
        <w:rPr>
          <w:rFonts w:ascii="仿宋_GB2312" w:eastAsia="仿宋_GB2312"/>
          <w:color w:val="000000"/>
          <w:sz w:val="28"/>
          <w:szCs w:val="21"/>
        </w:rPr>
        <w:t>。</w:t>
      </w:r>
    </w:p>
    <w:p w:rsidR="00A528D5" w:rsidRDefault="00D378E1" w:rsidP="00F60255">
      <w:pPr>
        <w:spacing w:line="360" w:lineRule="auto"/>
        <w:ind w:firstLineChars="200" w:firstLine="420"/>
        <w:rPr>
          <w:rFonts w:ascii="仿宋_GB2312" w:eastAsia="仿宋_GB2312" w:hAnsi="仿宋"/>
          <w:sz w:val="28"/>
        </w:rPr>
      </w:pPr>
      <w:r>
        <w:rPr>
          <w:noProof/>
        </w:rPr>
        <w:drawing>
          <wp:inline distT="0" distB="0" distL="0" distR="0" wp14:anchorId="0AD40EE8" wp14:editId="044C8957">
            <wp:extent cx="4572000" cy="20193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02C2" w:rsidRPr="00F60255" w:rsidRDefault="002902C2" w:rsidP="002902C2">
      <w:pPr>
        <w:spacing w:line="360" w:lineRule="auto"/>
        <w:ind w:firstLineChars="200" w:firstLine="360"/>
        <w:jc w:val="center"/>
        <w:rPr>
          <w:rFonts w:ascii="仿宋_GB2312" w:eastAsia="仿宋_GB2312" w:hAnsi="仿宋"/>
          <w:sz w:val="28"/>
        </w:rPr>
      </w:pPr>
      <w:r w:rsidRPr="00F2795B">
        <w:rPr>
          <w:rFonts w:asciiTheme="minorEastAsia" w:hAnsiTheme="minorEastAsia" w:hint="eastAsia"/>
          <w:sz w:val="18"/>
        </w:rPr>
        <w:t>图</w:t>
      </w:r>
      <w:r>
        <w:rPr>
          <w:rFonts w:asciiTheme="minorEastAsia" w:hAnsiTheme="minorEastAsia"/>
          <w:sz w:val="18"/>
        </w:rPr>
        <w:t>8</w:t>
      </w:r>
      <w:r w:rsidRPr="00F2795B">
        <w:rPr>
          <w:rFonts w:asciiTheme="minorEastAsia" w:hAnsiTheme="minorEastAsia" w:hint="eastAsia"/>
          <w:sz w:val="18"/>
        </w:rPr>
        <w:t xml:space="preserve"> 战略性</w:t>
      </w:r>
      <w:r w:rsidRPr="00F2795B">
        <w:rPr>
          <w:rFonts w:asciiTheme="minorEastAsia" w:hAnsiTheme="minorEastAsia"/>
          <w:sz w:val="18"/>
        </w:rPr>
        <w:t>新兴产业</w:t>
      </w:r>
      <w:r>
        <w:rPr>
          <w:rFonts w:asciiTheme="minorEastAsia" w:hAnsiTheme="minorEastAsia"/>
          <w:sz w:val="18"/>
        </w:rPr>
        <w:t>上市公司</w:t>
      </w:r>
      <w:r>
        <w:rPr>
          <w:rFonts w:asciiTheme="minorEastAsia" w:hAnsiTheme="minorEastAsia" w:hint="eastAsia"/>
          <w:sz w:val="18"/>
        </w:rPr>
        <w:t>分领域</w:t>
      </w:r>
      <w:r w:rsidRPr="002902C2">
        <w:rPr>
          <w:rFonts w:asciiTheme="minorEastAsia" w:hAnsiTheme="minorEastAsia" w:hint="eastAsia"/>
          <w:sz w:val="18"/>
        </w:rPr>
        <w:t>投资活动产生的现金流量净额</w:t>
      </w:r>
      <w:r w:rsidRPr="00F2795B">
        <w:rPr>
          <w:rFonts w:asciiTheme="minorEastAsia" w:hAnsiTheme="minorEastAsia"/>
          <w:sz w:val="18"/>
        </w:rPr>
        <w:t>对比</w:t>
      </w:r>
    </w:p>
    <w:p w:rsidR="005F4985" w:rsidRPr="002902C2" w:rsidRDefault="007A1B23" w:rsidP="00F60255">
      <w:pPr>
        <w:spacing w:line="360" w:lineRule="auto"/>
        <w:ind w:firstLineChars="200" w:firstLine="562"/>
        <w:rPr>
          <w:rFonts w:ascii="仿宋_GB2312" w:eastAsia="仿宋_GB2312" w:hAnsi="仿宋"/>
          <w:b/>
          <w:sz w:val="28"/>
        </w:rPr>
      </w:pPr>
      <w:r>
        <w:rPr>
          <w:rFonts w:ascii="仿宋_GB2312" w:eastAsia="仿宋_GB2312" w:hAnsi="仿宋" w:hint="eastAsia"/>
          <w:b/>
          <w:sz w:val="28"/>
        </w:rPr>
        <w:t>八</w:t>
      </w:r>
      <w:r w:rsidR="00557A0A" w:rsidRPr="002902C2">
        <w:rPr>
          <w:rFonts w:ascii="仿宋_GB2312" w:eastAsia="仿宋_GB2312" w:hAnsi="仿宋" w:hint="eastAsia"/>
          <w:b/>
          <w:sz w:val="28"/>
        </w:rPr>
        <w:t>、</w:t>
      </w:r>
      <w:r w:rsidR="00A0469F" w:rsidRPr="002902C2">
        <w:rPr>
          <w:rFonts w:ascii="仿宋_GB2312" w:eastAsia="仿宋_GB2312" w:hAnsi="仿宋" w:hint="eastAsia"/>
          <w:b/>
          <w:sz w:val="28"/>
        </w:rPr>
        <w:t>直接融资</w:t>
      </w:r>
      <w:r w:rsidR="00004404" w:rsidRPr="002902C2">
        <w:rPr>
          <w:rFonts w:ascii="仿宋_GB2312" w:eastAsia="仿宋_GB2312" w:hAnsi="仿宋" w:hint="eastAsia"/>
          <w:b/>
          <w:sz w:val="28"/>
        </w:rPr>
        <w:t>规模</w:t>
      </w:r>
      <w:r w:rsidR="00726B03" w:rsidRPr="002902C2">
        <w:rPr>
          <w:rFonts w:ascii="仿宋_GB2312" w:eastAsia="仿宋_GB2312" w:hAnsi="仿宋" w:hint="eastAsia"/>
          <w:b/>
          <w:sz w:val="28"/>
        </w:rPr>
        <w:t>收缩</w:t>
      </w:r>
    </w:p>
    <w:p w:rsidR="00557A0A" w:rsidRPr="00F60255" w:rsidRDefault="00F2345E" w:rsidP="00F60255">
      <w:pPr>
        <w:spacing w:line="360" w:lineRule="auto"/>
        <w:ind w:firstLineChars="200" w:firstLine="560"/>
        <w:rPr>
          <w:rFonts w:ascii="仿宋_GB2312" w:eastAsia="仿宋_GB2312" w:hAnsi="仿宋"/>
          <w:sz w:val="28"/>
        </w:rPr>
      </w:pPr>
      <w:r>
        <w:rPr>
          <w:rFonts w:ascii="仿宋_GB2312" w:eastAsia="仿宋_GB2312" w:hAnsi="仿宋" w:hint="eastAsia"/>
          <w:sz w:val="28"/>
        </w:rPr>
        <w:t>除了</w:t>
      </w:r>
      <w:r>
        <w:rPr>
          <w:rFonts w:ascii="仿宋_GB2312" w:eastAsia="仿宋_GB2312" w:hAnsi="仿宋"/>
          <w:sz w:val="28"/>
        </w:rPr>
        <w:t>投资</w:t>
      </w:r>
      <w:r>
        <w:rPr>
          <w:rFonts w:ascii="仿宋_GB2312" w:eastAsia="仿宋_GB2312" w:hAnsi="仿宋" w:hint="eastAsia"/>
          <w:sz w:val="28"/>
        </w:rPr>
        <w:t>增速</w:t>
      </w:r>
      <w:r w:rsidR="00F95D71">
        <w:rPr>
          <w:rFonts w:ascii="仿宋_GB2312" w:eastAsia="仿宋_GB2312" w:hAnsi="仿宋"/>
          <w:sz w:val="28"/>
        </w:rPr>
        <w:t>下滑之外，</w:t>
      </w:r>
      <w:r>
        <w:rPr>
          <w:rFonts w:ascii="仿宋_GB2312" w:eastAsia="仿宋_GB2312" w:hAnsi="仿宋" w:hint="eastAsia"/>
          <w:sz w:val="28"/>
        </w:rPr>
        <w:t>募资</w:t>
      </w:r>
      <w:r>
        <w:rPr>
          <w:rFonts w:ascii="仿宋_GB2312" w:eastAsia="仿宋_GB2312" w:hAnsi="仿宋"/>
          <w:sz w:val="28"/>
        </w:rPr>
        <w:t>规模也出现大幅</w:t>
      </w:r>
      <w:r>
        <w:rPr>
          <w:rFonts w:ascii="仿宋_GB2312" w:eastAsia="仿宋_GB2312" w:hAnsi="仿宋" w:hint="eastAsia"/>
          <w:sz w:val="28"/>
        </w:rPr>
        <w:t>收缩</w:t>
      </w:r>
      <w:r w:rsidR="00F95D71">
        <w:rPr>
          <w:rFonts w:ascii="仿宋_GB2312" w:eastAsia="仿宋_GB2312" w:hAnsi="仿宋" w:hint="eastAsia"/>
          <w:sz w:val="28"/>
        </w:rPr>
        <w:t>，企业发展</w:t>
      </w:r>
      <w:r w:rsidR="00F95D71">
        <w:rPr>
          <w:rFonts w:ascii="仿宋_GB2312" w:eastAsia="仿宋_GB2312" w:hAnsi="仿宋"/>
          <w:sz w:val="28"/>
        </w:rPr>
        <w:t>后劲面临挑战</w:t>
      </w:r>
      <w:r>
        <w:rPr>
          <w:rFonts w:ascii="仿宋_GB2312" w:eastAsia="仿宋_GB2312" w:hAnsi="仿宋"/>
          <w:sz w:val="28"/>
        </w:rPr>
        <w:t>。</w:t>
      </w:r>
      <w:r w:rsidR="008F18EA" w:rsidRPr="00F60255">
        <w:rPr>
          <w:rFonts w:ascii="仿宋_GB2312" w:eastAsia="仿宋_GB2312" w:hAnsi="仿宋" w:hint="eastAsia"/>
          <w:sz w:val="28"/>
        </w:rPr>
        <w:t>2017年一季度战略性新兴产业</w:t>
      </w:r>
      <w:r w:rsidR="002902C2">
        <w:rPr>
          <w:rFonts w:ascii="仿宋_GB2312" w:eastAsia="仿宋_GB2312" w:hAnsi="仿宋" w:hint="eastAsia"/>
          <w:sz w:val="28"/>
        </w:rPr>
        <w:t>首</w:t>
      </w:r>
      <w:r w:rsidR="008F18EA" w:rsidRPr="00F60255">
        <w:rPr>
          <w:rFonts w:ascii="仿宋_GB2312" w:eastAsia="仿宋_GB2312" w:hAnsi="仿宋" w:hint="eastAsia"/>
          <w:sz w:val="28"/>
        </w:rPr>
        <w:t>发</w:t>
      </w:r>
      <w:r w:rsidR="002902C2">
        <w:rPr>
          <w:rFonts w:ascii="仿宋_GB2312" w:eastAsia="仿宋_GB2312" w:hAnsi="仿宋" w:hint="eastAsia"/>
          <w:sz w:val="28"/>
        </w:rPr>
        <w:t>募资和增</w:t>
      </w:r>
      <w:r w:rsidR="008F18EA" w:rsidRPr="00F60255">
        <w:rPr>
          <w:rFonts w:ascii="仿宋_GB2312" w:eastAsia="仿宋_GB2312" w:hAnsi="仿宋" w:hint="eastAsia"/>
          <w:sz w:val="28"/>
        </w:rPr>
        <w:t>发募资总额为975.2亿元，较去年同期减少711.9亿元，降幅为42%。其中，</w:t>
      </w:r>
      <w:r w:rsidR="00557A0A" w:rsidRPr="00F60255">
        <w:rPr>
          <w:rFonts w:ascii="仿宋_GB2312" w:eastAsia="仿宋_GB2312" w:hAnsi="仿宋" w:hint="eastAsia"/>
          <w:sz w:val="28"/>
        </w:rPr>
        <w:t>一季度</w:t>
      </w:r>
      <w:r w:rsidR="00A0469F" w:rsidRPr="00F60255">
        <w:rPr>
          <w:rFonts w:ascii="仿宋_GB2312" w:eastAsia="仿宋_GB2312" w:hAnsi="仿宋" w:hint="eastAsia"/>
          <w:sz w:val="28"/>
        </w:rPr>
        <w:t>战略性新兴产业领域发起</w:t>
      </w:r>
      <w:r w:rsidR="00557A0A" w:rsidRPr="00F60255">
        <w:rPr>
          <w:rFonts w:ascii="仿宋_GB2312" w:eastAsia="仿宋_GB2312" w:hAnsi="仿宋" w:hint="eastAsia"/>
          <w:sz w:val="28"/>
        </w:rPr>
        <w:t>IPO</w:t>
      </w:r>
      <w:r w:rsidR="00A0469F" w:rsidRPr="00F60255">
        <w:rPr>
          <w:rFonts w:ascii="仿宋_GB2312" w:eastAsia="仿宋_GB2312" w:hAnsi="仿宋" w:hint="eastAsia"/>
          <w:sz w:val="28"/>
        </w:rPr>
        <w:t>的企业数为55家，占全部首发募资企业数的40%</w:t>
      </w:r>
      <w:r w:rsidR="002902C2">
        <w:rPr>
          <w:rFonts w:ascii="仿宋_GB2312" w:eastAsia="仿宋_GB2312" w:hAnsi="仿宋" w:hint="eastAsia"/>
          <w:sz w:val="28"/>
        </w:rPr>
        <w:t>，</w:t>
      </w:r>
      <w:r w:rsidR="00A0469F" w:rsidRPr="00F60255">
        <w:rPr>
          <w:rFonts w:ascii="仿宋_GB2312" w:eastAsia="仿宋_GB2312" w:hAnsi="仿宋" w:hint="eastAsia"/>
          <w:sz w:val="28"/>
        </w:rPr>
        <w:t>首发募资总额达到205.6亿元</w:t>
      </w:r>
      <w:r w:rsidR="007A1B23">
        <w:rPr>
          <w:rFonts w:ascii="仿宋_GB2312" w:eastAsia="仿宋_GB2312" w:hAnsi="仿宋" w:hint="eastAsia"/>
          <w:sz w:val="28"/>
        </w:rPr>
        <w:t>（见</w:t>
      </w:r>
      <w:r w:rsidR="007A1B23">
        <w:rPr>
          <w:rFonts w:ascii="仿宋_GB2312" w:eastAsia="仿宋_GB2312" w:hAnsi="仿宋"/>
          <w:sz w:val="28"/>
        </w:rPr>
        <w:t>图</w:t>
      </w:r>
      <w:r w:rsidR="007A1B23">
        <w:rPr>
          <w:rFonts w:ascii="仿宋_GB2312" w:eastAsia="仿宋_GB2312" w:hAnsi="仿宋" w:hint="eastAsia"/>
          <w:sz w:val="28"/>
        </w:rPr>
        <w:t>9）</w:t>
      </w:r>
      <w:r w:rsidR="00A0469F" w:rsidRPr="00F60255">
        <w:rPr>
          <w:rFonts w:ascii="仿宋_GB2312" w:eastAsia="仿宋_GB2312" w:hAnsi="仿宋" w:hint="eastAsia"/>
          <w:sz w:val="28"/>
        </w:rPr>
        <w:t>，占A股首发募资总额的29.4%，比去年同期增加10.2个百分点。</w:t>
      </w:r>
      <w:r w:rsidR="008F18EA" w:rsidRPr="00F60255">
        <w:rPr>
          <w:rFonts w:ascii="仿宋_GB2312" w:eastAsia="仿宋_GB2312" w:hAnsi="仿宋" w:hint="eastAsia"/>
          <w:sz w:val="28"/>
        </w:rPr>
        <w:t>但</w:t>
      </w:r>
      <w:r w:rsidR="002902C2">
        <w:rPr>
          <w:rFonts w:ascii="仿宋_GB2312" w:eastAsia="仿宋_GB2312" w:hAnsi="仿宋" w:hint="eastAsia"/>
          <w:sz w:val="28"/>
        </w:rPr>
        <w:t>同时</w:t>
      </w:r>
      <w:r w:rsidR="00A0469F" w:rsidRPr="00F60255">
        <w:rPr>
          <w:rFonts w:ascii="仿宋_GB2312" w:eastAsia="仿宋_GB2312" w:hAnsi="仿宋" w:hint="eastAsia"/>
          <w:sz w:val="28"/>
        </w:rPr>
        <w:t>，</w:t>
      </w:r>
      <w:r w:rsidR="00726B03" w:rsidRPr="00F60255">
        <w:rPr>
          <w:rFonts w:ascii="仿宋_GB2312" w:eastAsia="仿宋_GB2312" w:hAnsi="仿宋" w:hint="eastAsia"/>
          <w:sz w:val="28"/>
        </w:rPr>
        <w:t>战略性新兴产业企业</w:t>
      </w:r>
      <w:r w:rsidR="00A0469F" w:rsidRPr="00F60255">
        <w:rPr>
          <w:rFonts w:ascii="仿宋_GB2312" w:eastAsia="仿宋_GB2312" w:hAnsi="仿宋" w:hint="eastAsia"/>
          <w:sz w:val="28"/>
        </w:rPr>
        <w:t>增发</w:t>
      </w:r>
      <w:proofErr w:type="gramStart"/>
      <w:r w:rsidR="00A0469F" w:rsidRPr="00F60255">
        <w:rPr>
          <w:rFonts w:ascii="仿宋_GB2312" w:eastAsia="仿宋_GB2312" w:hAnsi="仿宋" w:hint="eastAsia"/>
          <w:sz w:val="28"/>
        </w:rPr>
        <w:t>募</w:t>
      </w:r>
      <w:proofErr w:type="gramEnd"/>
      <w:r w:rsidR="00A0469F" w:rsidRPr="00F60255">
        <w:rPr>
          <w:rFonts w:ascii="仿宋_GB2312" w:eastAsia="仿宋_GB2312" w:hAnsi="仿宋" w:hint="eastAsia"/>
          <w:sz w:val="28"/>
        </w:rPr>
        <w:t>资</w:t>
      </w:r>
      <w:r w:rsidR="002902C2">
        <w:rPr>
          <w:rFonts w:ascii="仿宋_GB2312" w:eastAsia="仿宋_GB2312" w:hAnsi="仿宋" w:hint="eastAsia"/>
          <w:sz w:val="28"/>
        </w:rPr>
        <w:t>金</w:t>
      </w:r>
      <w:r w:rsidR="00726B03" w:rsidRPr="00F60255">
        <w:rPr>
          <w:rFonts w:ascii="仿宋_GB2312" w:eastAsia="仿宋_GB2312" w:hAnsi="仿宋" w:hint="eastAsia"/>
          <w:sz w:val="28"/>
        </w:rPr>
        <w:t>额</w:t>
      </w:r>
      <w:r w:rsidR="002902C2">
        <w:rPr>
          <w:rFonts w:ascii="仿宋_GB2312" w:eastAsia="仿宋_GB2312" w:hAnsi="仿宋" w:hint="eastAsia"/>
          <w:sz w:val="28"/>
        </w:rPr>
        <w:t>大幅</w:t>
      </w:r>
      <w:r w:rsidR="00726B03" w:rsidRPr="00F60255">
        <w:rPr>
          <w:rFonts w:ascii="仿宋_GB2312" w:eastAsia="仿宋_GB2312" w:hAnsi="仿宋" w:hint="eastAsia"/>
          <w:sz w:val="28"/>
        </w:rPr>
        <w:t>减少，是</w:t>
      </w:r>
      <w:r w:rsidR="002902C2">
        <w:rPr>
          <w:rFonts w:ascii="仿宋_GB2312" w:eastAsia="仿宋_GB2312" w:hAnsi="仿宋" w:hint="eastAsia"/>
          <w:sz w:val="28"/>
        </w:rPr>
        <w:t>2016年</w:t>
      </w:r>
      <w:r w:rsidR="002902C2">
        <w:rPr>
          <w:rFonts w:ascii="仿宋_GB2312" w:eastAsia="仿宋_GB2312" w:hAnsi="仿宋"/>
          <w:sz w:val="28"/>
        </w:rPr>
        <w:t>以</w:t>
      </w:r>
      <w:r w:rsidR="002902C2">
        <w:rPr>
          <w:rFonts w:ascii="仿宋_GB2312" w:eastAsia="仿宋_GB2312" w:hAnsi="仿宋" w:hint="eastAsia"/>
          <w:sz w:val="28"/>
        </w:rPr>
        <w:t>来的最低值</w:t>
      </w:r>
      <w:r w:rsidR="00726B03" w:rsidRPr="00F60255">
        <w:rPr>
          <w:rFonts w:ascii="仿宋_GB2312" w:eastAsia="仿宋_GB2312" w:hAnsi="仿宋" w:hint="eastAsia"/>
          <w:sz w:val="28"/>
        </w:rPr>
        <w:t>，仅796.6亿元，占A股增发募资总额的比重</w:t>
      </w:r>
      <w:r w:rsidR="002902C2">
        <w:rPr>
          <w:rFonts w:ascii="仿宋_GB2312" w:eastAsia="仿宋_GB2312" w:hAnsi="仿宋" w:hint="eastAsia"/>
          <w:sz w:val="28"/>
        </w:rPr>
        <w:t>较去年</w:t>
      </w:r>
      <w:r w:rsidR="00726B03" w:rsidRPr="00F60255">
        <w:rPr>
          <w:rFonts w:ascii="仿宋_GB2312" w:eastAsia="仿宋_GB2312" w:hAnsi="仿宋" w:hint="eastAsia"/>
          <w:sz w:val="28"/>
        </w:rPr>
        <w:t>减少</w:t>
      </w:r>
      <w:r w:rsidR="008F18EA" w:rsidRPr="00F60255">
        <w:rPr>
          <w:rFonts w:ascii="仿宋_GB2312" w:eastAsia="仿宋_GB2312" w:hAnsi="仿宋" w:hint="eastAsia"/>
          <w:sz w:val="28"/>
        </w:rPr>
        <w:t>30个百分点。</w:t>
      </w:r>
    </w:p>
    <w:p w:rsidR="008F18EA" w:rsidRPr="00F60255" w:rsidRDefault="008F18EA" w:rsidP="00F60255">
      <w:pPr>
        <w:spacing w:line="360" w:lineRule="auto"/>
        <w:ind w:firstLineChars="200" w:firstLine="560"/>
        <w:rPr>
          <w:rFonts w:ascii="仿宋_GB2312" w:eastAsia="仿宋_GB2312" w:hAnsi="仿宋"/>
          <w:sz w:val="28"/>
        </w:rPr>
      </w:pPr>
      <w:r w:rsidRPr="00F60255">
        <w:rPr>
          <w:rFonts w:ascii="仿宋_GB2312" w:eastAsia="仿宋_GB2312" w:hAnsi="仿宋" w:hint="eastAsia"/>
          <w:noProof/>
          <w:sz w:val="28"/>
        </w:rPr>
        <w:lastRenderedPageBreak/>
        <w:drawing>
          <wp:inline distT="0" distB="0" distL="0" distR="0" wp14:anchorId="53000378" wp14:editId="4291F799">
            <wp:extent cx="4572000" cy="1795145"/>
            <wp:effectExtent l="0" t="0" r="0"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18EA" w:rsidRPr="00F60255" w:rsidRDefault="002902C2" w:rsidP="002902C2">
      <w:pPr>
        <w:spacing w:line="360" w:lineRule="auto"/>
        <w:ind w:firstLineChars="200" w:firstLine="360"/>
        <w:jc w:val="center"/>
        <w:rPr>
          <w:rFonts w:ascii="仿宋_GB2312" w:eastAsia="仿宋_GB2312" w:hAnsi="仿宋"/>
          <w:sz w:val="28"/>
        </w:rPr>
      </w:pPr>
      <w:r w:rsidRPr="00F2795B">
        <w:rPr>
          <w:rFonts w:asciiTheme="minorEastAsia" w:hAnsiTheme="minorEastAsia" w:hint="eastAsia"/>
          <w:sz w:val="18"/>
        </w:rPr>
        <w:t>图</w:t>
      </w:r>
      <w:r>
        <w:rPr>
          <w:rFonts w:asciiTheme="minorEastAsia" w:hAnsiTheme="minorEastAsia"/>
          <w:sz w:val="18"/>
        </w:rPr>
        <w:t>9</w:t>
      </w:r>
      <w:r w:rsidRPr="00F2795B">
        <w:rPr>
          <w:rFonts w:asciiTheme="minorEastAsia" w:hAnsiTheme="minorEastAsia" w:hint="eastAsia"/>
          <w:sz w:val="18"/>
        </w:rPr>
        <w:t xml:space="preserve"> 战略性</w:t>
      </w:r>
      <w:r w:rsidRPr="00F2795B">
        <w:rPr>
          <w:rFonts w:asciiTheme="minorEastAsia" w:hAnsiTheme="minorEastAsia"/>
          <w:sz w:val="18"/>
        </w:rPr>
        <w:t>新兴产业</w:t>
      </w:r>
      <w:r>
        <w:rPr>
          <w:rFonts w:asciiTheme="minorEastAsia" w:hAnsiTheme="minorEastAsia"/>
          <w:sz w:val="18"/>
        </w:rPr>
        <w:t>上市公司</w:t>
      </w:r>
      <w:r>
        <w:rPr>
          <w:rFonts w:asciiTheme="minorEastAsia" w:hAnsiTheme="minorEastAsia" w:hint="eastAsia"/>
          <w:sz w:val="18"/>
        </w:rPr>
        <w:t>首发</w:t>
      </w:r>
      <w:r>
        <w:rPr>
          <w:rFonts w:asciiTheme="minorEastAsia" w:hAnsiTheme="minorEastAsia"/>
          <w:sz w:val="18"/>
        </w:rPr>
        <w:t>募资和增发募资额</w:t>
      </w:r>
    </w:p>
    <w:sectPr w:rsidR="008F18EA" w:rsidRPr="00F602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C1" w:rsidRDefault="00D316C1" w:rsidP="0070499B">
      <w:r>
        <w:separator/>
      </w:r>
    </w:p>
  </w:endnote>
  <w:endnote w:type="continuationSeparator" w:id="0">
    <w:p w:rsidR="00D316C1" w:rsidRDefault="00D316C1" w:rsidP="0070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C1" w:rsidRDefault="00D316C1" w:rsidP="0070499B">
      <w:r>
        <w:separator/>
      </w:r>
    </w:p>
  </w:footnote>
  <w:footnote w:type="continuationSeparator" w:id="0">
    <w:p w:rsidR="00D316C1" w:rsidRDefault="00D316C1" w:rsidP="0070499B">
      <w:r>
        <w:continuationSeparator/>
      </w:r>
    </w:p>
  </w:footnote>
  <w:footnote w:id="1">
    <w:p w:rsidR="00F92D52" w:rsidRDefault="00F92D52" w:rsidP="00F92D52">
      <w:pPr>
        <w:pStyle w:val="a5"/>
      </w:pPr>
      <w:r>
        <w:rPr>
          <w:rStyle w:val="a6"/>
        </w:rPr>
        <w:footnoteRef/>
      </w:r>
      <w:r w:rsidRPr="00DA429D">
        <w:rPr>
          <w:rFonts w:hint="eastAsia"/>
        </w:rPr>
        <w:t>新一代信息技术领域同方股份和</w:t>
      </w:r>
      <w:proofErr w:type="gramStart"/>
      <w:r w:rsidRPr="00DA429D">
        <w:rPr>
          <w:rFonts w:hint="eastAsia"/>
        </w:rPr>
        <w:t>艾派克</w:t>
      </w:r>
      <w:proofErr w:type="gramEnd"/>
      <w:r w:rsidRPr="00DA429D">
        <w:rPr>
          <w:rFonts w:hint="eastAsia"/>
        </w:rPr>
        <w:t>两家企业分别在去年和今年一季度出现了重大非经常性损益，导致利润同比增速出现巨大波动，剔除两家企业后，新一代信息技术上市公司</w:t>
      </w:r>
      <w:r w:rsidRPr="00DA429D">
        <w:rPr>
          <w:rFonts w:hint="eastAsia"/>
        </w:rPr>
        <w:t>2017</w:t>
      </w:r>
      <w:r w:rsidRPr="00DA429D">
        <w:rPr>
          <w:rFonts w:hint="eastAsia"/>
        </w:rPr>
        <w:t>年一季度利润增速为</w:t>
      </w:r>
      <w:r w:rsidRPr="00DA429D">
        <w:rPr>
          <w:rFonts w:hint="eastAsia"/>
        </w:rPr>
        <w:t>39.8%</w:t>
      </w:r>
      <w:r w:rsidRPr="00DA429D">
        <w:rPr>
          <w:rFonts w:hint="eastAsia"/>
        </w:rP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71"/>
    <w:rsid w:val="00004404"/>
    <w:rsid w:val="0004557D"/>
    <w:rsid w:val="00063D6D"/>
    <w:rsid w:val="00070D68"/>
    <w:rsid w:val="000A65D3"/>
    <w:rsid w:val="000E749F"/>
    <w:rsid w:val="00113F21"/>
    <w:rsid w:val="00215957"/>
    <w:rsid w:val="00225261"/>
    <w:rsid w:val="00242CE1"/>
    <w:rsid w:val="00245DEF"/>
    <w:rsid w:val="002902C2"/>
    <w:rsid w:val="00294B8E"/>
    <w:rsid w:val="003F0F79"/>
    <w:rsid w:val="00421E46"/>
    <w:rsid w:val="004326AD"/>
    <w:rsid w:val="00466530"/>
    <w:rsid w:val="004941A3"/>
    <w:rsid w:val="004C4148"/>
    <w:rsid w:val="004E3CBA"/>
    <w:rsid w:val="004F51B8"/>
    <w:rsid w:val="00511BD8"/>
    <w:rsid w:val="00527509"/>
    <w:rsid w:val="00557A0A"/>
    <w:rsid w:val="005B6EF1"/>
    <w:rsid w:val="005C3243"/>
    <w:rsid w:val="005C7F83"/>
    <w:rsid w:val="005F4985"/>
    <w:rsid w:val="005F4AC6"/>
    <w:rsid w:val="00611A78"/>
    <w:rsid w:val="00640D4D"/>
    <w:rsid w:val="00673ABA"/>
    <w:rsid w:val="00694EF6"/>
    <w:rsid w:val="006D1153"/>
    <w:rsid w:val="006D4D32"/>
    <w:rsid w:val="006E1AB9"/>
    <w:rsid w:val="0070499B"/>
    <w:rsid w:val="00705BB6"/>
    <w:rsid w:val="00726B03"/>
    <w:rsid w:val="0074088E"/>
    <w:rsid w:val="00760786"/>
    <w:rsid w:val="007A1B23"/>
    <w:rsid w:val="007B7E9F"/>
    <w:rsid w:val="007D7A92"/>
    <w:rsid w:val="00827747"/>
    <w:rsid w:val="00865316"/>
    <w:rsid w:val="008C2219"/>
    <w:rsid w:val="008F18EA"/>
    <w:rsid w:val="009701A3"/>
    <w:rsid w:val="009A2340"/>
    <w:rsid w:val="009C5636"/>
    <w:rsid w:val="009F4349"/>
    <w:rsid w:val="00A0469F"/>
    <w:rsid w:val="00A4318B"/>
    <w:rsid w:val="00A528D5"/>
    <w:rsid w:val="00A97363"/>
    <w:rsid w:val="00AA26E9"/>
    <w:rsid w:val="00AC2114"/>
    <w:rsid w:val="00AE6D16"/>
    <w:rsid w:val="00B063C7"/>
    <w:rsid w:val="00B205C3"/>
    <w:rsid w:val="00B37CA9"/>
    <w:rsid w:val="00BA5D25"/>
    <w:rsid w:val="00BC66E7"/>
    <w:rsid w:val="00C142D9"/>
    <w:rsid w:val="00C42669"/>
    <w:rsid w:val="00C54E24"/>
    <w:rsid w:val="00C61B82"/>
    <w:rsid w:val="00C71BAB"/>
    <w:rsid w:val="00CA0DAC"/>
    <w:rsid w:val="00CD1F60"/>
    <w:rsid w:val="00CF0EDC"/>
    <w:rsid w:val="00D07101"/>
    <w:rsid w:val="00D10DAF"/>
    <w:rsid w:val="00D316C1"/>
    <w:rsid w:val="00D378E1"/>
    <w:rsid w:val="00D769ED"/>
    <w:rsid w:val="00D83291"/>
    <w:rsid w:val="00D96A71"/>
    <w:rsid w:val="00DA3774"/>
    <w:rsid w:val="00DA429D"/>
    <w:rsid w:val="00DC5F21"/>
    <w:rsid w:val="00E940FB"/>
    <w:rsid w:val="00EB454D"/>
    <w:rsid w:val="00EC3B21"/>
    <w:rsid w:val="00ED5B53"/>
    <w:rsid w:val="00F002DF"/>
    <w:rsid w:val="00F2345E"/>
    <w:rsid w:val="00F2795B"/>
    <w:rsid w:val="00F55E25"/>
    <w:rsid w:val="00F60255"/>
    <w:rsid w:val="00F76A59"/>
    <w:rsid w:val="00F92D52"/>
    <w:rsid w:val="00F95D71"/>
    <w:rsid w:val="00FB5211"/>
    <w:rsid w:val="00FE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99B"/>
    <w:rPr>
      <w:sz w:val="18"/>
      <w:szCs w:val="18"/>
    </w:rPr>
  </w:style>
  <w:style w:type="paragraph" w:styleId="a4">
    <w:name w:val="footer"/>
    <w:basedOn w:val="a"/>
    <w:link w:val="Char0"/>
    <w:uiPriority w:val="99"/>
    <w:unhideWhenUsed/>
    <w:rsid w:val="0070499B"/>
    <w:pPr>
      <w:tabs>
        <w:tab w:val="center" w:pos="4153"/>
        <w:tab w:val="right" w:pos="8306"/>
      </w:tabs>
      <w:snapToGrid w:val="0"/>
      <w:jc w:val="left"/>
    </w:pPr>
    <w:rPr>
      <w:sz w:val="18"/>
      <w:szCs w:val="18"/>
    </w:rPr>
  </w:style>
  <w:style w:type="character" w:customStyle="1" w:styleId="Char0">
    <w:name w:val="页脚 Char"/>
    <w:basedOn w:val="a0"/>
    <w:link w:val="a4"/>
    <w:uiPriority w:val="99"/>
    <w:rsid w:val="0070499B"/>
    <w:rPr>
      <w:sz w:val="18"/>
      <w:szCs w:val="18"/>
    </w:rPr>
  </w:style>
  <w:style w:type="paragraph" w:styleId="a5">
    <w:name w:val="footnote text"/>
    <w:basedOn w:val="a"/>
    <w:link w:val="Char1"/>
    <w:uiPriority w:val="99"/>
    <w:semiHidden/>
    <w:unhideWhenUsed/>
    <w:rsid w:val="00D83291"/>
    <w:pPr>
      <w:snapToGrid w:val="0"/>
      <w:jc w:val="left"/>
    </w:pPr>
    <w:rPr>
      <w:sz w:val="18"/>
      <w:szCs w:val="18"/>
    </w:rPr>
  </w:style>
  <w:style w:type="character" w:customStyle="1" w:styleId="Char1">
    <w:name w:val="脚注文本 Char"/>
    <w:basedOn w:val="a0"/>
    <w:link w:val="a5"/>
    <w:uiPriority w:val="99"/>
    <w:semiHidden/>
    <w:rsid w:val="00D83291"/>
    <w:rPr>
      <w:sz w:val="18"/>
      <w:szCs w:val="18"/>
    </w:rPr>
  </w:style>
  <w:style w:type="character" w:styleId="a6">
    <w:name w:val="footnote reference"/>
    <w:basedOn w:val="a0"/>
    <w:uiPriority w:val="99"/>
    <w:semiHidden/>
    <w:unhideWhenUsed/>
    <w:rsid w:val="00D83291"/>
    <w:rPr>
      <w:vertAlign w:val="superscript"/>
    </w:rPr>
  </w:style>
  <w:style w:type="paragraph" w:styleId="a7">
    <w:name w:val="Balloon Text"/>
    <w:basedOn w:val="a"/>
    <w:link w:val="Char2"/>
    <w:uiPriority w:val="99"/>
    <w:semiHidden/>
    <w:unhideWhenUsed/>
    <w:rsid w:val="0074088E"/>
    <w:rPr>
      <w:sz w:val="18"/>
      <w:szCs w:val="18"/>
    </w:rPr>
  </w:style>
  <w:style w:type="character" w:customStyle="1" w:styleId="Char2">
    <w:name w:val="批注框文本 Char"/>
    <w:basedOn w:val="a0"/>
    <w:link w:val="a7"/>
    <w:uiPriority w:val="99"/>
    <w:semiHidden/>
    <w:rsid w:val="007408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99B"/>
    <w:rPr>
      <w:sz w:val="18"/>
      <w:szCs w:val="18"/>
    </w:rPr>
  </w:style>
  <w:style w:type="paragraph" w:styleId="a4">
    <w:name w:val="footer"/>
    <w:basedOn w:val="a"/>
    <w:link w:val="Char0"/>
    <w:uiPriority w:val="99"/>
    <w:unhideWhenUsed/>
    <w:rsid w:val="0070499B"/>
    <w:pPr>
      <w:tabs>
        <w:tab w:val="center" w:pos="4153"/>
        <w:tab w:val="right" w:pos="8306"/>
      </w:tabs>
      <w:snapToGrid w:val="0"/>
      <w:jc w:val="left"/>
    </w:pPr>
    <w:rPr>
      <w:sz w:val="18"/>
      <w:szCs w:val="18"/>
    </w:rPr>
  </w:style>
  <w:style w:type="character" w:customStyle="1" w:styleId="Char0">
    <w:name w:val="页脚 Char"/>
    <w:basedOn w:val="a0"/>
    <w:link w:val="a4"/>
    <w:uiPriority w:val="99"/>
    <w:rsid w:val="0070499B"/>
    <w:rPr>
      <w:sz w:val="18"/>
      <w:szCs w:val="18"/>
    </w:rPr>
  </w:style>
  <w:style w:type="paragraph" w:styleId="a5">
    <w:name w:val="footnote text"/>
    <w:basedOn w:val="a"/>
    <w:link w:val="Char1"/>
    <w:uiPriority w:val="99"/>
    <w:semiHidden/>
    <w:unhideWhenUsed/>
    <w:rsid w:val="00D83291"/>
    <w:pPr>
      <w:snapToGrid w:val="0"/>
      <w:jc w:val="left"/>
    </w:pPr>
    <w:rPr>
      <w:sz w:val="18"/>
      <w:szCs w:val="18"/>
    </w:rPr>
  </w:style>
  <w:style w:type="character" w:customStyle="1" w:styleId="Char1">
    <w:name w:val="脚注文本 Char"/>
    <w:basedOn w:val="a0"/>
    <w:link w:val="a5"/>
    <w:uiPriority w:val="99"/>
    <w:semiHidden/>
    <w:rsid w:val="00D83291"/>
    <w:rPr>
      <w:sz w:val="18"/>
      <w:szCs w:val="18"/>
    </w:rPr>
  </w:style>
  <w:style w:type="character" w:styleId="a6">
    <w:name w:val="footnote reference"/>
    <w:basedOn w:val="a0"/>
    <w:uiPriority w:val="99"/>
    <w:semiHidden/>
    <w:unhideWhenUsed/>
    <w:rsid w:val="00D83291"/>
    <w:rPr>
      <w:vertAlign w:val="superscript"/>
    </w:rPr>
  </w:style>
  <w:style w:type="paragraph" w:styleId="a7">
    <w:name w:val="Balloon Text"/>
    <w:basedOn w:val="a"/>
    <w:link w:val="Char2"/>
    <w:uiPriority w:val="99"/>
    <w:semiHidden/>
    <w:unhideWhenUsed/>
    <w:rsid w:val="0074088E"/>
    <w:rPr>
      <w:sz w:val="18"/>
      <w:szCs w:val="18"/>
    </w:rPr>
  </w:style>
  <w:style w:type="character" w:customStyle="1" w:styleId="Char2">
    <w:name w:val="批注框文本 Char"/>
    <w:basedOn w:val="a0"/>
    <w:link w:val="a7"/>
    <w:uiPriority w:val="99"/>
    <w:semiHidden/>
    <w:rsid w:val="007408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4037;&#20316;\2017&#24180;\&#19978;&#24066;&#20844;&#21496;&#25968;&#25454;&#24211;\&#25112;&#30053;&#24615;&#26032;&#20852;&#20135;&#19994;A&#32929;&#19978;&#24066;&#20844;&#21496;&#32479;&#35745;&#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4037;&#20316;\2017&#24180;\&#19978;&#24066;&#20844;&#21496;&#25968;&#25454;&#24211;\2017&#24180;&#19968;&#23395;&#24230;\2017Q1&#25253;&#21578;&#25968;&#254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4037;&#20316;\2017&#24180;\&#19978;&#24066;&#20844;&#21496;&#25968;&#25454;&#24211;\2017&#24180;&#19968;&#23395;&#24230;\2017Q1&#25253;&#21578;&#25968;&#254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4037;&#20316;\2017&#24180;\&#19978;&#24066;&#20844;&#21496;&#25968;&#25454;&#24211;\2017&#24180;&#19968;&#23395;&#24230;\2017Q1&#25253;&#21578;&#25968;&#2545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4037;&#20316;\2017&#24180;\&#19978;&#24066;&#20844;&#21496;&#25968;&#25454;&#24211;\2017&#24180;&#19968;&#23395;&#24230;\2017Q1&#25253;&#21578;&#25968;&#2545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4037;&#20316;\2017&#24180;\&#19978;&#24066;&#20844;&#21496;&#25968;&#25454;&#24211;\2017&#24180;&#19968;&#23395;&#24230;\&#32929;&#20215;&#2167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4037;&#20316;\2017&#24180;\&#19978;&#24066;&#20844;&#21496;&#25968;&#25454;&#24211;\2017&#24180;&#19968;&#23395;&#24230;\&#25237;&#36164;&#27963;&#21160;&#20135;&#29983;&#30340;&#29616;&#3732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6.2678062678062682E-2"/>
          <c:w val="0.93888888888888888"/>
          <c:h val="0.59674271485295105"/>
        </c:manualLayout>
      </c:layout>
      <c:lineChart>
        <c:grouping val="standard"/>
        <c:varyColors val="0"/>
        <c:ser>
          <c:idx val="0"/>
          <c:order val="0"/>
          <c:tx>
            <c:strRef>
              <c:f>Sheet1!$A$3</c:f>
              <c:strCache>
                <c:ptCount val="1"/>
                <c:pt idx="0">
                  <c:v>战略性新兴产业营收增速</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6923665791776022E-2"/>
                  <c:y val="-1.623833479148439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Sheet1!$B$1:$N$2</c:f>
              <c:multiLvlStrCache>
                <c:ptCount val="13"/>
                <c:lvl>
                  <c:pt idx="0">
                    <c:v>Q1</c:v>
                  </c:pt>
                  <c:pt idx="1">
                    <c:v>Q2</c:v>
                  </c:pt>
                  <c:pt idx="2">
                    <c:v>Q3</c:v>
                  </c:pt>
                  <c:pt idx="3">
                    <c:v>Q4</c:v>
                  </c:pt>
                  <c:pt idx="4">
                    <c:v>Q1</c:v>
                  </c:pt>
                  <c:pt idx="5">
                    <c:v>Q2</c:v>
                  </c:pt>
                  <c:pt idx="6">
                    <c:v>Q3</c:v>
                  </c:pt>
                  <c:pt idx="7">
                    <c:v>Q4</c:v>
                  </c:pt>
                  <c:pt idx="8">
                    <c:v>Q1</c:v>
                  </c:pt>
                  <c:pt idx="9">
                    <c:v>Q2</c:v>
                  </c:pt>
                  <c:pt idx="10">
                    <c:v>Q3</c:v>
                  </c:pt>
                  <c:pt idx="11">
                    <c:v>Q4</c:v>
                  </c:pt>
                  <c:pt idx="12">
                    <c:v>Q1</c:v>
                  </c:pt>
                </c:lvl>
                <c:lvl>
                  <c:pt idx="0">
                    <c:v>2014</c:v>
                  </c:pt>
                  <c:pt idx="4">
                    <c:v>2015</c:v>
                  </c:pt>
                  <c:pt idx="8">
                    <c:v>2016</c:v>
                  </c:pt>
                  <c:pt idx="12">
                    <c:v>2017</c:v>
                  </c:pt>
                </c:lvl>
              </c:multiLvlStrCache>
            </c:multiLvlStrRef>
          </c:cat>
          <c:val>
            <c:numRef>
              <c:f>Sheet1!$B$3:$N$3</c:f>
              <c:numCache>
                <c:formatCode>0.0%</c:formatCode>
                <c:ptCount val="13"/>
                <c:pt idx="0">
                  <c:v>0.12306786028134131</c:v>
                </c:pt>
                <c:pt idx="1">
                  <c:v>0.19302403212410368</c:v>
                </c:pt>
                <c:pt idx="2">
                  <c:v>0.18001132779480788</c:v>
                </c:pt>
                <c:pt idx="3">
                  <c:v>0.15541743390581964</c:v>
                </c:pt>
                <c:pt idx="4">
                  <c:v>0.18807216865667264</c:v>
                </c:pt>
                <c:pt idx="5">
                  <c:v>0.16402385906860695</c:v>
                </c:pt>
                <c:pt idx="6">
                  <c:v>0.19659467454245005</c:v>
                </c:pt>
                <c:pt idx="7">
                  <c:v>0.16491162059989684</c:v>
                </c:pt>
                <c:pt idx="8">
                  <c:v>0.20107059654579795</c:v>
                </c:pt>
                <c:pt idx="9">
                  <c:v>0.20731754108454425</c:v>
                </c:pt>
                <c:pt idx="10">
                  <c:v>0.19133570732192484</c:v>
                </c:pt>
                <c:pt idx="11">
                  <c:v>0.17662683516736011</c:v>
                </c:pt>
                <c:pt idx="12">
                  <c:v>0.20934586438248659</c:v>
                </c:pt>
              </c:numCache>
            </c:numRef>
          </c:val>
          <c:smooth val="0"/>
        </c:ser>
        <c:ser>
          <c:idx val="1"/>
          <c:order val="1"/>
          <c:tx>
            <c:strRef>
              <c:f>Sheet1!$A$4</c:f>
              <c:strCache>
                <c:ptCount val="1"/>
                <c:pt idx="0">
                  <c:v>上市公司营收增速</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4701443569553802E-2"/>
                  <c:y val="-3.468759113444153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altLang="zh-CN"/>
                      <a:t>21%</a:t>
                    </a:r>
                  </a:p>
                </c:rich>
              </c:tx>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Sheet1!$B$1:$N$2</c:f>
              <c:multiLvlStrCache>
                <c:ptCount val="13"/>
                <c:lvl>
                  <c:pt idx="0">
                    <c:v>Q1</c:v>
                  </c:pt>
                  <c:pt idx="1">
                    <c:v>Q2</c:v>
                  </c:pt>
                  <c:pt idx="2">
                    <c:v>Q3</c:v>
                  </c:pt>
                  <c:pt idx="3">
                    <c:v>Q4</c:v>
                  </c:pt>
                  <c:pt idx="4">
                    <c:v>Q1</c:v>
                  </c:pt>
                  <c:pt idx="5">
                    <c:v>Q2</c:v>
                  </c:pt>
                  <c:pt idx="6">
                    <c:v>Q3</c:v>
                  </c:pt>
                  <c:pt idx="7">
                    <c:v>Q4</c:v>
                  </c:pt>
                  <c:pt idx="8">
                    <c:v>Q1</c:v>
                  </c:pt>
                  <c:pt idx="9">
                    <c:v>Q2</c:v>
                  </c:pt>
                  <c:pt idx="10">
                    <c:v>Q3</c:v>
                  </c:pt>
                  <c:pt idx="11">
                    <c:v>Q4</c:v>
                  </c:pt>
                  <c:pt idx="12">
                    <c:v>Q1</c:v>
                  </c:pt>
                </c:lvl>
                <c:lvl>
                  <c:pt idx="0">
                    <c:v>2014</c:v>
                  </c:pt>
                  <c:pt idx="4">
                    <c:v>2015</c:v>
                  </c:pt>
                  <c:pt idx="8">
                    <c:v>2016</c:v>
                  </c:pt>
                  <c:pt idx="12">
                    <c:v>2017</c:v>
                  </c:pt>
                </c:lvl>
              </c:multiLvlStrCache>
            </c:multiLvlStrRef>
          </c:cat>
          <c:val>
            <c:numRef>
              <c:f>Sheet1!$B$4:$N$4</c:f>
              <c:numCache>
                <c:formatCode>0.0%</c:formatCode>
                <c:ptCount val="13"/>
                <c:pt idx="0">
                  <c:v>7.3879776949910214E-2</c:v>
                </c:pt>
                <c:pt idx="1">
                  <c:v>7.6436994460107988E-2</c:v>
                </c:pt>
                <c:pt idx="2">
                  <c:v>7.5181451091007157E-2</c:v>
                </c:pt>
                <c:pt idx="3">
                  <c:v>6.2835005856887172E-2</c:v>
                </c:pt>
                <c:pt idx="4">
                  <c:v>8.1096439162358092E-3</c:v>
                </c:pt>
                <c:pt idx="5">
                  <c:v>2.1941510844125878E-2</c:v>
                </c:pt>
                <c:pt idx="6">
                  <c:v>1.7891416857952924E-2</c:v>
                </c:pt>
                <c:pt idx="7">
                  <c:v>1.4358674333720067E-2</c:v>
                </c:pt>
                <c:pt idx="8">
                  <c:v>7.0408488590997909E-2</c:v>
                </c:pt>
                <c:pt idx="9">
                  <c:v>4.2227656843677464E-2</c:v>
                </c:pt>
                <c:pt idx="10">
                  <c:v>5.2253442545983741E-2</c:v>
                </c:pt>
                <c:pt idx="11">
                  <c:v>8.5060185478562644E-2</c:v>
                </c:pt>
                <c:pt idx="12">
                  <c:v>0.22648671478632387</c:v>
                </c:pt>
              </c:numCache>
            </c:numRef>
          </c:val>
          <c:smooth val="0"/>
        </c:ser>
        <c:dLbls>
          <c:showLegendKey val="0"/>
          <c:showVal val="0"/>
          <c:showCatName val="0"/>
          <c:showSerName val="0"/>
          <c:showPercent val="0"/>
          <c:showBubbleSize val="0"/>
        </c:dLbls>
        <c:marker val="1"/>
        <c:smooth val="0"/>
        <c:axId val="235057536"/>
        <c:axId val="235059072"/>
      </c:lineChart>
      <c:catAx>
        <c:axId val="23505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35059072"/>
        <c:crosses val="autoZero"/>
        <c:auto val="1"/>
        <c:lblAlgn val="ctr"/>
        <c:lblOffset val="100"/>
        <c:noMultiLvlLbl val="0"/>
      </c:catAx>
      <c:valAx>
        <c:axId val="235059072"/>
        <c:scaling>
          <c:orientation val="minMax"/>
        </c:scaling>
        <c:delete val="1"/>
        <c:axPos val="l"/>
        <c:numFmt formatCode="0.0%" sourceLinked="1"/>
        <c:majorTickMark val="none"/>
        <c:minorTickMark val="none"/>
        <c:tickLblPos val="nextTo"/>
        <c:crossAx val="23505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作图!$A$61</c:f>
              <c:strCache>
                <c:ptCount val="1"/>
                <c:pt idx="0">
                  <c:v>战略性新兴产业上市公司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2"/>
              <c:layout>
                <c:manualLayout>
                  <c:x val="-1.4132108486439195E-2"/>
                  <c:y val="3.4756853310002833E-2"/>
                </c:manualLayout>
              </c:layout>
              <c:tx>
                <c:rich>
                  <a:bodyPr/>
                  <a:lstStyle/>
                  <a:p>
                    <a:r>
                      <a:rPr lang="en-US" altLang="zh-CN"/>
                      <a:t>8.1%</a:t>
                    </a:r>
                  </a:p>
                </c:rich>
              </c:tx>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作图!$B$59:$N$60</c:f>
              <c:multiLvlStrCache>
                <c:ptCount val="13"/>
                <c:lvl>
                  <c:pt idx="0">
                    <c:v>Q1</c:v>
                  </c:pt>
                  <c:pt idx="1">
                    <c:v>Q2</c:v>
                  </c:pt>
                  <c:pt idx="2">
                    <c:v>Q3</c:v>
                  </c:pt>
                  <c:pt idx="3">
                    <c:v>Q4</c:v>
                  </c:pt>
                  <c:pt idx="4">
                    <c:v>Q1</c:v>
                  </c:pt>
                  <c:pt idx="5">
                    <c:v>Q2</c:v>
                  </c:pt>
                  <c:pt idx="6">
                    <c:v>Q3</c:v>
                  </c:pt>
                  <c:pt idx="7">
                    <c:v>Q4</c:v>
                  </c:pt>
                  <c:pt idx="8">
                    <c:v>Q1</c:v>
                  </c:pt>
                  <c:pt idx="9">
                    <c:v>Q2</c:v>
                  </c:pt>
                  <c:pt idx="10">
                    <c:v>Q3</c:v>
                  </c:pt>
                  <c:pt idx="11">
                    <c:v>Q4</c:v>
                  </c:pt>
                  <c:pt idx="12">
                    <c:v>Q1</c:v>
                  </c:pt>
                </c:lvl>
                <c:lvl>
                  <c:pt idx="0">
                    <c:v>2014</c:v>
                  </c:pt>
                  <c:pt idx="4">
                    <c:v>2015</c:v>
                  </c:pt>
                  <c:pt idx="8">
                    <c:v>2016</c:v>
                  </c:pt>
                  <c:pt idx="12">
                    <c:v>2017</c:v>
                  </c:pt>
                </c:lvl>
              </c:multiLvlStrCache>
            </c:multiLvlStrRef>
          </c:cat>
          <c:val>
            <c:numRef>
              <c:f>作图!$B$61:$N$61</c:f>
              <c:numCache>
                <c:formatCode>0.0%</c:formatCode>
                <c:ptCount val="13"/>
                <c:pt idx="0">
                  <c:v>0.23933038051636601</c:v>
                </c:pt>
                <c:pt idx="1">
                  <c:v>0.30174699737858579</c:v>
                </c:pt>
                <c:pt idx="2">
                  <c:v>0.27518597927405786</c:v>
                </c:pt>
                <c:pt idx="3">
                  <c:v>0.2866767678324762</c:v>
                </c:pt>
                <c:pt idx="4">
                  <c:v>0.30451503979451533</c:v>
                </c:pt>
                <c:pt idx="5">
                  <c:v>0.2994570139408963</c:v>
                </c:pt>
                <c:pt idx="6">
                  <c:v>0.31045009146157776</c:v>
                </c:pt>
                <c:pt idx="7">
                  <c:v>0.13775504812392958</c:v>
                </c:pt>
                <c:pt idx="8">
                  <c:v>0.42575882366920226</c:v>
                </c:pt>
                <c:pt idx="9">
                  <c:v>0.30919007194689407</c:v>
                </c:pt>
                <c:pt idx="10">
                  <c:v>0.30036738380096839</c:v>
                </c:pt>
                <c:pt idx="11">
                  <c:v>0.22266908812254083</c:v>
                </c:pt>
                <c:pt idx="12">
                  <c:v>7.4376261600496152E-2</c:v>
                </c:pt>
              </c:numCache>
            </c:numRef>
          </c:val>
          <c:smooth val="0"/>
        </c:ser>
        <c:ser>
          <c:idx val="1"/>
          <c:order val="1"/>
          <c:tx>
            <c:strRef>
              <c:f>作图!$A$62</c:f>
              <c:strCache>
                <c:ptCount val="1"/>
                <c:pt idx="0">
                  <c:v>A股上市公司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2"/>
              <c:layout>
                <c:manualLayout>
                  <c:x val="-1.8909886264217076E-2"/>
                  <c:y val="-3.005796150481189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作图!$B$59:$N$60</c:f>
              <c:multiLvlStrCache>
                <c:ptCount val="13"/>
                <c:lvl>
                  <c:pt idx="0">
                    <c:v>Q1</c:v>
                  </c:pt>
                  <c:pt idx="1">
                    <c:v>Q2</c:v>
                  </c:pt>
                  <c:pt idx="2">
                    <c:v>Q3</c:v>
                  </c:pt>
                  <c:pt idx="3">
                    <c:v>Q4</c:v>
                  </c:pt>
                  <c:pt idx="4">
                    <c:v>Q1</c:v>
                  </c:pt>
                  <c:pt idx="5">
                    <c:v>Q2</c:v>
                  </c:pt>
                  <c:pt idx="6">
                    <c:v>Q3</c:v>
                  </c:pt>
                  <c:pt idx="7">
                    <c:v>Q4</c:v>
                  </c:pt>
                  <c:pt idx="8">
                    <c:v>Q1</c:v>
                  </c:pt>
                  <c:pt idx="9">
                    <c:v>Q2</c:v>
                  </c:pt>
                  <c:pt idx="10">
                    <c:v>Q3</c:v>
                  </c:pt>
                  <c:pt idx="11">
                    <c:v>Q4</c:v>
                  </c:pt>
                  <c:pt idx="12">
                    <c:v>Q1</c:v>
                  </c:pt>
                </c:lvl>
                <c:lvl>
                  <c:pt idx="0">
                    <c:v>2014</c:v>
                  </c:pt>
                  <c:pt idx="4">
                    <c:v>2015</c:v>
                  </c:pt>
                  <c:pt idx="8">
                    <c:v>2016</c:v>
                  </c:pt>
                  <c:pt idx="12">
                    <c:v>2017</c:v>
                  </c:pt>
                </c:lvl>
              </c:multiLvlStrCache>
            </c:multiLvlStrRef>
          </c:cat>
          <c:val>
            <c:numRef>
              <c:f>作图!$B$62:$N$62</c:f>
              <c:numCache>
                <c:formatCode>0.0%</c:formatCode>
                <c:ptCount val="13"/>
                <c:pt idx="0">
                  <c:v>9.1339915942849403E-2</c:v>
                </c:pt>
                <c:pt idx="1">
                  <c:v>0.1188888919818798</c:v>
                </c:pt>
                <c:pt idx="2">
                  <c:v>0.11317132966151333</c:v>
                </c:pt>
                <c:pt idx="3">
                  <c:v>7.2056802463087877E-2</c:v>
                </c:pt>
                <c:pt idx="4">
                  <c:v>6.715871433964371E-2</c:v>
                </c:pt>
                <c:pt idx="5">
                  <c:v>0.1269835631661993</c:v>
                </c:pt>
                <c:pt idx="6">
                  <c:v>5.9098109114085418E-2</c:v>
                </c:pt>
                <c:pt idx="7">
                  <c:v>3.0578060202669732E-2</c:v>
                </c:pt>
                <c:pt idx="8">
                  <c:v>1.3432387104811649E-2</c:v>
                </c:pt>
                <c:pt idx="9">
                  <c:v>-2.9864934692487188E-2</c:v>
                </c:pt>
                <c:pt idx="10">
                  <c:v>2.946998622450292E-2</c:v>
                </c:pt>
                <c:pt idx="11">
                  <c:v>6.1385123591531476E-2</c:v>
                </c:pt>
                <c:pt idx="12">
                  <c:v>0.19341540613305663</c:v>
                </c:pt>
              </c:numCache>
            </c:numRef>
          </c:val>
          <c:smooth val="0"/>
        </c:ser>
        <c:dLbls>
          <c:showLegendKey val="0"/>
          <c:showVal val="0"/>
          <c:showCatName val="0"/>
          <c:showSerName val="0"/>
          <c:showPercent val="0"/>
          <c:showBubbleSize val="0"/>
        </c:dLbls>
        <c:marker val="1"/>
        <c:smooth val="0"/>
        <c:axId val="184638464"/>
        <c:axId val="184640256"/>
      </c:lineChart>
      <c:catAx>
        <c:axId val="18463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4640256"/>
        <c:crosses val="autoZero"/>
        <c:auto val="1"/>
        <c:lblAlgn val="ctr"/>
        <c:lblOffset val="100"/>
        <c:noMultiLvlLbl val="0"/>
      </c:catAx>
      <c:valAx>
        <c:axId val="184640256"/>
        <c:scaling>
          <c:orientation val="minMax"/>
        </c:scaling>
        <c:delete val="1"/>
        <c:axPos val="l"/>
        <c:numFmt formatCode="0.0%" sourceLinked="1"/>
        <c:majorTickMark val="none"/>
        <c:minorTickMark val="none"/>
        <c:tickLblPos val="nextTo"/>
        <c:crossAx val="18463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8"/>
            <c:invertIfNegative val="0"/>
            <c:bubble3D val="0"/>
            <c:spPr>
              <a:solidFill>
                <a:schemeClr val="accent2"/>
              </a:solidFill>
              <a:ln>
                <a:no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zh-CN"/>
                </a:p>
              </c:txPr>
              <c:showLegendKey val="0"/>
              <c:showVal val="1"/>
              <c:showCatName val="0"/>
              <c:showSerName val="0"/>
              <c:showPercent val="0"/>
              <c:showBubbleSize val="0"/>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zh-CN"/>
                </a:p>
              </c:txPr>
              <c:showLegendKey val="0"/>
              <c:showVal val="1"/>
              <c:showCatName val="0"/>
              <c:showSerName val="0"/>
              <c:showPercent val="0"/>
              <c:showBubbleSize val="0"/>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zh-CN"/>
                </a:p>
              </c:txPr>
              <c:showLegendKey val="0"/>
              <c:showVal val="1"/>
              <c:showCatName val="0"/>
              <c:showSerName val="0"/>
              <c:showPercent val="0"/>
              <c:showBubbleSize val="0"/>
            </c:dLbl>
            <c:dLbl>
              <c:idx val="7"/>
              <c:layout>
                <c:manualLayout>
                  <c:x val="8.3333333333332309E-3"/>
                  <c:y val="-0.1025636539022365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zh-CN"/>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利润按行业透视!$B$27:$B$35</c:f>
              <c:strCache>
                <c:ptCount val="9"/>
                <c:pt idx="0">
                  <c:v>高端装备</c:v>
                </c:pt>
                <c:pt idx="1">
                  <c:v>节能环保</c:v>
                </c:pt>
                <c:pt idx="2">
                  <c:v>生物</c:v>
                </c:pt>
                <c:pt idx="3">
                  <c:v>数字创意</c:v>
                </c:pt>
                <c:pt idx="4">
                  <c:v>新材料</c:v>
                </c:pt>
                <c:pt idx="5">
                  <c:v>新能源</c:v>
                </c:pt>
                <c:pt idx="6">
                  <c:v>新能源
汽车</c:v>
                </c:pt>
                <c:pt idx="7">
                  <c:v>新一代
信息技术</c:v>
                </c:pt>
                <c:pt idx="8">
                  <c:v>战略性
新兴产业</c:v>
                </c:pt>
              </c:strCache>
            </c:strRef>
          </c:cat>
          <c:val>
            <c:numRef>
              <c:f>利润按行业透视!$C$27:$C$35</c:f>
              <c:numCache>
                <c:formatCode>0.0%</c:formatCode>
                <c:ptCount val="9"/>
                <c:pt idx="0">
                  <c:v>-0.40506711405217355</c:v>
                </c:pt>
                <c:pt idx="1">
                  <c:v>0.61851924139877146</c:v>
                </c:pt>
                <c:pt idx="2">
                  <c:v>0.19724578563393735</c:v>
                </c:pt>
                <c:pt idx="3">
                  <c:v>0.34382090729244141</c:v>
                </c:pt>
                <c:pt idx="4">
                  <c:v>0.38516359333400385</c:v>
                </c:pt>
                <c:pt idx="5">
                  <c:v>-0.10200157928543596</c:v>
                </c:pt>
                <c:pt idx="6">
                  <c:v>-0.19893764138935732</c:v>
                </c:pt>
                <c:pt idx="7">
                  <c:v>-5.0590958026292876E-2</c:v>
                </c:pt>
                <c:pt idx="8">
                  <c:v>8.0789172965208156E-2</c:v>
                </c:pt>
              </c:numCache>
            </c:numRef>
          </c:val>
        </c:ser>
        <c:dLbls>
          <c:showLegendKey val="0"/>
          <c:showVal val="0"/>
          <c:showCatName val="0"/>
          <c:showSerName val="0"/>
          <c:showPercent val="0"/>
          <c:showBubbleSize val="0"/>
        </c:dLbls>
        <c:gapWidth val="69"/>
        <c:overlap val="-27"/>
        <c:axId val="184834688"/>
        <c:axId val="184840576"/>
      </c:barChart>
      <c:catAx>
        <c:axId val="18483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4840576"/>
        <c:crosses val="autoZero"/>
        <c:auto val="1"/>
        <c:lblAlgn val="ctr"/>
        <c:lblOffset val="100"/>
        <c:noMultiLvlLbl val="0"/>
      </c:catAx>
      <c:valAx>
        <c:axId val="184840576"/>
        <c:scaling>
          <c:orientation val="minMax"/>
        </c:scaling>
        <c:delete val="1"/>
        <c:axPos val="l"/>
        <c:numFmt formatCode="0.0%" sourceLinked="1"/>
        <c:majorTickMark val="none"/>
        <c:minorTickMark val="none"/>
        <c:tickLblPos val="nextTo"/>
        <c:crossAx val="184834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营收分行业透视!$C$26</c:f>
              <c:strCache>
                <c:ptCount val="1"/>
                <c:pt idx="0">
                  <c:v>2015Q1</c:v>
                </c:pt>
              </c:strCache>
            </c:strRef>
          </c:tx>
          <c:spPr>
            <a:solidFill>
              <a:schemeClr val="accent1"/>
            </a:solidFill>
            <a:ln>
              <a:noFill/>
            </a:ln>
            <a:effectLst/>
          </c:spPr>
          <c:invertIfNegative val="0"/>
          <c:cat>
            <c:strRef>
              <c:f>营收分行业透视!$B$27:$B$34</c:f>
              <c:strCache>
                <c:ptCount val="8"/>
                <c:pt idx="0">
                  <c:v>高端装备</c:v>
                </c:pt>
                <c:pt idx="1">
                  <c:v>节能环保</c:v>
                </c:pt>
                <c:pt idx="2">
                  <c:v>生物</c:v>
                </c:pt>
                <c:pt idx="3">
                  <c:v>数字创意</c:v>
                </c:pt>
                <c:pt idx="4">
                  <c:v>新材料</c:v>
                </c:pt>
                <c:pt idx="5">
                  <c:v>新能源</c:v>
                </c:pt>
                <c:pt idx="6">
                  <c:v>新能源
汽车</c:v>
                </c:pt>
                <c:pt idx="7">
                  <c:v>新一代
信息技术</c:v>
                </c:pt>
              </c:strCache>
            </c:strRef>
          </c:cat>
          <c:val>
            <c:numRef>
              <c:f>营收分行业透视!$C$27:$C$34</c:f>
              <c:numCache>
                <c:formatCode>0.0%</c:formatCode>
                <c:ptCount val="8"/>
                <c:pt idx="0">
                  <c:v>0.16475277113420694</c:v>
                </c:pt>
                <c:pt idx="1">
                  <c:v>0.29180019985004724</c:v>
                </c:pt>
                <c:pt idx="2">
                  <c:v>0.14394549293876024</c:v>
                </c:pt>
                <c:pt idx="3">
                  <c:v>0.55893188984269138</c:v>
                </c:pt>
                <c:pt idx="4">
                  <c:v>7.0979744568993697E-2</c:v>
                </c:pt>
                <c:pt idx="5">
                  <c:v>0.15377816899956542</c:v>
                </c:pt>
                <c:pt idx="6">
                  <c:v>1.4060768602854421</c:v>
                </c:pt>
                <c:pt idx="7">
                  <c:v>0.20868072707833263</c:v>
                </c:pt>
              </c:numCache>
            </c:numRef>
          </c:val>
        </c:ser>
        <c:ser>
          <c:idx val="1"/>
          <c:order val="1"/>
          <c:tx>
            <c:strRef>
              <c:f>营收分行业透视!$D$26</c:f>
              <c:strCache>
                <c:ptCount val="1"/>
                <c:pt idx="0">
                  <c:v>2016Q1</c:v>
                </c:pt>
              </c:strCache>
            </c:strRef>
          </c:tx>
          <c:spPr>
            <a:solidFill>
              <a:schemeClr val="accent2"/>
            </a:solidFill>
            <a:ln>
              <a:noFill/>
            </a:ln>
            <a:effectLst/>
          </c:spPr>
          <c:invertIfNegative val="0"/>
          <c:cat>
            <c:strRef>
              <c:f>营收分行业透视!$B$27:$B$34</c:f>
              <c:strCache>
                <c:ptCount val="8"/>
                <c:pt idx="0">
                  <c:v>高端装备</c:v>
                </c:pt>
                <c:pt idx="1">
                  <c:v>节能环保</c:v>
                </c:pt>
                <c:pt idx="2">
                  <c:v>生物</c:v>
                </c:pt>
                <c:pt idx="3">
                  <c:v>数字创意</c:v>
                </c:pt>
                <c:pt idx="4">
                  <c:v>新材料</c:v>
                </c:pt>
                <c:pt idx="5">
                  <c:v>新能源</c:v>
                </c:pt>
                <c:pt idx="6">
                  <c:v>新能源
汽车</c:v>
                </c:pt>
                <c:pt idx="7">
                  <c:v>新一代
信息技术</c:v>
                </c:pt>
              </c:strCache>
            </c:strRef>
          </c:cat>
          <c:val>
            <c:numRef>
              <c:f>营收分行业透视!$D$27:$D$34</c:f>
              <c:numCache>
                <c:formatCode>0.0%</c:formatCode>
                <c:ptCount val="8"/>
                <c:pt idx="0">
                  <c:v>3.2388033405461147E-2</c:v>
                </c:pt>
                <c:pt idx="1">
                  <c:v>0.23843780548911719</c:v>
                </c:pt>
                <c:pt idx="2">
                  <c:v>0.14947869929324065</c:v>
                </c:pt>
                <c:pt idx="3">
                  <c:v>0.63146171714229338</c:v>
                </c:pt>
                <c:pt idx="4">
                  <c:v>4.2844957766612568E-2</c:v>
                </c:pt>
                <c:pt idx="5">
                  <c:v>0.34641036084095056</c:v>
                </c:pt>
                <c:pt idx="6">
                  <c:v>1.1372957952323466</c:v>
                </c:pt>
                <c:pt idx="7">
                  <c:v>0.24149574786373651</c:v>
                </c:pt>
              </c:numCache>
            </c:numRef>
          </c:val>
        </c:ser>
        <c:ser>
          <c:idx val="2"/>
          <c:order val="2"/>
          <c:tx>
            <c:strRef>
              <c:f>营收分行业透视!$E$26</c:f>
              <c:strCache>
                <c:ptCount val="1"/>
                <c:pt idx="0">
                  <c:v>2017Q1</c:v>
                </c:pt>
              </c:strCache>
            </c:strRef>
          </c:tx>
          <c:spPr>
            <a:solidFill>
              <a:schemeClr val="accent3"/>
            </a:solidFill>
            <a:ln>
              <a:noFill/>
            </a:ln>
            <a:effectLst/>
          </c:spPr>
          <c:invertIfNegative val="0"/>
          <c:dLbls>
            <c:dLbl>
              <c:idx val="0"/>
              <c:layout>
                <c:manualLayout>
                  <c:x val="0"/>
                  <c:y val="-5.555555555555538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营收分行业透视!$B$27:$B$34</c:f>
              <c:strCache>
                <c:ptCount val="8"/>
                <c:pt idx="0">
                  <c:v>高端装备</c:v>
                </c:pt>
                <c:pt idx="1">
                  <c:v>节能环保</c:v>
                </c:pt>
                <c:pt idx="2">
                  <c:v>生物</c:v>
                </c:pt>
                <c:pt idx="3">
                  <c:v>数字创意</c:v>
                </c:pt>
                <c:pt idx="4">
                  <c:v>新材料</c:v>
                </c:pt>
                <c:pt idx="5">
                  <c:v>新能源</c:v>
                </c:pt>
                <c:pt idx="6">
                  <c:v>新能源
汽车</c:v>
                </c:pt>
                <c:pt idx="7">
                  <c:v>新一代
信息技术</c:v>
                </c:pt>
              </c:strCache>
            </c:strRef>
          </c:cat>
          <c:val>
            <c:numRef>
              <c:f>营收分行业透视!$E$27:$E$34</c:f>
              <c:numCache>
                <c:formatCode>0.0%</c:formatCode>
                <c:ptCount val="8"/>
                <c:pt idx="0">
                  <c:v>-4.6424677430888739E-2</c:v>
                </c:pt>
                <c:pt idx="1">
                  <c:v>0.44505911570303347</c:v>
                </c:pt>
                <c:pt idx="2">
                  <c:v>0.24218653618243469</c:v>
                </c:pt>
                <c:pt idx="3">
                  <c:v>0.18640998685974886</c:v>
                </c:pt>
                <c:pt idx="4">
                  <c:v>0.42308437656657438</c:v>
                </c:pt>
                <c:pt idx="5">
                  <c:v>1.4344859900587981E-3</c:v>
                </c:pt>
                <c:pt idx="6">
                  <c:v>7.5519725284089789E-2</c:v>
                </c:pt>
                <c:pt idx="7">
                  <c:v>0.23639809886345819</c:v>
                </c:pt>
              </c:numCache>
            </c:numRef>
          </c:val>
        </c:ser>
        <c:dLbls>
          <c:showLegendKey val="0"/>
          <c:showVal val="0"/>
          <c:showCatName val="0"/>
          <c:showSerName val="0"/>
          <c:showPercent val="0"/>
          <c:showBubbleSize val="0"/>
        </c:dLbls>
        <c:gapWidth val="219"/>
        <c:overlap val="-27"/>
        <c:axId val="184862208"/>
        <c:axId val="184863744"/>
      </c:barChart>
      <c:catAx>
        <c:axId val="18486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4863744"/>
        <c:crosses val="autoZero"/>
        <c:auto val="1"/>
        <c:lblAlgn val="ctr"/>
        <c:lblOffset val="100"/>
        <c:noMultiLvlLbl val="0"/>
      </c:catAx>
      <c:valAx>
        <c:axId val="184863744"/>
        <c:scaling>
          <c:orientation val="minMax"/>
        </c:scaling>
        <c:delete val="1"/>
        <c:axPos val="l"/>
        <c:numFmt formatCode="0.0%" sourceLinked="1"/>
        <c:majorTickMark val="none"/>
        <c:minorTickMark val="none"/>
        <c:tickLblPos val="nextTo"/>
        <c:crossAx val="184862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哪个版块涨得快!$C$27</c:f>
              <c:strCache>
                <c:ptCount val="1"/>
                <c:pt idx="0">
                  <c:v>战略性新兴产业上市公司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哪个版块涨得快!$B$28:$B$30</c:f>
              <c:strCache>
                <c:ptCount val="3"/>
                <c:pt idx="0">
                  <c:v>创业板</c:v>
                </c:pt>
                <c:pt idx="1">
                  <c:v>中小企业板</c:v>
                </c:pt>
                <c:pt idx="2">
                  <c:v>主板</c:v>
                </c:pt>
              </c:strCache>
            </c:strRef>
          </c:cat>
          <c:val>
            <c:numRef>
              <c:f>哪个版块涨得快!$C$28:$C$30</c:f>
              <c:numCache>
                <c:formatCode>0.0%</c:formatCode>
                <c:ptCount val="3"/>
                <c:pt idx="0">
                  <c:v>0.40885800827527974</c:v>
                </c:pt>
                <c:pt idx="1">
                  <c:v>0.28621456020668967</c:v>
                </c:pt>
                <c:pt idx="2">
                  <c:v>0.13550915969218336</c:v>
                </c:pt>
              </c:numCache>
            </c:numRef>
          </c:val>
        </c:ser>
        <c:ser>
          <c:idx val="1"/>
          <c:order val="1"/>
          <c:tx>
            <c:strRef>
              <c:f>哪个版块涨得快!$D$27</c:f>
              <c:strCache>
                <c:ptCount val="1"/>
                <c:pt idx="0">
                  <c:v>A股上市公司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哪个版块涨得快!$B$28:$B$30</c:f>
              <c:strCache>
                <c:ptCount val="3"/>
                <c:pt idx="0">
                  <c:v>创业板</c:v>
                </c:pt>
                <c:pt idx="1">
                  <c:v>中小企业板</c:v>
                </c:pt>
                <c:pt idx="2">
                  <c:v>主板</c:v>
                </c:pt>
              </c:strCache>
            </c:strRef>
          </c:cat>
          <c:val>
            <c:numRef>
              <c:f>哪个版块涨得快!$D$28:$D$30</c:f>
              <c:numCache>
                <c:formatCode>0.0%</c:formatCode>
                <c:ptCount val="3"/>
                <c:pt idx="0">
                  <c:v>0.36305501873054635</c:v>
                </c:pt>
                <c:pt idx="1">
                  <c:v>0.29809958500817624</c:v>
                </c:pt>
                <c:pt idx="2">
                  <c:v>0.21686984584692848</c:v>
                </c:pt>
              </c:numCache>
            </c:numRef>
          </c:val>
        </c:ser>
        <c:dLbls>
          <c:showLegendKey val="0"/>
          <c:showVal val="0"/>
          <c:showCatName val="0"/>
          <c:showSerName val="0"/>
          <c:showPercent val="0"/>
          <c:showBubbleSize val="0"/>
        </c:dLbls>
        <c:gapWidth val="219"/>
        <c:overlap val="-27"/>
        <c:axId val="234246528"/>
        <c:axId val="234248064"/>
      </c:barChart>
      <c:catAx>
        <c:axId val="23424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34248064"/>
        <c:crosses val="autoZero"/>
        <c:auto val="1"/>
        <c:lblAlgn val="ctr"/>
        <c:lblOffset val="100"/>
        <c:noMultiLvlLbl val="0"/>
      </c:catAx>
      <c:valAx>
        <c:axId val="234248064"/>
        <c:scaling>
          <c:orientation val="minMax"/>
        </c:scaling>
        <c:delete val="1"/>
        <c:axPos val="l"/>
        <c:numFmt formatCode="0.0%" sourceLinked="1"/>
        <c:majorTickMark val="none"/>
        <c:minorTickMark val="none"/>
        <c:tickLblPos val="nextTo"/>
        <c:crossAx val="234246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营收分区域!$B$23</c:f>
              <c:strCache>
                <c:ptCount val="1"/>
                <c:pt idx="0">
                  <c:v>2015Q1</c:v>
                </c:pt>
              </c:strCache>
            </c:strRef>
          </c:tx>
          <c:spPr>
            <a:solidFill>
              <a:schemeClr val="accent1"/>
            </a:solidFill>
            <a:ln>
              <a:noFill/>
            </a:ln>
            <a:effectLst/>
          </c:spPr>
          <c:invertIfNegative val="0"/>
          <c:cat>
            <c:strRef>
              <c:f>营收分区域!$A$24:$A$27</c:f>
              <c:strCache>
                <c:ptCount val="4"/>
                <c:pt idx="0">
                  <c:v>东北</c:v>
                </c:pt>
                <c:pt idx="1">
                  <c:v>东部</c:v>
                </c:pt>
                <c:pt idx="2">
                  <c:v>西部</c:v>
                </c:pt>
                <c:pt idx="3">
                  <c:v>中部</c:v>
                </c:pt>
              </c:strCache>
            </c:strRef>
          </c:cat>
          <c:val>
            <c:numRef>
              <c:f>营收分区域!$B$24:$B$27</c:f>
              <c:numCache>
                <c:formatCode>0.0%</c:formatCode>
                <c:ptCount val="4"/>
                <c:pt idx="0">
                  <c:v>3.6882284116004582E-2</c:v>
                </c:pt>
                <c:pt idx="1">
                  <c:v>0.18262227452819002</c:v>
                </c:pt>
                <c:pt idx="2">
                  <c:v>0.22798767451367108</c:v>
                </c:pt>
                <c:pt idx="3">
                  <c:v>0.2770080986306187</c:v>
                </c:pt>
              </c:numCache>
            </c:numRef>
          </c:val>
        </c:ser>
        <c:ser>
          <c:idx val="1"/>
          <c:order val="1"/>
          <c:tx>
            <c:strRef>
              <c:f>营收分区域!$C$23</c:f>
              <c:strCache>
                <c:ptCount val="1"/>
                <c:pt idx="0">
                  <c:v>2016Q1</c:v>
                </c:pt>
              </c:strCache>
            </c:strRef>
          </c:tx>
          <c:spPr>
            <a:solidFill>
              <a:schemeClr val="accent2"/>
            </a:solidFill>
            <a:ln>
              <a:noFill/>
            </a:ln>
            <a:effectLst/>
          </c:spPr>
          <c:invertIfNegative val="0"/>
          <c:cat>
            <c:strRef>
              <c:f>营收分区域!$A$24:$A$27</c:f>
              <c:strCache>
                <c:ptCount val="4"/>
                <c:pt idx="0">
                  <c:v>东北</c:v>
                </c:pt>
                <c:pt idx="1">
                  <c:v>东部</c:v>
                </c:pt>
                <c:pt idx="2">
                  <c:v>西部</c:v>
                </c:pt>
                <c:pt idx="3">
                  <c:v>中部</c:v>
                </c:pt>
              </c:strCache>
            </c:strRef>
          </c:cat>
          <c:val>
            <c:numRef>
              <c:f>营收分区域!$C$24:$C$27</c:f>
              <c:numCache>
                <c:formatCode>0.0%</c:formatCode>
                <c:ptCount val="4"/>
                <c:pt idx="0">
                  <c:v>-1.3727789253628275E-2</c:v>
                </c:pt>
                <c:pt idx="1">
                  <c:v>0.21423378995419839</c:v>
                </c:pt>
                <c:pt idx="2">
                  <c:v>0.17606202473609556</c:v>
                </c:pt>
                <c:pt idx="3">
                  <c:v>0.20313045496799953</c:v>
                </c:pt>
              </c:numCache>
            </c:numRef>
          </c:val>
        </c:ser>
        <c:ser>
          <c:idx val="2"/>
          <c:order val="2"/>
          <c:tx>
            <c:strRef>
              <c:f>营收分区域!$D$23</c:f>
              <c:strCache>
                <c:ptCount val="1"/>
                <c:pt idx="0">
                  <c:v>2017Q1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营收分区域!$A$24:$A$27</c:f>
              <c:strCache>
                <c:ptCount val="4"/>
                <c:pt idx="0">
                  <c:v>东北</c:v>
                </c:pt>
                <c:pt idx="1">
                  <c:v>东部</c:v>
                </c:pt>
                <c:pt idx="2">
                  <c:v>西部</c:v>
                </c:pt>
                <c:pt idx="3">
                  <c:v>中部</c:v>
                </c:pt>
              </c:strCache>
            </c:strRef>
          </c:cat>
          <c:val>
            <c:numRef>
              <c:f>营收分区域!$D$24:$D$27</c:f>
              <c:numCache>
                <c:formatCode>0.0%</c:formatCode>
                <c:ptCount val="4"/>
                <c:pt idx="0">
                  <c:v>3.8193277924656766E-2</c:v>
                </c:pt>
                <c:pt idx="1">
                  <c:v>0.1997247630655048</c:v>
                </c:pt>
                <c:pt idx="2">
                  <c:v>0.14987698233912838</c:v>
                </c:pt>
                <c:pt idx="3">
                  <c:v>0.41639489496351145</c:v>
                </c:pt>
              </c:numCache>
            </c:numRef>
          </c:val>
        </c:ser>
        <c:dLbls>
          <c:showLegendKey val="0"/>
          <c:showVal val="0"/>
          <c:showCatName val="0"/>
          <c:showSerName val="0"/>
          <c:showPercent val="0"/>
          <c:showBubbleSize val="0"/>
        </c:dLbls>
        <c:gapWidth val="219"/>
        <c:overlap val="-27"/>
        <c:axId val="234290176"/>
        <c:axId val="234885888"/>
      </c:barChart>
      <c:catAx>
        <c:axId val="23429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34885888"/>
        <c:crosses val="autoZero"/>
        <c:auto val="1"/>
        <c:lblAlgn val="ctr"/>
        <c:lblOffset val="100"/>
        <c:noMultiLvlLbl val="0"/>
      </c:catAx>
      <c:valAx>
        <c:axId val="234885888"/>
        <c:scaling>
          <c:orientation val="minMax"/>
        </c:scaling>
        <c:delete val="1"/>
        <c:axPos val="l"/>
        <c:numFmt formatCode="0.0%" sourceLinked="1"/>
        <c:majorTickMark val="none"/>
        <c:minorTickMark val="none"/>
        <c:tickLblPos val="nextTo"/>
        <c:crossAx val="23429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2315616797900265E-2"/>
          <c:y val="7.6817558299039787E-2"/>
          <c:w val="0.93888888888888888"/>
          <c:h val="0.75377164274218811"/>
        </c:manualLayout>
      </c:layout>
      <c:lineChart>
        <c:grouping val="standard"/>
        <c:varyColors val="0"/>
        <c:ser>
          <c:idx val="0"/>
          <c:order val="0"/>
          <c:tx>
            <c:strRef>
              <c:f>Wind资讯!$C$9</c:f>
              <c:strCache>
                <c:ptCount val="1"/>
                <c:pt idx="0">
                  <c:v>战略性新兴产业上市公司股价涨幅</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f>Wind资讯!$A$10:$B$26</c:f>
              <c:multiLvlStrCache>
                <c:ptCount val="17"/>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lvl>
                <c:lvl>
                  <c:pt idx="0">
                    <c:v>2013</c:v>
                  </c:pt>
                  <c:pt idx="4">
                    <c:v>2014</c:v>
                  </c:pt>
                  <c:pt idx="8">
                    <c:v>2015</c:v>
                  </c:pt>
                  <c:pt idx="12">
                    <c:v>2016</c:v>
                  </c:pt>
                  <c:pt idx="16">
                    <c:v>2017</c:v>
                  </c:pt>
                </c:lvl>
              </c:multiLvlStrCache>
            </c:multiLvlStrRef>
          </c:cat>
          <c:val>
            <c:numRef>
              <c:f>Wind资讯!$C$10:$C$26</c:f>
              <c:numCache>
                <c:formatCode>0.0%</c:formatCode>
                <c:ptCount val="17"/>
                <c:pt idx="0">
                  <c:v>0.12990000000000002</c:v>
                </c:pt>
                <c:pt idx="1">
                  <c:v>0.1341</c:v>
                </c:pt>
                <c:pt idx="2">
                  <c:v>0.4128</c:v>
                </c:pt>
                <c:pt idx="3">
                  <c:v>0.4012</c:v>
                </c:pt>
                <c:pt idx="4">
                  <c:v>-2.3E-3</c:v>
                </c:pt>
                <c:pt idx="5">
                  <c:v>5.8400000000000001E-2</c:v>
                </c:pt>
                <c:pt idx="6">
                  <c:v>0.27929999999999999</c:v>
                </c:pt>
                <c:pt idx="7">
                  <c:v>0.30030000000000001</c:v>
                </c:pt>
                <c:pt idx="8">
                  <c:v>0.4511</c:v>
                </c:pt>
                <c:pt idx="9">
                  <c:v>0.79579999999999995</c:v>
                </c:pt>
                <c:pt idx="10">
                  <c:v>0.27250000000000002</c:v>
                </c:pt>
                <c:pt idx="11">
                  <c:v>0.63880000000000003</c:v>
                </c:pt>
                <c:pt idx="12">
                  <c:v>-0.18710000000000002</c:v>
                </c:pt>
                <c:pt idx="13">
                  <c:v>-0.17100000000000001</c:v>
                </c:pt>
                <c:pt idx="14">
                  <c:v>-0.17699999999999999</c:v>
                </c:pt>
                <c:pt idx="15">
                  <c:v>-0.20100000000000001</c:v>
                </c:pt>
                <c:pt idx="16">
                  <c:v>1.6999999999999999E-3</c:v>
                </c:pt>
              </c:numCache>
            </c:numRef>
          </c:val>
          <c:smooth val="0"/>
        </c:ser>
        <c:ser>
          <c:idx val="1"/>
          <c:order val="1"/>
          <c:tx>
            <c:strRef>
              <c:f>Wind资讯!$D$9</c:f>
              <c:strCache>
                <c:ptCount val="1"/>
                <c:pt idx="0">
                  <c:v>上市公司整体股价涨幅</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Wind资讯!$A$10:$B$26</c:f>
              <c:multiLvlStrCache>
                <c:ptCount val="17"/>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lvl>
                <c:lvl>
                  <c:pt idx="0">
                    <c:v>2013</c:v>
                  </c:pt>
                  <c:pt idx="4">
                    <c:v>2014</c:v>
                  </c:pt>
                  <c:pt idx="8">
                    <c:v>2015</c:v>
                  </c:pt>
                  <c:pt idx="12">
                    <c:v>2016</c:v>
                  </c:pt>
                  <c:pt idx="16">
                    <c:v>2017</c:v>
                  </c:pt>
                </c:lvl>
              </c:multiLvlStrCache>
            </c:multiLvlStrRef>
          </c:cat>
          <c:val>
            <c:numRef>
              <c:f>Wind资讯!$D$10:$D$26</c:f>
              <c:numCache>
                <c:formatCode>0.0%</c:formatCode>
                <c:ptCount val="17"/>
                <c:pt idx="0">
                  <c:v>2.3999999999999998E-3</c:v>
                </c:pt>
                <c:pt idx="1">
                  <c:v>-7.7100000000000002E-2</c:v>
                </c:pt>
                <c:pt idx="2">
                  <c:v>3.8300000000000001E-2</c:v>
                </c:pt>
                <c:pt idx="3">
                  <c:v>1.9299999999999998E-2</c:v>
                </c:pt>
                <c:pt idx="4">
                  <c:v>-3.1E-2</c:v>
                </c:pt>
                <c:pt idx="5">
                  <c:v>2.8999999999999998E-3</c:v>
                </c:pt>
                <c:pt idx="6">
                  <c:v>0.1797</c:v>
                </c:pt>
                <c:pt idx="7">
                  <c:v>0.52910000000000001</c:v>
                </c:pt>
                <c:pt idx="8">
                  <c:v>0.2152</c:v>
                </c:pt>
                <c:pt idx="9">
                  <c:v>0.43060000000000004</c:v>
                </c:pt>
                <c:pt idx="10">
                  <c:v>2.4399999999999998E-2</c:v>
                </c:pt>
                <c:pt idx="11">
                  <c:v>0.2412</c:v>
                </c:pt>
                <c:pt idx="12">
                  <c:v>-0.15720000000000001</c:v>
                </c:pt>
                <c:pt idx="13">
                  <c:v>-0.157</c:v>
                </c:pt>
                <c:pt idx="14">
                  <c:v>-0.13200000000000001</c:v>
                </c:pt>
                <c:pt idx="15">
                  <c:v>-0.11899999999999999</c:v>
                </c:pt>
                <c:pt idx="16">
                  <c:v>2.3800000000000002E-2</c:v>
                </c:pt>
              </c:numCache>
            </c:numRef>
          </c:val>
          <c:smooth val="0"/>
        </c:ser>
        <c:dLbls>
          <c:showLegendKey val="0"/>
          <c:showVal val="0"/>
          <c:showCatName val="0"/>
          <c:showSerName val="0"/>
          <c:showPercent val="0"/>
          <c:showBubbleSize val="0"/>
        </c:dLbls>
        <c:marker val="1"/>
        <c:smooth val="0"/>
        <c:axId val="234939136"/>
        <c:axId val="234941056"/>
      </c:lineChart>
      <c:catAx>
        <c:axId val="23493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34941056"/>
        <c:crosses val="autoZero"/>
        <c:auto val="1"/>
        <c:lblAlgn val="ctr"/>
        <c:lblOffset val="100"/>
        <c:noMultiLvlLbl val="0"/>
      </c:catAx>
      <c:valAx>
        <c:axId val="234941056"/>
        <c:scaling>
          <c:orientation val="minMax"/>
        </c:scaling>
        <c:delete val="1"/>
        <c:axPos val="l"/>
        <c:numFmt formatCode="0.0%" sourceLinked="1"/>
        <c:majorTickMark val="none"/>
        <c:minorTickMark val="none"/>
        <c:tickLblPos val="nextTo"/>
        <c:crossAx val="23493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1140865101113463"/>
          <c:w val="0.93888888888888888"/>
          <c:h val="0.67688461849757764"/>
        </c:manualLayout>
      </c:layout>
      <c:barChart>
        <c:barDir val="col"/>
        <c:grouping val="clustered"/>
        <c:varyColors val="0"/>
        <c:ser>
          <c:idx val="0"/>
          <c:order val="0"/>
          <c:tx>
            <c:strRef>
              <c:f>Wind资讯!$B$12</c:f>
              <c:strCache>
                <c:ptCount val="1"/>
                <c:pt idx="0">
                  <c:v>2016Q1</c:v>
                </c:pt>
              </c:strCache>
            </c:strRef>
          </c:tx>
          <c:spPr>
            <a:solidFill>
              <a:schemeClr val="accent1"/>
            </a:solidFill>
            <a:ln>
              <a:noFill/>
            </a:ln>
            <a:effectLst/>
          </c:spPr>
          <c:invertIfNegative val="0"/>
          <c:cat>
            <c:strRef>
              <c:f>Wind资讯!$A$13:$A$18</c:f>
              <c:strCache>
                <c:ptCount val="6"/>
                <c:pt idx="0">
                  <c:v>新一代
信息技术</c:v>
                </c:pt>
                <c:pt idx="1">
                  <c:v>生物</c:v>
                </c:pt>
                <c:pt idx="2">
                  <c:v>数字创意</c:v>
                </c:pt>
                <c:pt idx="3">
                  <c:v>节能环保</c:v>
                </c:pt>
                <c:pt idx="4">
                  <c:v>高端装备</c:v>
                </c:pt>
                <c:pt idx="5">
                  <c:v>新能源</c:v>
                </c:pt>
              </c:strCache>
            </c:strRef>
          </c:cat>
          <c:val>
            <c:numRef>
              <c:f>Wind资讯!$B$13:$B$18</c:f>
              <c:numCache>
                <c:formatCode>###,###,###,##0.0</c:formatCode>
                <c:ptCount val="6"/>
                <c:pt idx="0">
                  <c:v>165.88529999999997</c:v>
                </c:pt>
                <c:pt idx="1">
                  <c:v>267.68560000000002</c:v>
                </c:pt>
                <c:pt idx="2">
                  <c:v>147.77950000000001</c:v>
                </c:pt>
                <c:pt idx="3">
                  <c:v>48.606699999999989</c:v>
                </c:pt>
                <c:pt idx="4">
                  <c:v>164.18389999999999</c:v>
                </c:pt>
                <c:pt idx="5">
                  <c:v>13.319999999999993</c:v>
                </c:pt>
              </c:numCache>
            </c:numRef>
          </c:val>
        </c:ser>
        <c:ser>
          <c:idx val="1"/>
          <c:order val="1"/>
          <c:tx>
            <c:strRef>
              <c:f>Wind资讯!$C$12</c:f>
              <c:strCache>
                <c:ptCount val="1"/>
                <c:pt idx="0">
                  <c:v>2017Q1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Wind资讯!$A$13:$A$18</c:f>
              <c:strCache>
                <c:ptCount val="6"/>
                <c:pt idx="0">
                  <c:v>新一代
信息技术</c:v>
                </c:pt>
                <c:pt idx="1">
                  <c:v>生物</c:v>
                </c:pt>
                <c:pt idx="2">
                  <c:v>数字创意</c:v>
                </c:pt>
                <c:pt idx="3">
                  <c:v>节能环保</c:v>
                </c:pt>
                <c:pt idx="4">
                  <c:v>高端装备</c:v>
                </c:pt>
                <c:pt idx="5">
                  <c:v>新能源</c:v>
                </c:pt>
              </c:strCache>
            </c:strRef>
          </c:cat>
          <c:val>
            <c:numRef>
              <c:f>Wind资讯!$C$13:$C$18</c:f>
              <c:numCache>
                <c:formatCode>###,###,###,##0.0</c:formatCode>
                <c:ptCount val="6"/>
                <c:pt idx="0">
                  <c:v>98.80740000000003</c:v>
                </c:pt>
                <c:pt idx="1">
                  <c:v>-97.744700000000023</c:v>
                </c:pt>
                <c:pt idx="2">
                  <c:v>-166.97610000000003</c:v>
                </c:pt>
                <c:pt idx="3">
                  <c:v>5.4166999999999916</c:v>
                </c:pt>
                <c:pt idx="4">
                  <c:v>-134.14669999999998</c:v>
                </c:pt>
                <c:pt idx="5">
                  <c:v>19.337299999999999</c:v>
                </c:pt>
              </c:numCache>
            </c:numRef>
          </c:val>
        </c:ser>
        <c:dLbls>
          <c:showLegendKey val="0"/>
          <c:showVal val="0"/>
          <c:showCatName val="0"/>
          <c:showSerName val="0"/>
          <c:showPercent val="0"/>
          <c:showBubbleSize val="0"/>
        </c:dLbls>
        <c:gapWidth val="219"/>
        <c:overlap val="-27"/>
        <c:axId val="235089280"/>
        <c:axId val="235099264"/>
      </c:barChart>
      <c:catAx>
        <c:axId val="23508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35099264"/>
        <c:crosses val="autoZero"/>
        <c:auto val="1"/>
        <c:lblAlgn val="ctr"/>
        <c:lblOffset val="100"/>
        <c:noMultiLvlLbl val="0"/>
      </c:catAx>
      <c:valAx>
        <c:axId val="235099264"/>
        <c:scaling>
          <c:orientation val="minMax"/>
        </c:scaling>
        <c:delete val="1"/>
        <c:axPos val="l"/>
        <c:numFmt formatCode="###,###,###,##0.0" sourceLinked="1"/>
        <c:majorTickMark val="none"/>
        <c:minorTickMark val="none"/>
        <c:tickLblPos val="nextTo"/>
        <c:crossAx val="23508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1756320520069409"/>
          <c:w val="0.93888888888888888"/>
          <c:h val="0.59131267947714516"/>
        </c:manualLayout>
      </c:layout>
      <c:barChart>
        <c:barDir val="col"/>
        <c:grouping val="clustered"/>
        <c:varyColors val="0"/>
        <c:ser>
          <c:idx val="0"/>
          <c:order val="0"/>
          <c:tx>
            <c:strRef>
              <c:f>Sheet1!$B$1</c:f>
              <c:strCache>
                <c:ptCount val="1"/>
                <c:pt idx="0">
                  <c:v>IPO募资额</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2016Q1</c:v>
                </c:pt>
                <c:pt idx="1">
                  <c:v>2016Q2</c:v>
                </c:pt>
                <c:pt idx="2">
                  <c:v>2016Q3</c:v>
                </c:pt>
                <c:pt idx="3">
                  <c:v>2016Q4</c:v>
                </c:pt>
                <c:pt idx="4">
                  <c:v>2017Q1</c:v>
                </c:pt>
              </c:strCache>
            </c:strRef>
          </c:cat>
          <c:val>
            <c:numRef>
              <c:f>Sheet1!$B$2:$B$6</c:f>
              <c:numCache>
                <c:formatCode>General</c:formatCode>
                <c:ptCount val="5"/>
                <c:pt idx="0">
                  <c:v>21.7</c:v>
                </c:pt>
                <c:pt idx="1">
                  <c:v>28.2</c:v>
                </c:pt>
                <c:pt idx="2">
                  <c:v>120.3</c:v>
                </c:pt>
                <c:pt idx="3">
                  <c:v>254.4</c:v>
                </c:pt>
                <c:pt idx="4">
                  <c:v>205.6</c:v>
                </c:pt>
              </c:numCache>
            </c:numRef>
          </c:val>
        </c:ser>
        <c:ser>
          <c:idx val="1"/>
          <c:order val="1"/>
          <c:tx>
            <c:strRef>
              <c:f>Sheet1!$C$1</c:f>
              <c:strCache>
                <c:ptCount val="1"/>
                <c:pt idx="0">
                  <c:v>增发募资额</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2016Q1</c:v>
                </c:pt>
                <c:pt idx="1">
                  <c:v>2016Q2</c:v>
                </c:pt>
                <c:pt idx="2">
                  <c:v>2016Q3</c:v>
                </c:pt>
                <c:pt idx="3">
                  <c:v>2016Q4</c:v>
                </c:pt>
                <c:pt idx="4">
                  <c:v>2017Q1</c:v>
                </c:pt>
              </c:strCache>
            </c:strRef>
          </c:cat>
          <c:val>
            <c:numRef>
              <c:f>Sheet1!$C$2:$C$6</c:f>
              <c:numCache>
                <c:formatCode>General</c:formatCode>
                <c:ptCount val="5"/>
                <c:pt idx="0">
                  <c:v>1665.4</c:v>
                </c:pt>
                <c:pt idx="1">
                  <c:v>1323.2</c:v>
                </c:pt>
                <c:pt idx="2">
                  <c:v>1196</c:v>
                </c:pt>
                <c:pt idx="3">
                  <c:v>1274</c:v>
                </c:pt>
                <c:pt idx="4">
                  <c:v>769.6</c:v>
                </c:pt>
              </c:numCache>
            </c:numRef>
          </c:val>
        </c:ser>
        <c:dLbls>
          <c:showLegendKey val="0"/>
          <c:showVal val="0"/>
          <c:showCatName val="0"/>
          <c:showSerName val="0"/>
          <c:showPercent val="0"/>
          <c:showBubbleSize val="0"/>
        </c:dLbls>
        <c:gapWidth val="219"/>
        <c:overlap val="-27"/>
        <c:axId val="235120896"/>
        <c:axId val="235134976"/>
      </c:barChart>
      <c:catAx>
        <c:axId val="23512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35134976"/>
        <c:crosses val="autoZero"/>
        <c:auto val="1"/>
        <c:lblAlgn val="ctr"/>
        <c:lblOffset val="100"/>
        <c:noMultiLvlLbl val="0"/>
      </c:catAx>
      <c:valAx>
        <c:axId val="235134976"/>
        <c:scaling>
          <c:orientation val="minMax"/>
        </c:scaling>
        <c:delete val="1"/>
        <c:axPos val="l"/>
        <c:numFmt formatCode="General" sourceLinked="1"/>
        <c:majorTickMark val="none"/>
        <c:minorTickMark val="none"/>
        <c:tickLblPos val="nextTo"/>
        <c:crossAx val="23512089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EC471-8CDD-4DF1-98E2-377CA228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550</Words>
  <Characters>3135</Characters>
  <Application>Microsoft Office Word</Application>
  <DocSecurity>0</DocSecurity>
  <Lines>26</Lines>
  <Paragraphs>7</Paragraphs>
  <ScaleCrop>false</ScaleCrop>
  <Company>Lenovo</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13</cp:revision>
  <dcterms:created xsi:type="dcterms:W3CDTF">2017-05-31T03:05:00Z</dcterms:created>
  <dcterms:modified xsi:type="dcterms:W3CDTF">2017-05-31T11:01:00Z</dcterms:modified>
</cp:coreProperties>
</file>