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drawings/drawing1.xml" ContentType="application/vnd.openxmlformats-officedocument.drawingml.chartshapes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394" w:rsidRDefault="00263394" w:rsidP="00263394">
      <w:pPr>
        <w:jc w:val="center"/>
        <w:rPr>
          <w:rFonts w:ascii="微软雅黑" w:eastAsia="微软雅黑" w:hAnsi="微软雅黑"/>
          <w:b/>
          <w:sz w:val="32"/>
        </w:rPr>
      </w:pPr>
    </w:p>
    <w:p w:rsidR="00693358" w:rsidRPr="00263394" w:rsidRDefault="00263394" w:rsidP="00263394">
      <w:pPr>
        <w:jc w:val="center"/>
        <w:rPr>
          <w:rFonts w:ascii="微软雅黑" w:eastAsia="微软雅黑" w:hAnsi="微软雅黑"/>
          <w:b/>
          <w:sz w:val="28"/>
        </w:rPr>
      </w:pPr>
      <w:r w:rsidRPr="00263394">
        <w:rPr>
          <w:rFonts w:ascii="微软雅黑" w:eastAsia="微软雅黑" w:hAnsi="微软雅黑" w:hint="eastAsia"/>
          <w:b/>
          <w:sz w:val="32"/>
        </w:rPr>
        <w:t>2016年</w:t>
      </w:r>
      <w:r w:rsidR="00C735FE" w:rsidRPr="00263394">
        <w:rPr>
          <w:rFonts w:ascii="微软雅黑" w:eastAsia="微软雅黑" w:hAnsi="微软雅黑" w:hint="eastAsia"/>
          <w:b/>
          <w:sz w:val="32"/>
        </w:rPr>
        <w:t>战略性</w:t>
      </w:r>
      <w:r w:rsidR="00C735FE" w:rsidRPr="00263394">
        <w:rPr>
          <w:rFonts w:ascii="微软雅黑" w:eastAsia="微软雅黑" w:hAnsi="微软雅黑"/>
          <w:b/>
          <w:sz w:val="32"/>
        </w:rPr>
        <w:t>新兴产业上市公司</w:t>
      </w:r>
      <w:r w:rsidR="00B22701">
        <w:rPr>
          <w:rFonts w:ascii="微软雅黑" w:eastAsia="微软雅黑" w:hAnsi="微软雅黑" w:hint="eastAsia"/>
          <w:b/>
          <w:sz w:val="32"/>
        </w:rPr>
        <w:t>持续</w:t>
      </w:r>
      <w:r w:rsidR="00B22701">
        <w:rPr>
          <w:rFonts w:ascii="微软雅黑" w:eastAsia="微软雅黑" w:hAnsi="微软雅黑"/>
          <w:b/>
          <w:sz w:val="32"/>
        </w:rPr>
        <w:t>向好</w:t>
      </w:r>
    </w:p>
    <w:p w:rsidR="006B4495" w:rsidRDefault="006B4495" w:rsidP="00C735FE">
      <w:pPr>
        <w:ind w:firstLineChars="200" w:firstLine="560"/>
        <w:rPr>
          <w:rFonts w:ascii="仿宋_GB2312" w:eastAsia="仿宋_GB2312"/>
          <w:sz w:val="28"/>
        </w:rPr>
      </w:pPr>
    </w:p>
    <w:p w:rsidR="008012AB" w:rsidRPr="00C735FE" w:rsidRDefault="008012AB" w:rsidP="00C735FE">
      <w:pPr>
        <w:ind w:firstLineChars="200" w:firstLine="560"/>
        <w:rPr>
          <w:rFonts w:ascii="仿宋_GB2312" w:eastAsia="仿宋_GB2312"/>
          <w:sz w:val="28"/>
        </w:rPr>
      </w:pPr>
      <w:r w:rsidRPr="00C735FE">
        <w:rPr>
          <w:rFonts w:ascii="仿宋_GB2312" w:eastAsia="仿宋_GB2312" w:hint="eastAsia"/>
          <w:sz w:val="28"/>
        </w:rPr>
        <w:t>截止2016年底，A股上市公司中共有</w:t>
      </w:r>
      <w:r w:rsidR="00CD6EEE" w:rsidRPr="00C735FE">
        <w:rPr>
          <w:rFonts w:ascii="仿宋_GB2312" w:eastAsia="仿宋_GB2312" w:hint="eastAsia"/>
          <w:sz w:val="28"/>
        </w:rPr>
        <w:t>1152家</w:t>
      </w:r>
      <w:r w:rsidR="00116A9E">
        <w:rPr>
          <w:rFonts w:ascii="仿宋_GB2312" w:eastAsia="仿宋_GB2312" w:hint="eastAsia"/>
          <w:sz w:val="28"/>
        </w:rPr>
        <w:t>战略性</w:t>
      </w:r>
      <w:r w:rsidR="00116A9E">
        <w:rPr>
          <w:rFonts w:ascii="仿宋_GB2312" w:eastAsia="仿宋_GB2312"/>
          <w:sz w:val="28"/>
        </w:rPr>
        <w:t>新兴产业</w:t>
      </w:r>
      <w:r w:rsidR="00CD6EEE" w:rsidRPr="00C735FE">
        <w:rPr>
          <w:rFonts w:ascii="仿宋_GB2312" w:eastAsia="仿宋_GB2312" w:hint="eastAsia"/>
          <w:sz w:val="28"/>
        </w:rPr>
        <w:t>企业，占上市公司总数的38%。其中，主板、创业板和中小板分别有445家、393家和314家</w:t>
      </w:r>
      <w:r w:rsidR="006B4495">
        <w:rPr>
          <w:rFonts w:ascii="仿宋_GB2312" w:eastAsia="仿宋_GB2312" w:hint="eastAsia"/>
          <w:sz w:val="28"/>
        </w:rPr>
        <w:t>战略性</w:t>
      </w:r>
      <w:r w:rsidR="006B4495">
        <w:rPr>
          <w:rFonts w:ascii="仿宋_GB2312" w:eastAsia="仿宋_GB2312"/>
          <w:sz w:val="28"/>
        </w:rPr>
        <w:t>新兴产业</w:t>
      </w:r>
      <w:r w:rsidR="006B4495" w:rsidRPr="00C735FE">
        <w:rPr>
          <w:rFonts w:ascii="仿宋_GB2312" w:eastAsia="仿宋_GB2312" w:hint="eastAsia"/>
          <w:sz w:val="28"/>
        </w:rPr>
        <w:t>企业</w:t>
      </w:r>
      <w:r w:rsidR="00642391" w:rsidRPr="00C735FE">
        <w:rPr>
          <w:rFonts w:ascii="仿宋_GB2312" w:eastAsia="仿宋_GB2312" w:hint="eastAsia"/>
          <w:sz w:val="28"/>
        </w:rPr>
        <w:t>，占比分别为25.7%、61.8%和36.8%</w:t>
      </w:r>
      <w:r w:rsidR="00197A6A" w:rsidRPr="00C735FE">
        <w:rPr>
          <w:rFonts w:ascii="仿宋_GB2312" w:eastAsia="仿宋_GB2312" w:hint="eastAsia"/>
          <w:sz w:val="28"/>
        </w:rPr>
        <w:t>。</w:t>
      </w:r>
      <w:r w:rsidR="00116A9E">
        <w:rPr>
          <w:rFonts w:ascii="仿宋_GB2312" w:eastAsia="仿宋_GB2312" w:hint="eastAsia"/>
          <w:sz w:val="28"/>
        </w:rPr>
        <w:t>2016年</w:t>
      </w:r>
      <w:r w:rsidR="00926DA4">
        <w:rPr>
          <w:rFonts w:ascii="仿宋_GB2312" w:eastAsia="仿宋_GB2312" w:hint="eastAsia"/>
          <w:sz w:val="28"/>
        </w:rPr>
        <w:t>，</w:t>
      </w:r>
      <w:r w:rsidR="00116A9E">
        <w:rPr>
          <w:rFonts w:ascii="仿宋_GB2312" w:eastAsia="仿宋_GB2312"/>
          <w:sz w:val="28"/>
        </w:rPr>
        <w:t>战略性新兴产业上市公司</w:t>
      </w:r>
      <w:r w:rsidR="00116A9E">
        <w:rPr>
          <w:rFonts w:ascii="仿宋_GB2312" w:eastAsia="仿宋_GB2312" w:hint="eastAsia"/>
          <w:sz w:val="28"/>
        </w:rPr>
        <w:t>业绩</w:t>
      </w:r>
      <w:r w:rsidR="00B22701">
        <w:rPr>
          <w:rFonts w:ascii="仿宋_GB2312" w:eastAsia="仿宋_GB2312" w:hint="eastAsia"/>
          <w:sz w:val="28"/>
        </w:rPr>
        <w:t>稳定</w:t>
      </w:r>
      <w:r w:rsidR="00B22701">
        <w:rPr>
          <w:rFonts w:ascii="仿宋_GB2312" w:eastAsia="仿宋_GB2312"/>
          <w:sz w:val="28"/>
        </w:rPr>
        <w:t>增长</w:t>
      </w:r>
      <w:r w:rsidR="00116A9E">
        <w:rPr>
          <w:rFonts w:ascii="仿宋_GB2312" w:eastAsia="仿宋_GB2312"/>
          <w:sz w:val="28"/>
        </w:rPr>
        <w:t>，</w:t>
      </w:r>
      <w:r w:rsidR="007003C6">
        <w:rPr>
          <w:rFonts w:ascii="仿宋_GB2312" w:eastAsia="仿宋_GB2312" w:hint="eastAsia"/>
          <w:sz w:val="28"/>
        </w:rPr>
        <w:t>企业效益</w:t>
      </w:r>
      <w:r w:rsidR="00116A9E">
        <w:rPr>
          <w:rFonts w:ascii="仿宋_GB2312" w:eastAsia="仿宋_GB2312" w:hint="eastAsia"/>
          <w:sz w:val="28"/>
        </w:rPr>
        <w:t>向好</w:t>
      </w:r>
      <w:r w:rsidR="00740B8F">
        <w:rPr>
          <w:rFonts w:ascii="仿宋_GB2312" w:eastAsia="仿宋_GB2312" w:hint="eastAsia"/>
          <w:sz w:val="28"/>
        </w:rPr>
        <w:t>态势</w:t>
      </w:r>
      <w:r w:rsidR="00740B8F">
        <w:rPr>
          <w:rFonts w:ascii="仿宋_GB2312" w:eastAsia="仿宋_GB2312"/>
          <w:sz w:val="28"/>
        </w:rPr>
        <w:t>逐步</w:t>
      </w:r>
      <w:r w:rsidR="00116A9E">
        <w:rPr>
          <w:rFonts w:ascii="仿宋_GB2312" w:eastAsia="仿宋_GB2312"/>
          <w:sz w:val="28"/>
        </w:rPr>
        <w:t>稳固，</w:t>
      </w:r>
      <w:r w:rsidR="007003C6" w:rsidRPr="00E455E4">
        <w:rPr>
          <w:rFonts w:ascii="仿宋_GB2312" w:eastAsia="仿宋_GB2312" w:hint="eastAsia"/>
          <w:sz w:val="28"/>
        </w:rPr>
        <w:t>区域</w:t>
      </w:r>
      <w:r w:rsidR="00E455E4" w:rsidRPr="00E455E4">
        <w:rPr>
          <w:rFonts w:ascii="仿宋_GB2312" w:eastAsia="仿宋_GB2312" w:hint="eastAsia"/>
          <w:sz w:val="28"/>
        </w:rPr>
        <w:t>走势有所分</w:t>
      </w:r>
      <w:r w:rsidR="007003C6" w:rsidRPr="00E455E4">
        <w:rPr>
          <w:rFonts w:ascii="仿宋_GB2312" w:eastAsia="仿宋_GB2312"/>
          <w:sz w:val="28"/>
        </w:rPr>
        <w:t>化，</w:t>
      </w:r>
      <w:r w:rsidR="006B4495">
        <w:rPr>
          <w:rFonts w:ascii="仿宋_GB2312" w:eastAsia="仿宋_GB2312" w:hint="eastAsia"/>
          <w:sz w:val="28"/>
        </w:rPr>
        <w:t>企业</w:t>
      </w:r>
      <w:r w:rsidR="007003C6">
        <w:rPr>
          <w:rFonts w:ascii="仿宋_GB2312" w:eastAsia="仿宋_GB2312" w:hint="eastAsia"/>
          <w:sz w:val="28"/>
        </w:rPr>
        <w:t>投资活跃</w:t>
      </w:r>
      <w:r w:rsidR="007003C6">
        <w:rPr>
          <w:rFonts w:ascii="仿宋_GB2312" w:eastAsia="仿宋_GB2312"/>
          <w:sz w:val="28"/>
        </w:rPr>
        <w:t>度</w:t>
      </w:r>
      <w:r w:rsidR="007003C6">
        <w:rPr>
          <w:rFonts w:ascii="仿宋_GB2312" w:eastAsia="仿宋_GB2312" w:hint="eastAsia"/>
          <w:sz w:val="28"/>
        </w:rPr>
        <w:t>明显</w:t>
      </w:r>
      <w:r w:rsidR="00926DA4">
        <w:rPr>
          <w:rFonts w:ascii="仿宋_GB2312" w:eastAsia="仿宋_GB2312" w:hint="eastAsia"/>
          <w:sz w:val="28"/>
        </w:rPr>
        <w:t>提升，</w:t>
      </w:r>
      <w:r w:rsidR="00DF2FC2">
        <w:rPr>
          <w:rFonts w:ascii="仿宋_GB2312" w:eastAsia="仿宋_GB2312" w:hint="eastAsia"/>
          <w:sz w:val="28"/>
        </w:rPr>
        <w:t>战略性</w:t>
      </w:r>
      <w:r w:rsidR="00DF2FC2">
        <w:rPr>
          <w:rFonts w:ascii="仿宋_GB2312" w:eastAsia="仿宋_GB2312"/>
          <w:sz w:val="28"/>
        </w:rPr>
        <w:t>新兴产业上市</w:t>
      </w:r>
      <w:r w:rsidR="00DF2FC2">
        <w:rPr>
          <w:rFonts w:ascii="仿宋_GB2312" w:eastAsia="仿宋_GB2312" w:hint="eastAsia"/>
          <w:sz w:val="28"/>
        </w:rPr>
        <w:t>企业</w:t>
      </w:r>
      <w:r w:rsidR="00926DA4">
        <w:rPr>
          <w:rFonts w:ascii="仿宋_GB2312" w:eastAsia="仿宋_GB2312" w:hint="eastAsia"/>
          <w:sz w:val="28"/>
        </w:rPr>
        <w:t>对</w:t>
      </w:r>
      <w:r w:rsidR="00DF2FC2">
        <w:rPr>
          <w:rFonts w:ascii="仿宋_GB2312" w:eastAsia="仿宋_GB2312"/>
          <w:sz w:val="28"/>
        </w:rPr>
        <w:t>A</w:t>
      </w:r>
      <w:r w:rsidR="00DF2FC2">
        <w:rPr>
          <w:rFonts w:ascii="仿宋_GB2312" w:eastAsia="仿宋_GB2312" w:hint="eastAsia"/>
          <w:sz w:val="28"/>
        </w:rPr>
        <w:t>股市场</w:t>
      </w:r>
      <w:r w:rsidR="00926DA4">
        <w:rPr>
          <w:rFonts w:ascii="仿宋_GB2312" w:eastAsia="仿宋_GB2312" w:hint="eastAsia"/>
          <w:sz w:val="28"/>
        </w:rPr>
        <w:t>的</w:t>
      </w:r>
      <w:r w:rsidR="00926DA4">
        <w:rPr>
          <w:rFonts w:ascii="仿宋_GB2312" w:eastAsia="仿宋_GB2312"/>
          <w:sz w:val="28"/>
        </w:rPr>
        <w:t>带动</w:t>
      </w:r>
      <w:r w:rsidR="00926DA4">
        <w:rPr>
          <w:rFonts w:ascii="仿宋_GB2312" w:eastAsia="仿宋_GB2312" w:hint="eastAsia"/>
          <w:sz w:val="28"/>
        </w:rPr>
        <w:t>作用</w:t>
      </w:r>
      <w:r w:rsidR="00926DA4">
        <w:rPr>
          <w:rFonts w:ascii="仿宋_GB2312" w:eastAsia="仿宋_GB2312"/>
          <w:sz w:val="28"/>
        </w:rPr>
        <w:t>持续</w:t>
      </w:r>
      <w:r w:rsidR="00926DA4">
        <w:rPr>
          <w:rFonts w:ascii="仿宋_GB2312" w:eastAsia="仿宋_GB2312" w:hint="eastAsia"/>
          <w:sz w:val="28"/>
        </w:rPr>
        <w:t>增强</w:t>
      </w:r>
      <w:r w:rsidR="00926DA4">
        <w:rPr>
          <w:rFonts w:ascii="仿宋_GB2312" w:eastAsia="仿宋_GB2312"/>
          <w:sz w:val="28"/>
        </w:rPr>
        <w:t>。</w:t>
      </w:r>
    </w:p>
    <w:p w:rsidR="00084CC2" w:rsidRPr="00DF2FC2" w:rsidRDefault="00116A9E" w:rsidP="00C735FE">
      <w:pPr>
        <w:ind w:firstLineChars="200" w:firstLine="562"/>
        <w:rPr>
          <w:rFonts w:ascii="仿宋_GB2312" w:eastAsia="仿宋_GB2312"/>
          <w:b/>
          <w:sz w:val="28"/>
        </w:rPr>
      </w:pPr>
      <w:r w:rsidRPr="00DF2FC2">
        <w:rPr>
          <w:rFonts w:ascii="仿宋_GB2312" w:eastAsia="仿宋_GB2312" w:hint="eastAsia"/>
          <w:b/>
          <w:sz w:val="28"/>
        </w:rPr>
        <w:t>一</w:t>
      </w:r>
      <w:r w:rsidR="00084CC2" w:rsidRPr="00DF2FC2">
        <w:rPr>
          <w:rFonts w:ascii="仿宋_GB2312" w:eastAsia="仿宋_GB2312" w:hint="eastAsia"/>
          <w:b/>
          <w:sz w:val="28"/>
        </w:rPr>
        <w:t>、</w:t>
      </w:r>
      <w:r w:rsidR="00740B8F">
        <w:rPr>
          <w:rFonts w:ascii="仿宋_GB2312" w:eastAsia="仿宋_GB2312" w:hint="eastAsia"/>
          <w:b/>
          <w:sz w:val="28"/>
        </w:rPr>
        <w:t>企业</w:t>
      </w:r>
      <w:r w:rsidR="00DF2FC2" w:rsidRPr="00DF2FC2">
        <w:rPr>
          <w:rFonts w:ascii="仿宋_GB2312" w:eastAsia="仿宋_GB2312" w:hint="eastAsia"/>
          <w:b/>
          <w:sz w:val="28"/>
        </w:rPr>
        <w:t>业绩</w:t>
      </w:r>
      <w:r w:rsidR="00876999">
        <w:rPr>
          <w:rFonts w:ascii="仿宋_GB2312" w:eastAsia="仿宋_GB2312" w:hint="eastAsia"/>
          <w:b/>
          <w:sz w:val="28"/>
        </w:rPr>
        <w:t>稳定</w:t>
      </w:r>
      <w:r w:rsidR="00876999">
        <w:rPr>
          <w:rFonts w:ascii="仿宋_GB2312" w:eastAsia="仿宋_GB2312"/>
          <w:b/>
          <w:sz w:val="28"/>
        </w:rPr>
        <w:t>增长</w:t>
      </w:r>
      <w:r w:rsidR="00AA6D8D">
        <w:rPr>
          <w:rFonts w:ascii="仿宋_GB2312" w:eastAsia="仿宋_GB2312" w:hint="eastAsia"/>
          <w:b/>
          <w:sz w:val="28"/>
        </w:rPr>
        <w:t>，</w:t>
      </w:r>
      <w:r w:rsidR="00D960CF">
        <w:rPr>
          <w:rFonts w:ascii="仿宋_GB2312" w:eastAsia="仿宋_GB2312"/>
          <w:b/>
          <w:sz w:val="28"/>
        </w:rPr>
        <w:t>效益持续向好</w:t>
      </w:r>
    </w:p>
    <w:p w:rsidR="00D960CF" w:rsidRDefault="00FD7DC1" w:rsidP="00C735FE">
      <w:pPr>
        <w:ind w:firstLineChars="200" w:firstLine="560"/>
        <w:rPr>
          <w:rFonts w:ascii="仿宋_GB2312" w:eastAsia="仿宋_GB2312"/>
          <w:sz w:val="28"/>
        </w:rPr>
      </w:pPr>
      <w:r w:rsidRPr="00C735FE">
        <w:rPr>
          <w:rFonts w:ascii="仿宋_GB2312" w:eastAsia="仿宋_GB2312" w:hint="eastAsia"/>
          <w:sz w:val="28"/>
        </w:rPr>
        <w:t>2016年</w:t>
      </w:r>
      <w:r w:rsidR="00C725A3" w:rsidRPr="00C735FE">
        <w:rPr>
          <w:rFonts w:ascii="仿宋_GB2312" w:eastAsia="仿宋_GB2312" w:hint="eastAsia"/>
          <w:sz w:val="28"/>
        </w:rPr>
        <w:t>，</w:t>
      </w:r>
      <w:r w:rsidRPr="00C735FE">
        <w:rPr>
          <w:rFonts w:ascii="仿宋_GB2312" w:eastAsia="仿宋_GB2312" w:hint="eastAsia"/>
          <w:sz w:val="28"/>
        </w:rPr>
        <w:t>战略性新兴产业上市公司</w:t>
      </w:r>
      <w:r w:rsidR="00C725A3" w:rsidRPr="00C735FE">
        <w:rPr>
          <w:rFonts w:ascii="仿宋_GB2312" w:eastAsia="仿宋_GB2312" w:hint="eastAsia"/>
          <w:sz w:val="28"/>
        </w:rPr>
        <w:t>实现营业收入</w:t>
      </w:r>
      <w:r w:rsidRPr="00C735FE">
        <w:rPr>
          <w:rFonts w:ascii="仿宋_GB2312" w:eastAsia="仿宋_GB2312" w:hint="eastAsia"/>
          <w:sz w:val="28"/>
        </w:rPr>
        <w:t>3.25万亿元，</w:t>
      </w:r>
      <w:r w:rsidR="00E6588C" w:rsidRPr="00C735FE">
        <w:rPr>
          <w:rFonts w:ascii="仿宋_GB2312" w:eastAsia="仿宋_GB2312" w:hint="eastAsia"/>
          <w:sz w:val="28"/>
        </w:rPr>
        <w:t>同比增速为</w:t>
      </w:r>
      <w:r w:rsidRPr="00C735FE">
        <w:rPr>
          <w:rFonts w:ascii="仿宋_GB2312" w:eastAsia="仿宋_GB2312" w:hint="eastAsia"/>
          <w:sz w:val="28"/>
        </w:rPr>
        <w:t>17.7%</w:t>
      </w:r>
      <w:r w:rsidR="00131613">
        <w:rPr>
          <w:rFonts w:ascii="仿宋_GB2312" w:eastAsia="仿宋_GB2312" w:hint="eastAsia"/>
          <w:sz w:val="28"/>
        </w:rPr>
        <w:t>（见</w:t>
      </w:r>
      <w:r w:rsidR="00131613">
        <w:rPr>
          <w:rFonts w:ascii="仿宋_GB2312" w:eastAsia="仿宋_GB2312"/>
          <w:sz w:val="28"/>
        </w:rPr>
        <w:t>图</w:t>
      </w:r>
      <w:r w:rsidR="00131613">
        <w:rPr>
          <w:rFonts w:ascii="仿宋_GB2312" w:eastAsia="仿宋_GB2312" w:hint="eastAsia"/>
          <w:sz w:val="28"/>
        </w:rPr>
        <w:t>1）</w:t>
      </w:r>
      <w:r w:rsidRPr="00C735FE">
        <w:rPr>
          <w:rFonts w:ascii="仿宋_GB2312" w:eastAsia="仿宋_GB2312" w:hint="eastAsia"/>
          <w:sz w:val="28"/>
        </w:rPr>
        <w:t>，比上年提升1.2个百分点</w:t>
      </w:r>
      <w:r w:rsidR="00E6588C" w:rsidRPr="00C735FE">
        <w:rPr>
          <w:rFonts w:ascii="仿宋_GB2312" w:eastAsia="仿宋_GB2312" w:hint="eastAsia"/>
          <w:sz w:val="28"/>
        </w:rPr>
        <w:t>，</w:t>
      </w:r>
      <w:r w:rsidR="00197A6A" w:rsidRPr="00C735FE">
        <w:rPr>
          <w:rFonts w:ascii="仿宋_GB2312" w:eastAsia="仿宋_GB2312" w:hint="eastAsia"/>
          <w:sz w:val="28"/>
        </w:rPr>
        <w:t>保持</w:t>
      </w:r>
      <w:r w:rsidR="00E455E4">
        <w:rPr>
          <w:rFonts w:ascii="仿宋_GB2312" w:eastAsia="仿宋_GB2312" w:hint="eastAsia"/>
          <w:sz w:val="28"/>
        </w:rPr>
        <w:t>了</w:t>
      </w:r>
      <w:r w:rsidR="00197A6A" w:rsidRPr="00C735FE">
        <w:rPr>
          <w:rFonts w:ascii="仿宋_GB2312" w:eastAsia="仿宋_GB2312" w:hint="eastAsia"/>
          <w:sz w:val="28"/>
        </w:rPr>
        <w:t>近年来</w:t>
      </w:r>
      <w:r w:rsidR="00E455E4">
        <w:rPr>
          <w:rFonts w:ascii="仿宋_GB2312" w:eastAsia="仿宋_GB2312" w:hint="eastAsia"/>
          <w:sz w:val="28"/>
        </w:rPr>
        <w:t>持续</w:t>
      </w:r>
      <w:r w:rsidR="00197A6A" w:rsidRPr="00C735FE">
        <w:rPr>
          <w:rFonts w:ascii="仿宋_GB2312" w:eastAsia="仿宋_GB2312" w:hint="eastAsia"/>
          <w:sz w:val="28"/>
        </w:rPr>
        <w:t>稳定增长</w:t>
      </w:r>
      <w:r w:rsidR="00E455E4">
        <w:rPr>
          <w:rFonts w:ascii="仿宋_GB2312" w:eastAsia="仿宋_GB2312" w:hint="eastAsia"/>
          <w:sz w:val="28"/>
        </w:rPr>
        <w:t>的</w:t>
      </w:r>
      <w:r w:rsidR="00197A6A" w:rsidRPr="00C735FE">
        <w:rPr>
          <w:rFonts w:ascii="仿宋_GB2312" w:eastAsia="仿宋_GB2312" w:hint="eastAsia"/>
          <w:sz w:val="28"/>
        </w:rPr>
        <w:t>势头</w:t>
      </w:r>
      <w:r w:rsidRPr="00C735FE">
        <w:rPr>
          <w:rFonts w:ascii="仿宋_GB2312" w:eastAsia="仿宋_GB2312" w:hint="eastAsia"/>
          <w:sz w:val="28"/>
        </w:rPr>
        <w:t>。</w:t>
      </w:r>
      <w:r w:rsidR="00197A6A" w:rsidRPr="00C735FE">
        <w:rPr>
          <w:rFonts w:ascii="仿宋_GB2312" w:eastAsia="仿宋_GB2312" w:hint="eastAsia"/>
          <w:sz w:val="28"/>
        </w:rPr>
        <w:t>在上市公司整体业绩上涨较快的背景下，</w:t>
      </w:r>
      <w:r w:rsidR="00D960CF">
        <w:rPr>
          <w:rFonts w:ascii="仿宋_GB2312" w:eastAsia="仿宋_GB2312" w:hint="eastAsia"/>
          <w:sz w:val="28"/>
        </w:rPr>
        <w:t>战略性</w:t>
      </w:r>
      <w:r w:rsidR="00D960CF">
        <w:rPr>
          <w:rFonts w:ascii="仿宋_GB2312" w:eastAsia="仿宋_GB2312"/>
          <w:sz w:val="28"/>
        </w:rPr>
        <w:t>新兴产业企业</w:t>
      </w:r>
      <w:r w:rsidR="00197A6A" w:rsidRPr="00C735FE">
        <w:rPr>
          <w:rFonts w:ascii="仿宋_GB2312" w:eastAsia="仿宋_GB2312" w:hint="eastAsia"/>
          <w:sz w:val="28"/>
        </w:rPr>
        <w:t>依然保持了近10个百分点的领先优势，是支撑上市公司业绩增长的主要力量</w:t>
      </w:r>
      <w:r w:rsidR="00E6588C" w:rsidRPr="00C735FE">
        <w:rPr>
          <w:rFonts w:ascii="仿宋_GB2312" w:eastAsia="仿宋_GB2312" w:hint="eastAsia"/>
          <w:sz w:val="28"/>
        </w:rPr>
        <w:t>。</w:t>
      </w:r>
    </w:p>
    <w:p w:rsidR="004A58F1" w:rsidRDefault="00197A6A" w:rsidP="00C735FE">
      <w:pPr>
        <w:jc w:val="center"/>
        <w:rPr>
          <w:rFonts w:ascii="仿宋_GB2312" w:eastAsia="仿宋_GB2312"/>
          <w:sz w:val="28"/>
        </w:rPr>
      </w:pPr>
      <w:r w:rsidRPr="00C735FE">
        <w:rPr>
          <w:rFonts w:ascii="仿宋_GB2312" w:eastAsia="仿宋_GB2312" w:hint="eastAsia"/>
          <w:noProof/>
          <w:sz w:val="28"/>
        </w:rPr>
        <w:drawing>
          <wp:inline distT="0" distB="0" distL="0" distR="0" wp14:anchorId="04FCE70E" wp14:editId="1A23954B">
            <wp:extent cx="4572000" cy="2409825"/>
            <wp:effectExtent l="0" t="0" r="0" b="952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960CF" w:rsidRPr="00131613" w:rsidRDefault="00D960CF" w:rsidP="00C735FE">
      <w:pPr>
        <w:jc w:val="center"/>
        <w:rPr>
          <w:rFonts w:asciiTheme="minorEastAsia" w:hAnsiTheme="minorEastAsia"/>
          <w:sz w:val="20"/>
        </w:rPr>
      </w:pPr>
      <w:r w:rsidRPr="00131613">
        <w:rPr>
          <w:rFonts w:asciiTheme="minorEastAsia" w:hAnsiTheme="minorEastAsia" w:hint="eastAsia"/>
          <w:sz w:val="20"/>
        </w:rPr>
        <w:t xml:space="preserve">图1 </w:t>
      </w:r>
      <w:r w:rsidR="00131613">
        <w:rPr>
          <w:rFonts w:asciiTheme="minorEastAsia" w:hAnsiTheme="minorEastAsia" w:hint="eastAsia"/>
          <w:sz w:val="20"/>
        </w:rPr>
        <w:t>战略性新兴</w:t>
      </w:r>
      <w:r w:rsidR="00131613">
        <w:rPr>
          <w:rFonts w:asciiTheme="minorEastAsia" w:hAnsiTheme="minorEastAsia"/>
          <w:sz w:val="20"/>
        </w:rPr>
        <w:t>产</w:t>
      </w:r>
      <w:r w:rsidR="00131613">
        <w:rPr>
          <w:rFonts w:asciiTheme="minorEastAsia" w:hAnsiTheme="minorEastAsia" w:hint="eastAsia"/>
          <w:sz w:val="20"/>
        </w:rPr>
        <w:t>业</w:t>
      </w:r>
      <w:r w:rsidR="00131613">
        <w:rPr>
          <w:rFonts w:asciiTheme="minorEastAsia" w:hAnsiTheme="minorEastAsia"/>
          <w:sz w:val="20"/>
        </w:rPr>
        <w:t>和</w:t>
      </w:r>
      <w:r w:rsidR="00131613">
        <w:rPr>
          <w:rFonts w:asciiTheme="minorEastAsia" w:hAnsiTheme="minorEastAsia" w:hint="eastAsia"/>
          <w:sz w:val="20"/>
        </w:rPr>
        <w:t>A股上市</w:t>
      </w:r>
      <w:r w:rsidR="00131613">
        <w:rPr>
          <w:rFonts w:asciiTheme="minorEastAsia" w:hAnsiTheme="minorEastAsia"/>
          <w:sz w:val="20"/>
        </w:rPr>
        <w:t>公司</w:t>
      </w:r>
      <w:r w:rsidRPr="00131613">
        <w:rPr>
          <w:rFonts w:asciiTheme="minorEastAsia" w:hAnsiTheme="minorEastAsia" w:hint="eastAsia"/>
          <w:sz w:val="20"/>
        </w:rPr>
        <w:t>营</w:t>
      </w:r>
      <w:r w:rsidRPr="00131613">
        <w:rPr>
          <w:rFonts w:asciiTheme="minorEastAsia" w:hAnsiTheme="minorEastAsia"/>
          <w:sz w:val="20"/>
        </w:rPr>
        <w:t>收</w:t>
      </w:r>
      <w:r w:rsidRPr="00131613">
        <w:rPr>
          <w:rFonts w:asciiTheme="minorEastAsia" w:hAnsiTheme="minorEastAsia" w:hint="eastAsia"/>
          <w:sz w:val="20"/>
        </w:rPr>
        <w:t>增速</w:t>
      </w:r>
      <w:r w:rsidRPr="00131613">
        <w:rPr>
          <w:rFonts w:asciiTheme="minorEastAsia" w:hAnsiTheme="minorEastAsia"/>
          <w:sz w:val="20"/>
        </w:rPr>
        <w:t>对比</w:t>
      </w:r>
    </w:p>
    <w:p w:rsidR="00D960CF" w:rsidRPr="009F7454" w:rsidRDefault="00D960CF" w:rsidP="00D960CF">
      <w:pPr>
        <w:ind w:firstLineChars="200" w:firstLine="560"/>
        <w:rPr>
          <w:rFonts w:ascii="仿宋_GB2312" w:eastAsia="仿宋_GB2312"/>
          <w:color w:val="FF0000"/>
          <w:sz w:val="28"/>
        </w:rPr>
      </w:pPr>
      <w:r w:rsidRPr="00C735FE">
        <w:rPr>
          <w:rFonts w:ascii="仿宋_GB2312" w:eastAsia="仿宋_GB2312" w:hint="eastAsia"/>
          <w:sz w:val="28"/>
        </w:rPr>
        <w:lastRenderedPageBreak/>
        <w:t>战略性新兴</w:t>
      </w:r>
      <w:r>
        <w:rPr>
          <w:rFonts w:ascii="仿宋_GB2312" w:eastAsia="仿宋_GB2312" w:hint="eastAsia"/>
          <w:sz w:val="28"/>
        </w:rPr>
        <w:t>产业企业</w:t>
      </w:r>
      <w:r>
        <w:rPr>
          <w:rFonts w:ascii="仿宋_GB2312" w:eastAsia="仿宋_GB2312"/>
          <w:sz w:val="28"/>
        </w:rPr>
        <w:t>是</w:t>
      </w:r>
      <w:r w:rsidRPr="00C735FE">
        <w:rPr>
          <w:rFonts w:ascii="仿宋_GB2312" w:eastAsia="仿宋_GB2312" w:hint="eastAsia"/>
          <w:sz w:val="28"/>
        </w:rPr>
        <w:t>上市公司优质股的重要</w:t>
      </w:r>
      <w:r>
        <w:rPr>
          <w:rFonts w:ascii="仿宋_GB2312" w:eastAsia="仿宋_GB2312" w:hint="eastAsia"/>
          <w:sz w:val="28"/>
        </w:rPr>
        <w:t>组成</w:t>
      </w:r>
      <w:r>
        <w:rPr>
          <w:rFonts w:ascii="仿宋_GB2312" w:eastAsia="仿宋_GB2312"/>
          <w:sz w:val="28"/>
        </w:rPr>
        <w:t>部分</w:t>
      </w:r>
      <w:r w:rsidRPr="00C735FE">
        <w:rPr>
          <w:rFonts w:ascii="仿宋_GB2312" w:eastAsia="仿宋_GB2312" w:hint="eastAsia"/>
          <w:sz w:val="28"/>
        </w:rPr>
        <w:t>。2016年A股上市</w:t>
      </w:r>
      <w:r w:rsidR="00A57245">
        <w:rPr>
          <w:rFonts w:ascii="仿宋_GB2312" w:eastAsia="仿宋_GB2312" w:hint="eastAsia"/>
          <w:sz w:val="28"/>
        </w:rPr>
        <w:t>公司营收</w:t>
      </w:r>
      <w:r w:rsidRPr="00C735FE">
        <w:rPr>
          <w:rFonts w:ascii="仿宋_GB2312" w:eastAsia="仿宋_GB2312" w:hint="eastAsia"/>
          <w:sz w:val="28"/>
        </w:rPr>
        <w:t>增速排名前十的企业有一半是战略性新兴产业企业。营收增速前100名中有40家属于战略性新兴产业企业，前200名中有96家是战略性新兴产业企业，占比分别达</w:t>
      </w:r>
      <w:r w:rsidR="00E455E4">
        <w:rPr>
          <w:rFonts w:ascii="仿宋_GB2312" w:eastAsia="仿宋_GB2312" w:hint="eastAsia"/>
          <w:sz w:val="28"/>
        </w:rPr>
        <w:t>50%，</w:t>
      </w:r>
      <w:r w:rsidRPr="00C735FE">
        <w:rPr>
          <w:rFonts w:ascii="仿宋_GB2312" w:eastAsia="仿宋_GB2312" w:hint="eastAsia"/>
          <w:sz w:val="28"/>
        </w:rPr>
        <w:t>40%和48%</w:t>
      </w:r>
      <w:r w:rsidR="00E455E4">
        <w:rPr>
          <w:rFonts w:ascii="仿宋_GB2312" w:eastAsia="仿宋_GB2312" w:hint="eastAsia"/>
          <w:sz w:val="28"/>
        </w:rPr>
        <w:t>（见</w:t>
      </w:r>
      <w:r w:rsidR="00E455E4">
        <w:rPr>
          <w:rFonts w:ascii="仿宋_GB2312" w:eastAsia="仿宋_GB2312"/>
          <w:sz w:val="28"/>
        </w:rPr>
        <w:t>图</w:t>
      </w:r>
      <w:r w:rsidR="00E455E4">
        <w:rPr>
          <w:rFonts w:ascii="仿宋_GB2312" w:eastAsia="仿宋_GB2312" w:hint="eastAsia"/>
          <w:sz w:val="28"/>
        </w:rPr>
        <w:t>2）</w:t>
      </w:r>
      <w:r w:rsidRPr="00C735FE">
        <w:rPr>
          <w:rFonts w:ascii="仿宋_GB2312" w:eastAsia="仿宋_GB2312" w:hint="eastAsia"/>
          <w:sz w:val="28"/>
        </w:rPr>
        <w:t>。</w:t>
      </w:r>
    </w:p>
    <w:p w:rsidR="00D960CF" w:rsidRDefault="00D960CF" w:rsidP="00CF0415">
      <w:pPr>
        <w:ind w:firstLineChars="200" w:firstLine="420"/>
        <w:jc w:val="center"/>
        <w:rPr>
          <w:rFonts w:ascii="仿宋_GB2312" w:eastAsia="仿宋_GB2312"/>
          <w:sz w:val="28"/>
        </w:rPr>
      </w:pPr>
      <w:r>
        <w:rPr>
          <w:noProof/>
        </w:rPr>
        <w:drawing>
          <wp:inline distT="0" distB="0" distL="0" distR="0" wp14:anchorId="32CD0F10" wp14:editId="2B2621F4">
            <wp:extent cx="4572000" cy="2286000"/>
            <wp:effectExtent l="0" t="0" r="0" b="0"/>
            <wp:docPr id="8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70170" w:rsidRPr="00131613" w:rsidRDefault="00C70170" w:rsidP="00C70170">
      <w:pPr>
        <w:ind w:firstLineChars="200" w:firstLine="400"/>
        <w:jc w:val="center"/>
        <w:rPr>
          <w:rFonts w:asciiTheme="minorEastAsia" w:hAnsiTheme="minorEastAsia"/>
          <w:sz w:val="20"/>
        </w:rPr>
      </w:pPr>
      <w:r w:rsidRPr="00131613">
        <w:rPr>
          <w:rFonts w:asciiTheme="minorEastAsia" w:hAnsiTheme="minorEastAsia" w:hint="eastAsia"/>
          <w:sz w:val="20"/>
        </w:rPr>
        <w:t xml:space="preserve">图2 </w:t>
      </w:r>
      <w:r w:rsidR="00131613">
        <w:rPr>
          <w:rFonts w:asciiTheme="minorEastAsia" w:hAnsiTheme="minorEastAsia" w:hint="eastAsia"/>
          <w:sz w:val="20"/>
        </w:rPr>
        <w:t>上市</w:t>
      </w:r>
      <w:r w:rsidR="00131613">
        <w:rPr>
          <w:rFonts w:asciiTheme="minorEastAsia" w:hAnsiTheme="minorEastAsia"/>
          <w:sz w:val="20"/>
        </w:rPr>
        <w:t>公司</w:t>
      </w:r>
      <w:r w:rsidRPr="00131613">
        <w:rPr>
          <w:rFonts w:asciiTheme="minorEastAsia" w:hAnsiTheme="minorEastAsia" w:hint="eastAsia"/>
          <w:sz w:val="20"/>
        </w:rPr>
        <w:t>营收</w:t>
      </w:r>
      <w:r w:rsidRPr="00131613">
        <w:rPr>
          <w:rFonts w:asciiTheme="minorEastAsia" w:hAnsiTheme="minorEastAsia"/>
          <w:sz w:val="20"/>
        </w:rPr>
        <w:t>增速</w:t>
      </w:r>
      <w:r w:rsidRPr="00131613">
        <w:rPr>
          <w:rFonts w:asciiTheme="minorEastAsia" w:hAnsiTheme="minorEastAsia" w:hint="eastAsia"/>
          <w:sz w:val="20"/>
        </w:rPr>
        <w:t>前列中</w:t>
      </w:r>
      <w:r w:rsidRPr="00131613">
        <w:rPr>
          <w:rFonts w:asciiTheme="minorEastAsia" w:hAnsiTheme="minorEastAsia"/>
          <w:sz w:val="20"/>
        </w:rPr>
        <w:t>战略性</w:t>
      </w:r>
      <w:r w:rsidRPr="00131613">
        <w:rPr>
          <w:rFonts w:asciiTheme="minorEastAsia" w:hAnsiTheme="minorEastAsia" w:hint="eastAsia"/>
          <w:sz w:val="20"/>
        </w:rPr>
        <w:t>新兴</w:t>
      </w:r>
      <w:r w:rsidRPr="00131613">
        <w:rPr>
          <w:rFonts w:asciiTheme="minorEastAsia" w:hAnsiTheme="minorEastAsia"/>
          <w:sz w:val="20"/>
        </w:rPr>
        <w:t>产业</w:t>
      </w:r>
      <w:r w:rsidRPr="00131613">
        <w:rPr>
          <w:rFonts w:asciiTheme="minorEastAsia" w:hAnsiTheme="minorEastAsia" w:hint="eastAsia"/>
          <w:sz w:val="20"/>
        </w:rPr>
        <w:t>企业</w:t>
      </w:r>
      <w:r w:rsidR="00131613">
        <w:rPr>
          <w:rFonts w:asciiTheme="minorEastAsia" w:hAnsiTheme="minorEastAsia" w:hint="eastAsia"/>
          <w:sz w:val="20"/>
        </w:rPr>
        <w:t>数量</w:t>
      </w:r>
    </w:p>
    <w:p w:rsidR="00D960CF" w:rsidRPr="00C735FE" w:rsidRDefault="00DE2A94" w:rsidP="00D960CF">
      <w:pPr>
        <w:ind w:firstLineChars="200" w:firstLine="560"/>
        <w:rPr>
          <w:rFonts w:ascii="仿宋_GB2312" w:eastAsia="仿宋_GB2312"/>
          <w:sz w:val="28"/>
        </w:rPr>
      </w:pPr>
      <w:r w:rsidRPr="00C735FE">
        <w:rPr>
          <w:rFonts w:ascii="仿宋_GB2312" w:eastAsia="仿宋_GB2312" w:hint="eastAsia"/>
          <w:sz w:val="28"/>
        </w:rPr>
        <w:t>战略性新兴产业</w:t>
      </w:r>
      <w:r w:rsidR="00DF2FC2">
        <w:rPr>
          <w:rFonts w:ascii="仿宋_GB2312" w:eastAsia="仿宋_GB2312" w:hint="eastAsia"/>
          <w:sz w:val="28"/>
        </w:rPr>
        <w:t>上市企业</w:t>
      </w:r>
      <w:r w:rsidRPr="00C735FE">
        <w:rPr>
          <w:rFonts w:ascii="仿宋_GB2312" w:eastAsia="仿宋_GB2312" w:hint="eastAsia"/>
          <w:sz w:val="28"/>
        </w:rPr>
        <w:t>盈利</w:t>
      </w:r>
      <w:r w:rsidR="00DF2FC2">
        <w:rPr>
          <w:rFonts w:ascii="仿宋_GB2312" w:eastAsia="仿宋_GB2312" w:hint="eastAsia"/>
          <w:sz w:val="28"/>
        </w:rPr>
        <w:t>表现</w:t>
      </w:r>
      <w:r w:rsidR="001C2A81" w:rsidRPr="00C735FE">
        <w:rPr>
          <w:rFonts w:ascii="仿宋_GB2312" w:eastAsia="仿宋_GB2312" w:hint="eastAsia"/>
          <w:sz w:val="28"/>
        </w:rPr>
        <w:t>更加突出</w:t>
      </w:r>
      <w:r w:rsidRPr="00C735FE">
        <w:rPr>
          <w:rFonts w:ascii="仿宋_GB2312" w:eastAsia="仿宋_GB2312" w:hint="eastAsia"/>
          <w:sz w:val="28"/>
        </w:rPr>
        <w:t>。</w:t>
      </w:r>
      <w:r w:rsidR="00E6588C" w:rsidRPr="00C735FE">
        <w:rPr>
          <w:rFonts w:ascii="仿宋_GB2312" w:eastAsia="仿宋_GB2312" w:hint="eastAsia"/>
          <w:sz w:val="28"/>
        </w:rPr>
        <w:t>2016年</w:t>
      </w:r>
      <w:r w:rsidR="00D960CF">
        <w:rPr>
          <w:rFonts w:ascii="仿宋_GB2312" w:eastAsia="仿宋_GB2312" w:hint="eastAsia"/>
          <w:sz w:val="28"/>
        </w:rPr>
        <w:t>，</w:t>
      </w:r>
      <w:r w:rsidR="00E6588C" w:rsidRPr="00C735FE">
        <w:rPr>
          <w:rFonts w:ascii="仿宋_GB2312" w:eastAsia="仿宋_GB2312" w:hint="eastAsia"/>
          <w:sz w:val="28"/>
        </w:rPr>
        <w:t>战略性新兴产业利润增速为22.3%，较上年增长8.5个百分点，高出上市</w:t>
      </w:r>
      <w:r w:rsidR="00805673" w:rsidRPr="00C735FE">
        <w:rPr>
          <w:rFonts w:ascii="仿宋_GB2312" w:eastAsia="仿宋_GB2312" w:hint="eastAsia"/>
          <w:sz w:val="28"/>
        </w:rPr>
        <w:t>公司总体</w:t>
      </w:r>
      <w:r w:rsidR="00E6588C" w:rsidRPr="00C735FE">
        <w:rPr>
          <w:rFonts w:ascii="仿宋_GB2312" w:eastAsia="仿宋_GB2312" w:hint="eastAsia"/>
          <w:sz w:val="28"/>
        </w:rPr>
        <w:t>16.2个</w:t>
      </w:r>
      <w:r w:rsidRPr="00C735FE">
        <w:rPr>
          <w:rFonts w:ascii="仿宋_GB2312" w:eastAsia="仿宋_GB2312" w:hint="eastAsia"/>
          <w:sz w:val="28"/>
        </w:rPr>
        <w:t>百分点</w:t>
      </w:r>
      <w:r w:rsidR="001C2A81" w:rsidRPr="00C735FE">
        <w:rPr>
          <w:rFonts w:ascii="仿宋_GB2312" w:eastAsia="仿宋_GB2312" w:hint="eastAsia"/>
          <w:sz w:val="28"/>
        </w:rPr>
        <w:t>，</w:t>
      </w:r>
      <w:r w:rsidR="00DF2FC2">
        <w:rPr>
          <w:rFonts w:ascii="仿宋_GB2312" w:eastAsia="仿宋_GB2312" w:hint="eastAsia"/>
          <w:sz w:val="28"/>
        </w:rPr>
        <w:t>相对</w:t>
      </w:r>
      <w:r w:rsidR="001C2A81" w:rsidRPr="00C735FE">
        <w:rPr>
          <w:rFonts w:ascii="仿宋_GB2312" w:eastAsia="仿宋_GB2312" w:hint="eastAsia"/>
          <w:sz w:val="28"/>
        </w:rPr>
        <w:t>优势进一步扩大</w:t>
      </w:r>
      <w:r w:rsidRPr="00C735FE">
        <w:rPr>
          <w:rFonts w:ascii="仿宋_GB2312" w:eastAsia="仿宋_GB2312" w:hint="eastAsia"/>
          <w:sz w:val="28"/>
        </w:rPr>
        <w:t>。企业</w:t>
      </w:r>
      <w:r w:rsidR="00D960CF">
        <w:rPr>
          <w:rFonts w:ascii="仿宋_GB2312" w:eastAsia="仿宋_GB2312" w:hint="eastAsia"/>
          <w:sz w:val="28"/>
        </w:rPr>
        <w:t>平均</w:t>
      </w:r>
      <w:r w:rsidRPr="00C735FE">
        <w:rPr>
          <w:rFonts w:ascii="仿宋_GB2312" w:eastAsia="仿宋_GB2312" w:hint="eastAsia"/>
          <w:sz w:val="28"/>
        </w:rPr>
        <w:t>销售毛利润率为25.1%，高出A股平均水平7.5个百分点</w:t>
      </w:r>
      <w:r w:rsidR="00D960CF">
        <w:rPr>
          <w:rFonts w:ascii="仿宋_GB2312" w:eastAsia="仿宋_GB2312" w:hint="eastAsia"/>
          <w:sz w:val="28"/>
        </w:rPr>
        <w:t>，效益持续</w:t>
      </w:r>
      <w:r w:rsidR="00D960CF">
        <w:rPr>
          <w:rFonts w:ascii="仿宋_GB2312" w:eastAsia="仿宋_GB2312"/>
          <w:sz w:val="28"/>
        </w:rPr>
        <w:t>领航</w:t>
      </w:r>
      <w:r w:rsidR="00C02EC4" w:rsidRPr="00C735FE">
        <w:rPr>
          <w:rFonts w:ascii="仿宋_GB2312" w:eastAsia="仿宋_GB2312" w:hint="eastAsia"/>
          <w:sz w:val="28"/>
        </w:rPr>
        <w:t>A股</w:t>
      </w:r>
      <w:r w:rsidR="00D960CF">
        <w:rPr>
          <w:rFonts w:ascii="仿宋_GB2312" w:eastAsia="仿宋_GB2312" w:hint="eastAsia"/>
          <w:sz w:val="28"/>
        </w:rPr>
        <w:t>市场</w:t>
      </w:r>
      <w:r w:rsidR="00227596" w:rsidRPr="00C735FE">
        <w:rPr>
          <w:rFonts w:ascii="仿宋_GB2312" w:eastAsia="仿宋_GB2312" w:hint="eastAsia"/>
          <w:sz w:val="28"/>
        </w:rPr>
        <w:t>。</w:t>
      </w:r>
    </w:p>
    <w:p w:rsidR="004A58F1" w:rsidRPr="00C735FE" w:rsidRDefault="00227596" w:rsidP="00CF0415">
      <w:pPr>
        <w:jc w:val="center"/>
        <w:rPr>
          <w:rFonts w:ascii="仿宋_GB2312" w:eastAsia="仿宋_GB2312"/>
          <w:sz w:val="28"/>
        </w:rPr>
      </w:pPr>
      <w:r w:rsidRPr="00C735FE">
        <w:rPr>
          <w:rFonts w:ascii="仿宋_GB2312" w:eastAsia="仿宋_GB2312" w:hint="eastAsia"/>
          <w:noProof/>
          <w:sz w:val="28"/>
        </w:rPr>
        <w:drawing>
          <wp:inline distT="0" distB="0" distL="0" distR="0" wp14:anchorId="7E4C4C3C" wp14:editId="676E6792">
            <wp:extent cx="4572000" cy="2314575"/>
            <wp:effectExtent l="0" t="0" r="0" b="9525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960CF" w:rsidRDefault="00D960CF" w:rsidP="00D960CF">
      <w:pPr>
        <w:ind w:firstLineChars="200" w:firstLine="400"/>
        <w:jc w:val="center"/>
        <w:rPr>
          <w:rFonts w:asciiTheme="minorEastAsia" w:hAnsiTheme="minorEastAsia"/>
          <w:sz w:val="20"/>
        </w:rPr>
      </w:pPr>
      <w:r w:rsidRPr="00131613">
        <w:rPr>
          <w:rFonts w:asciiTheme="minorEastAsia" w:hAnsiTheme="minorEastAsia" w:hint="eastAsia"/>
          <w:sz w:val="20"/>
        </w:rPr>
        <w:t>图</w:t>
      </w:r>
      <w:r w:rsidR="00C70170" w:rsidRPr="00131613">
        <w:rPr>
          <w:rFonts w:asciiTheme="minorEastAsia" w:hAnsiTheme="minorEastAsia" w:hint="eastAsia"/>
          <w:sz w:val="20"/>
        </w:rPr>
        <w:t>3</w:t>
      </w:r>
      <w:r w:rsidRPr="00131613">
        <w:rPr>
          <w:rFonts w:asciiTheme="minorEastAsia" w:hAnsiTheme="minorEastAsia" w:hint="eastAsia"/>
          <w:sz w:val="20"/>
        </w:rPr>
        <w:t xml:space="preserve"> </w:t>
      </w:r>
      <w:r w:rsidR="00131613">
        <w:rPr>
          <w:rFonts w:asciiTheme="minorEastAsia" w:hAnsiTheme="minorEastAsia" w:hint="eastAsia"/>
          <w:sz w:val="20"/>
        </w:rPr>
        <w:t>战略性新兴</w:t>
      </w:r>
      <w:r w:rsidR="00131613">
        <w:rPr>
          <w:rFonts w:asciiTheme="minorEastAsia" w:hAnsiTheme="minorEastAsia"/>
          <w:sz w:val="20"/>
        </w:rPr>
        <w:t>产</w:t>
      </w:r>
      <w:r w:rsidR="00131613">
        <w:rPr>
          <w:rFonts w:asciiTheme="minorEastAsia" w:hAnsiTheme="minorEastAsia" w:hint="eastAsia"/>
          <w:sz w:val="20"/>
        </w:rPr>
        <w:t>业</w:t>
      </w:r>
      <w:r w:rsidR="00131613">
        <w:rPr>
          <w:rFonts w:asciiTheme="minorEastAsia" w:hAnsiTheme="minorEastAsia"/>
          <w:sz w:val="20"/>
        </w:rPr>
        <w:t>和</w:t>
      </w:r>
      <w:r w:rsidR="00131613">
        <w:rPr>
          <w:rFonts w:asciiTheme="minorEastAsia" w:hAnsiTheme="minorEastAsia" w:hint="eastAsia"/>
          <w:sz w:val="20"/>
        </w:rPr>
        <w:t>A股上市公司</w:t>
      </w:r>
      <w:r w:rsidRPr="00131613">
        <w:rPr>
          <w:rFonts w:asciiTheme="minorEastAsia" w:hAnsiTheme="minorEastAsia" w:hint="eastAsia"/>
          <w:sz w:val="20"/>
        </w:rPr>
        <w:t>利润</w:t>
      </w:r>
      <w:r w:rsidRPr="00131613">
        <w:rPr>
          <w:rFonts w:asciiTheme="minorEastAsia" w:hAnsiTheme="minorEastAsia"/>
          <w:sz w:val="20"/>
        </w:rPr>
        <w:t>增速对比</w:t>
      </w:r>
    </w:p>
    <w:p w:rsidR="00736291" w:rsidRPr="00736291" w:rsidRDefault="00E86D8A" w:rsidP="00C735FE">
      <w:pPr>
        <w:ind w:firstLineChars="200" w:firstLine="562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lastRenderedPageBreak/>
        <w:t>二</w:t>
      </w:r>
      <w:r w:rsidR="00736291" w:rsidRPr="00736291">
        <w:rPr>
          <w:rFonts w:ascii="仿宋_GB2312" w:eastAsia="仿宋_GB2312"/>
          <w:b/>
          <w:sz w:val="28"/>
        </w:rPr>
        <w:t>、</w:t>
      </w:r>
      <w:r w:rsidR="00B22701">
        <w:rPr>
          <w:rFonts w:ascii="仿宋_GB2312" w:eastAsia="仿宋_GB2312" w:hint="eastAsia"/>
          <w:b/>
          <w:sz w:val="28"/>
        </w:rPr>
        <w:t>八大</w:t>
      </w:r>
      <w:r w:rsidR="00B22701">
        <w:rPr>
          <w:rFonts w:ascii="仿宋_GB2312" w:eastAsia="仿宋_GB2312"/>
          <w:b/>
          <w:sz w:val="28"/>
        </w:rPr>
        <w:t>领域</w:t>
      </w:r>
      <w:r w:rsidR="00B22701">
        <w:rPr>
          <w:rFonts w:ascii="仿宋_GB2312" w:eastAsia="仿宋_GB2312" w:hint="eastAsia"/>
          <w:b/>
          <w:sz w:val="28"/>
        </w:rPr>
        <w:t>四升四降</w:t>
      </w:r>
    </w:p>
    <w:p w:rsidR="00BA3EB2" w:rsidRPr="00D960CF" w:rsidRDefault="00BA3EB2" w:rsidP="00C735FE">
      <w:pPr>
        <w:ind w:firstLineChars="200" w:firstLine="560"/>
        <w:rPr>
          <w:rFonts w:ascii="仿宋_GB2312" w:eastAsia="仿宋_GB2312"/>
          <w:b/>
          <w:sz w:val="28"/>
        </w:rPr>
      </w:pPr>
      <w:r w:rsidRPr="00C735FE">
        <w:rPr>
          <w:rFonts w:ascii="仿宋_GB2312" w:eastAsia="仿宋_GB2312" w:hint="eastAsia"/>
          <w:sz w:val="28"/>
        </w:rPr>
        <w:t>从细分领域来看，201</w:t>
      </w:r>
      <w:r w:rsidRPr="00010CF6">
        <w:rPr>
          <w:rFonts w:ascii="仿宋_GB2312" w:eastAsia="仿宋_GB2312" w:hint="eastAsia"/>
          <w:sz w:val="28"/>
        </w:rPr>
        <w:t>6年</w:t>
      </w:r>
      <w:r w:rsidRPr="00010CF6">
        <w:rPr>
          <w:rFonts w:ascii="仿宋_GB2312" w:eastAsia="仿宋_GB2312" w:hint="eastAsia"/>
          <w:b/>
          <w:sz w:val="28"/>
        </w:rPr>
        <w:t>节能环保产业</w:t>
      </w:r>
      <w:r w:rsidRPr="00010CF6">
        <w:rPr>
          <w:rFonts w:ascii="仿宋_GB2312" w:eastAsia="仿宋_GB2312" w:hint="eastAsia"/>
          <w:sz w:val="28"/>
        </w:rPr>
        <w:t>和</w:t>
      </w:r>
      <w:r w:rsidR="00E50CFE">
        <w:rPr>
          <w:rFonts w:ascii="仿宋_GB2312" w:eastAsia="仿宋_GB2312" w:hint="eastAsia"/>
          <w:sz w:val="28"/>
        </w:rPr>
        <w:t>2015</w:t>
      </w:r>
      <w:r w:rsidRPr="00C735FE">
        <w:rPr>
          <w:rFonts w:ascii="仿宋_GB2312" w:eastAsia="仿宋_GB2312" w:hint="eastAsia"/>
          <w:sz w:val="28"/>
        </w:rPr>
        <w:t>年相比大幅提升，全年营收规模为1995.1亿元，增速达33.7%</w:t>
      </w:r>
      <w:r w:rsidR="001F3DD6">
        <w:rPr>
          <w:rFonts w:ascii="仿宋_GB2312" w:eastAsia="仿宋_GB2312" w:hint="eastAsia"/>
          <w:sz w:val="28"/>
        </w:rPr>
        <w:t>。</w:t>
      </w:r>
      <w:r w:rsidR="00131613">
        <w:rPr>
          <w:rFonts w:ascii="仿宋_GB2312" w:eastAsia="仿宋_GB2312" w:hint="eastAsia"/>
          <w:sz w:val="28"/>
        </w:rPr>
        <w:t>（见</w:t>
      </w:r>
      <w:r w:rsidR="00131613">
        <w:rPr>
          <w:rFonts w:ascii="仿宋_GB2312" w:eastAsia="仿宋_GB2312"/>
          <w:sz w:val="28"/>
        </w:rPr>
        <w:t>图</w:t>
      </w:r>
      <w:r w:rsidR="00CF0415">
        <w:rPr>
          <w:rFonts w:ascii="仿宋_GB2312" w:eastAsia="仿宋_GB2312" w:hint="eastAsia"/>
          <w:sz w:val="28"/>
        </w:rPr>
        <w:t>6</w:t>
      </w:r>
      <w:r w:rsidR="00131613">
        <w:rPr>
          <w:rFonts w:ascii="仿宋_GB2312" w:eastAsia="仿宋_GB2312" w:hint="eastAsia"/>
          <w:sz w:val="28"/>
        </w:rPr>
        <w:t>）</w:t>
      </w:r>
      <w:r>
        <w:rPr>
          <w:rFonts w:ascii="仿宋_GB2312" w:eastAsia="仿宋_GB2312" w:hint="eastAsia"/>
          <w:sz w:val="28"/>
        </w:rPr>
        <w:t>。</w:t>
      </w:r>
      <w:r w:rsidRPr="00C735FE">
        <w:rPr>
          <w:rFonts w:ascii="仿宋_GB2312" w:eastAsia="仿宋_GB2312" w:hint="eastAsia"/>
          <w:sz w:val="28"/>
        </w:rPr>
        <w:t>主要得益于系列环保政策的驱动，PPP模式在环保领域的大规模推广和项目落地，以及行业内并购重组带来的结构优化。其中，先进环保、资源循环利用两大子领域表现抢眼，</w:t>
      </w:r>
      <w:r>
        <w:rPr>
          <w:rFonts w:ascii="仿宋_GB2312" w:eastAsia="仿宋_GB2312" w:hint="eastAsia"/>
          <w:sz w:val="28"/>
        </w:rPr>
        <w:t>增速分别为</w:t>
      </w:r>
      <w:r w:rsidRPr="00C735FE">
        <w:rPr>
          <w:rFonts w:ascii="仿宋_GB2312" w:eastAsia="仿宋_GB2312" w:hint="eastAsia"/>
          <w:sz w:val="28"/>
        </w:rPr>
        <w:t>37.8%和36.7%。</w:t>
      </w:r>
      <w:r w:rsidR="001F3DD6" w:rsidRPr="00BA3EB2">
        <w:rPr>
          <w:rFonts w:ascii="仿宋_GB2312" w:eastAsia="仿宋_GB2312" w:hint="eastAsia"/>
          <w:b/>
          <w:sz w:val="28"/>
        </w:rPr>
        <w:t>新材料产业</w:t>
      </w:r>
      <w:r w:rsidR="001F3DD6" w:rsidRPr="00C735FE">
        <w:rPr>
          <w:rFonts w:ascii="仿宋_GB2312" w:eastAsia="仿宋_GB2312" w:hint="eastAsia"/>
          <w:sz w:val="28"/>
        </w:rPr>
        <w:t>经历了前两年的低迷，</w:t>
      </w:r>
      <w:r w:rsidR="001F3DD6">
        <w:rPr>
          <w:rFonts w:ascii="仿宋_GB2312" w:eastAsia="仿宋_GB2312" w:hint="eastAsia"/>
          <w:sz w:val="28"/>
        </w:rPr>
        <w:t>2016年</w:t>
      </w:r>
      <w:r w:rsidR="001F3DD6" w:rsidRPr="00C735FE">
        <w:rPr>
          <w:rFonts w:ascii="仿宋_GB2312" w:eastAsia="仿宋_GB2312" w:hint="eastAsia"/>
          <w:sz w:val="28"/>
        </w:rPr>
        <w:t>出现</w:t>
      </w:r>
      <w:r w:rsidR="001F3DD6">
        <w:rPr>
          <w:rFonts w:ascii="仿宋_GB2312" w:eastAsia="仿宋_GB2312" w:hint="eastAsia"/>
          <w:sz w:val="28"/>
        </w:rPr>
        <w:t>快速反弹</w:t>
      </w:r>
      <w:r w:rsidR="001F3DD6" w:rsidRPr="00C735FE">
        <w:rPr>
          <w:rFonts w:ascii="仿宋_GB2312" w:eastAsia="仿宋_GB2312" w:hint="eastAsia"/>
          <w:sz w:val="28"/>
        </w:rPr>
        <w:t>，营收规模</w:t>
      </w:r>
      <w:r w:rsidR="001F3DD6">
        <w:rPr>
          <w:rFonts w:ascii="仿宋_GB2312" w:eastAsia="仿宋_GB2312" w:hint="eastAsia"/>
          <w:sz w:val="28"/>
        </w:rPr>
        <w:t>跃升</w:t>
      </w:r>
      <w:r w:rsidR="001F3DD6">
        <w:rPr>
          <w:rFonts w:ascii="仿宋_GB2312" w:eastAsia="仿宋_GB2312"/>
          <w:sz w:val="28"/>
        </w:rPr>
        <w:t>至</w:t>
      </w:r>
      <w:r w:rsidR="001F3DD6" w:rsidRPr="00C735FE">
        <w:rPr>
          <w:rFonts w:ascii="仿宋_GB2312" w:eastAsia="仿宋_GB2312" w:hint="eastAsia"/>
          <w:sz w:val="28"/>
        </w:rPr>
        <w:t>1872.7亿元，增速达17.7%，比上年提升17.4分百分点，业绩改善十分明显。</w:t>
      </w:r>
      <w:r w:rsidR="001F3DD6" w:rsidRPr="00BA3EB2">
        <w:rPr>
          <w:rFonts w:ascii="仿宋_GB2312" w:eastAsia="仿宋_GB2312" w:hint="eastAsia"/>
          <w:b/>
          <w:sz w:val="28"/>
        </w:rPr>
        <w:t>新一代信息技术产业</w:t>
      </w:r>
      <w:r w:rsidR="001F3DD6" w:rsidRPr="00C735FE">
        <w:rPr>
          <w:rFonts w:ascii="仿宋_GB2312" w:eastAsia="仿宋_GB2312" w:hint="eastAsia"/>
          <w:sz w:val="28"/>
        </w:rPr>
        <w:t>稳中有升，营收规模为14645.4</w:t>
      </w:r>
      <w:r w:rsidR="001F3DD6">
        <w:rPr>
          <w:rFonts w:ascii="仿宋_GB2312" w:eastAsia="仿宋_GB2312" w:hint="eastAsia"/>
          <w:sz w:val="28"/>
        </w:rPr>
        <w:t>亿元</w:t>
      </w:r>
      <w:r w:rsidR="001F3DD6" w:rsidRPr="00C735FE">
        <w:rPr>
          <w:rFonts w:ascii="仿宋_GB2312" w:eastAsia="仿宋_GB2312" w:hint="eastAsia"/>
          <w:sz w:val="28"/>
        </w:rPr>
        <w:t>，增速为21%，比</w:t>
      </w:r>
      <w:r w:rsidR="001F3DD6">
        <w:rPr>
          <w:rFonts w:ascii="仿宋_GB2312" w:eastAsia="仿宋_GB2312" w:hint="eastAsia"/>
          <w:sz w:val="28"/>
        </w:rPr>
        <w:t>2015</w:t>
      </w:r>
      <w:r w:rsidR="001F3DD6" w:rsidRPr="00C735FE">
        <w:rPr>
          <w:rFonts w:ascii="仿宋_GB2312" w:eastAsia="仿宋_GB2312" w:hint="eastAsia"/>
          <w:sz w:val="28"/>
        </w:rPr>
        <w:t>年微增0.7%。其中，三大细分领域增速出现分化，电子核心基础和高端软件信息服务分别增长25.8%和28.6%，延续近几年的增长势头。</w:t>
      </w:r>
      <w:r w:rsidR="001F3DD6" w:rsidRPr="00BA3EB2">
        <w:rPr>
          <w:rFonts w:ascii="仿宋_GB2312" w:eastAsia="仿宋_GB2312" w:hint="eastAsia"/>
          <w:b/>
          <w:sz w:val="28"/>
        </w:rPr>
        <w:t>生物产业</w:t>
      </w:r>
      <w:r w:rsidR="005A2FD8">
        <w:rPr>
          <w:rFonts w:ascii="仿宋_GB2312" w:eastAsia="仿宋_GB2312" w:hint="eastAsia"/>
          <w:sz w:val="28"/>
        </w:rPr>
        <w:t>增速</w:t>
      </w:r>
      <w:r w:rsidR="005A2FD8">
        <w:rPr>
          <w:rFonts w:ascii="仿宋_GB2312" w:eastAsia="仿宋_GB2312"/>
          <w:sz w:val="28"/>
        </w:rPr>
        <w:t>持续</w:t>
      </w:r>
      <w:r w:rsidR="005A2FD8">
        <w:rPr>
          <w:rFonts w:ascii="仿宋_GB2312" w:eastAsia="仿宋_GB2312" w:hint="eastAsia"/>
          <w:sz w:val="28"/>
        </w:rPr>
        <w:t>攀升</w:t>
      </w:r>
      <w:r w:rsidR="001F3DD6" w:rsidRPr="00C735FE">
        <w:rPr>
          <w:rFonts w:ascii="仿宋_GB2312" w:eastAsia="仿宋_GB2312" w:hint="eastAsia"/>
          <w:sz w:val="28"/>
        </w:rPr>
        <w:t>，2016年营收规模为6157.2亿元，增速</w:t>
      </w:r>
      <w:r w:rsidR="001F3DD6">
        <w:rPr>
          <w:rFonts w:ascii="仿宋_GB2312" w:eastAsia="仿宋_GB2312" w:hint="eastAsia"/>
          <w:sz w:val="28"/>
        </w:rPr>
        <w:t>为</w:t>
      </w:r>
      <w:r w:rsidR="001F3DD6" w:rsidRPr="00C735FE">
        <w:rPr>
          <w:rFonts w:ascii="仿宋_GB2312" w:eastAsia="仿宋_GB2312" w:hint="eastAsia"/>
          <w:sz w:val="28"/>
        </w:rPr>
        <w:t>16.5%，</w:t>
      </w:r>
      <w:r w:rsidR="001F3DD6" w:rsidRPr="00E50CFE">
        <w:rPr>
          <w:rFonts w:ascii="仿宋_GB2312" w:eastAsia="仿宋_GB2312" w:hint="eastAsia"/>
          <w:sz w:val="28"/>
        </w:rPr>
        <w:t>其中生物农业、医学工程、医药等子领域均实现了不同程度的加速增长。</w:t>
      </w:r>
      <w:r w:rsidRPr="00BA3EB2">
        <w:rPr>
          <w:rFonts w:ascii="仿宋_GB2312" w:eastAsia="仿宋_GB2312" w:hint="eastAsia"/>
          <w:b/>
          <w:sz w:val="28"/>
        </w:rPr>
        <w:t>数字创意产业</w:t>
      </w:r>
      <w:r w:rsidR="001F3DD6" w:rsidRPr="005A2FD8">
        <w:rPr>
          <w:rFonts w:ascii="仿宋_GB2312" w:eastAsia="仿宋_GB2312" w:hint="eastAsia"/>
          <w:sz w:val="28"/>
        </w:rPr>
        <w:t>受</w:t>
      </w:r>
      <w:r w:rsidR="001F3DD6" w:rsidRPr="005A2FD8">
        <w:rPr>
          <w:rFonts w:ascii="仿宋_GB2312" w:eastAsia="仿宋_GB2312"/>
          <w:sz w:val="28"/>
        </w:rPr>
        <w:t>前期</w:t>
      </w:r>
      <w:r w:rsidR="001F3DD6" w:rsidRPr="005A2FD8">
        <w:rPr>
          <w:rFonts w:ascii="仿宋_GB2312" w:eastAsia="仿宋_GB2312" w:hint="eastAsia"/>
          <w:sz w:val="28"/>
        </w:rPr>
        <w:t>基数</w:t>
      </w:r>
      <w:r w:rsidR="001F3DD6" w:rsidRPr="005A2FD8">
        <w:rPr>
          <w:rFonts w:ascii="仿宋_GB2312" w:eastAsia="仿宋_GB2312"/>
          <w:sz w:val="28"/>
        </w:rPr>
        <w:t>较高影响，增速有所放缓，</w:t>
      </w:r>
      <w:r w:rsidR="001F3DD6" w:rsidRPr="005A2FD8">
        <w:rPr>
          <w:rFonts w:ascii="仿宋_GB2312" w:eastAsia="仿宋_GB2312" w:hint="eastAsia"/>
          <w:sz w:val="28"/>
        </w:rPr>
        <w:t>但</w:t>
      </w:r>
      <w:r w:rsidR="001F3DD6" w:rsidRPr="005A2FD8">
        <w:rPr>
          <w:rFonts w:ascii="仿宋_GB2312" w:eastAsia="仿宋_GB2312"/>
          <w:sz w:val="28"/>
        </w:rPr>
        <w:t>仍然维持了</w:t>
      </w:r>
      <w:r w:rsidR="001F3DD6" w:rsidRPr="005A2FD8">
        <w:rPr>
          <w:rFonts w:ascii="仿宋_GB2312" w:eastAsia="仿宋_GB2312" w:hint="eastAsia"/>
          <w:sz w:val="28"/>
        </w:rPr>
        <w:t>33.1</w:t>
      </w:r>
      <w:r w:rsidR="001F3DD6" w:rsidRPr="005A2FD8">
        <w:rPr>
          <w:rFonts w:ascii="仿宋_GB2312" w:eastAsia="仿宋_GB2312"/>
          <w:sz w:val="28"/>
        </w:rPr>
        <w:t>%的</w:t>
      </w:r>
      <w:r w:rsidRPr="00C735FE">
        <w:rPr>
          <w:rFonts w:ascii="仿宋_GB2312" w:eastAsia="仿宋_GB2312" w:hint="eastAsia"/>
          <w:sz w:val="28"/>
        </w:rPr>
        <w:t>高速增长，营收规模为1586.4亿元，反映了</w:t>
      </w:r>
      <w:r>
        <w:rPr>
          <w:rFonts w:ascii="仿宋_GB2312" w:eastAsia="仿宋_GB2312" w:hint="eastAsia"/>
          <w:sz w:val="28"/>
        </w:rPr>
        <w:t>当下</w:t>
      </w:r>
      <w:r w:rsidRPr="00C735FE">
        <w:rPr>
          <w:rFonts w:ascii="仿宋_GB2312" w:eastAsia="仿宋_GB2312" w:hint="eastAsia"/>
          <w:sz w:val="28"/>
        </w:rPr>
        <w:t>消费需求持续增长、消费结构加快升级，文化、信息等新消费拉动作用明显增强。其中数字内容子领域增速超过40%，</w:t>
      </w:r>
      <w:r>
        <w:rPr>
          <w:rFonts w:ascii="仿宋_GB2312" w:eastAsia="仿宋_GB2312" w:hint="eastAsia"/>
          <w:sz w:val="28"/>
        </w:rPr>
        <w:t>连续</w:t>
      </w:r>
      <w:r>
        <w:rPr>
          <w:rFonts w:ascii="仿宋_GB2312" w:eastAsia="仿宋_GB2312"/>
          <w:sz w:val="28"/>
        </w:rPr>
        <w:t>两年领跑</w:t>
      </w:r>
      <w:r>
        <w:rPr>
          <w:rFonts w:ascii="仿宋_GB2312" w:eastAsia="仿宋_GB2312" w:hint="eastAsia"/>
          <w:sz w:val="28"/>
        </w:rPr>
        <w:t>战略性</w:t>
      </w:r>
      <w:r>
        <w:rPr>
          <w:rFonts w:ascii="仿宋_GB2312" w:eastAsia="仿宋_GB2312"/>
          <w:sz w:val="28"/>
        </w:rPr>
        <w:t>新兴产业</w:t>
      </w:r>
      <w:r>
        <w:rPr>
          <w:rFonts w:ascii="仿宋_GB2312" w:eastAsia="仿宋_GB2312" w:hint="eastAsia"/>
          <w:sz w:val="28"/>
        </w:rPr>
        <w:t>所有细分领域</w:t>
      </w:r>
      <w:r w:rsidRPr="00C735FE">
        <w:rPr>
          <w:rFonts w:ascii="仿宋_GB2312" w:eastAsia="仿宋_GB2312" w:hint="eastAsia"/>
          <w:sz w:val="28"/>
        </w:rPr>
        <w:t>，体现了内容为王时代，优质内容价值进一步凸显。</w:t>
      </w:r>
      <w:r w:rsidR="001F3DD6">
        <w:rPr>
          <w:rFonts w:ascii="仿宋_GB2312" w:eastAsia="仿宋_GB2312" w:hint="eastAsia"/>
          <w:sz w:val="28"/>
        </w:rPr>
        <w:t>新能源</w:t>
      </w:r>
      <w:r w:rsidR="001F3DD6">
        <w:rPr>
          <w:rFonts w:ascii="仿宋_GB2312" w:eastAsia="仿宋_GB2312"/>
          <w:sz w:val="28"/>
        </w:rPr>
        <w:t>汽车</w:t>
      </w:r>
      <w:r w:rsidR="001F3DD6">
        <w:rPr>
          <w:rFonts w:ascii="仿宋_GB2312" w:eastAsia="仿宋_GB2312" w:hint="eastAsia"/>
          <w:sz w:val="28"/>
        </w:rPr>
        <w:t>领域</w:t>
      </w:r>
      <w:r w:rsidR="001F3DD6">
        <w:rPr>
          <w:rFonts w:ascii="仿宋_GB2312" w:eastAsia="仿宋_GB2312"/>
          <w:sz w:val="28"/>
        </w:rPr>
        <w:t>增速</w:t>
      </w:r>
      <w:r w:rsidR="001F3DD6">
        <w:rPr>
          <w:rFonts w:ascii="仿宋_GB2312" w:eastAsia="仿宋_GB2312" w:hint="eastAsia"/>
          <w:sz w:val="28"/>
        </w:rPr>
        <w:t>高处回调</w:t>
      </w:r>
      <w:r w:rsidR="001F3DD6">
        <w:rPr>
          <w:rFonts w:ascii="仿宋_GB2312" w:eastAsia="仿宋_GB2312"/>
          <w:sz w:val="28"/>
        </w:rPr>
        <w:t>，</w:t>
      </w:r>
      <w:r w:rsidR="001F3DD6">
        <w:rPr>
          <w:rFonts w:ascii="仿宋_GB2312" w:eastAsia="仿宋_GB2312" w:hint="eastAsia"/>
          <w:sz w:val="28"/>
        </w:rPr>
        <w:t>但</w:t>
      </w:r>
      <w:r w:rsidR="001F3DD6">
        <w:rPr>
          <w:rFonts w:ascii="仿宋_GB2312" w:eastAsia="仿宋_GB2312"/>
          <w:sz w:val="28"/>
        </w:rPr>
        <w:t>仍然</w:t>
      </w:r>
      <w:r w:rsidR="001F3DD6">
        <w:rPr>
          <w:rFonts w:ascii="仿宋_GB2312" w:eastAsia="仿宋_GB2312" w:hint="eastAsia"/>
          <w:sz w:val="28"/>
        </w:rPr>
        <w:t>实现</w:t>
      </w:r>
      <w:r w:rsidR="001F3DD6">
        <w:rPr>
          <w:rFonts w:ascii="仿宋_GB2312" w:eastAsia="仿宋_GB2312"/>
          <w:sz w:val="28"/>
        </w:rPr>
        <w:t>了</w:t>
      </w:r>
      <w:r w:rsidR="001F3DD6">
        <w:rPr>
          <w:rFonts w:ascii="仿宋_GB2312" w:eastAsia="仿宋_GB2312" w:hint="eastAsia"/>
          <w:sz w:val="28"/>
        </w:rPr>
        <w:t>47.2</w:t>
      </w:r>
      <w:r w:rsidR="001F3DD6">
        <w:rPr>
          <w:rFonts w:ascii="仿宋_GB2312" w:eastAsia="仿宋_GB2312"/>
          <w:sz w:val="28"/>
        </w:rPr>
        <w:t>%的增长速度，是八大领域中增速最快的</w:t>
      </w:r>
      <w:r w:rsidR="00B5716D">
        <w:rPr>
          <w:rFonts w:ascii="仿宋_GB2312" w:eastAsia="仿宋_GB2312" w:hint="eastAsia"/>
          <w:sz w:val="28"/>
        </w:rPr>
        <w:t>，领域</w:t>
      </w:r>
      <w:r w:rsidR="00B5716D">
        <w:rPr>
          <w:rFonts w:ascii="仿宋_GB2312" w:eastAsia="仿宋_GB2312"/>
          <w:sz w:val="28"/>
        </w:rPr>
        <w:t>内企业在政策驱动下</w:t>
      </w:r>
      <w:r w:rsidR="00B5716D">
        <w:rPr>
          <w:rFonts w:ascii="仿宋_GB2312" w:eastAsia="仿宋_GB2312" w:hint="eastAsia"/>
          <w:sz w:val="28"/>
        </w:rPr>
        <w:t>继续高速</w:t>
      </w:r>
      <w:r w:rsidR="00B5716D">
        <w:rPr>
          <w:rFonts w:ascii="仿宋_GB2312" w:eastAsia="仿宋_GB2312"/>
          <w:sz w:val="28"/>
        </w:rPr>
        <w:t>增长。</w:t>
      </w:r>
      <w:r w:rsidRPr="009C24B9">
        <w:rPr>
          <w:rFonts w:ascii="仿宋_GB2312" w:eastAsia="仿宋_GB2312" w:hint="eastAsia"/>
          <w:b/>
          <w:sz w:val="28"/>
        </w:rPr>
        <w:t>新能源产业</w:t>
      </w:r>
      <w:r w:rsidRPr="00C735FE">
        <w:rPr>
          <w:rFonts w:ascii="仿宋_GB2312" w:eastAsia="仿宋_GB2312" w:hint="eastAsia"/>
          <w:sz w:val="28"/>
        </w:rPr>
        <w:t>增速出现下滑，营收规模</w:t>
      </w:r>
      <w:r w:rsidR="009C24B9">
        <w:rPr>
          <w:rFonts w:ascii="仿宋_GB2312" w:eastAsia="仿宋_GB2312" w:hint="eastAsia"/>
          <w:sz w:val="28"/>
        </w:rPr>
        <w:t>为</w:t>
      </w:r>
      <w:r w:rsidRPr="00C735FE">
        <w:rPr>
          <w:rFonts w:ascii="仿宋_GB2312" w:eastAsia="仿宋_GB2312" w:hint="eastAsia"/>
          <w:sz w:val="28"/>
        </w:rPr>
        <w:t>2045.4亿元，增速为13.7%，比</w:t>
      </w:r>
      <w:r w:rsidR="00E50CFE">
        <w:rPr>
          <w:rFonts w:ascii="仿宋_GB2312" w:eastAsia="仿宋_GB2312" w:hint="eastAsia"/>
          <w:sz w:val="28"/>
        </w:rPr>
        <w:t>2015</w:t>
      </w:r>
      <w:r w:rsidRPr="00C735FE">
        <w:rPr>
          <w:rFonts w:ascii="仿宋_GB2312" w:eastAsia="仿宋_GB2312" w:hint="eastAsia"/>
          <w:sz w:val="28"/>
        </w:rPr>
        <w:t>年下滑6.6个百分点。主要源于风能</w:t>
      </w:r>
      <w:r w:rsidRPr="00C735FE">
        <w:rPr>
          <w:rFonts w:ascii="仿宋_GB2312" w:eastAsia="仿宋_GB2312" w:hint="eastAsia"/>
          <w:sz w:val="28"/>
        </w:rPr>
        <w:lastRenderedPageBreak/>
        <w:t>和核电技术业绩下滑，太阳能领域仍然保持26.4%的高速增长。</w:t>
      </w:r>
      <w:r w:rsidRPr="009C24B9">
        <w:rPr>
          <w:rFonts w:ascii="仿宋_GB2312" w:eastAsia="仿宋_GB2312" w:hint="eastAsia"/>
          <w:b/>
          <w:sz w:val="28"/>
        </w:rPr>
        <w:t>高端装备制造业</w:t>
      </w:r>
      <w:r w:rsidRPr="00C735FE">
        <w:rPr>
          <w:rFonts w:ascii="仿宋_GB2312" w:eastAsia="仿宋_GB2312" w:hint="eastAsia"/>
          <w:sz w:val="28"/>
        </w:rPr>
        <w:t>持续快速下滑，</w:t>
      </w:r>
      <w:r w:rsidR="00E50CFE">
        <w:rPr>
          <w:rFonts w:ascii="仿宋_GB2312" w:eastAsia="仿宋_GB2312" w:hint="eastAsia"/>
          <w:sz w:val="28"/>
        </w:rPr>
        <w:t>2016</w:t>
      </w:r>
      <w:r w:rsidRPr="00C735FE">
        <w:rPr>
          <w:rFonts w:ascii="仿宋_GB2312" w:eastAsia="仿宋_GB2312" w:hint="eastAsia"/>
          <w:sz w:val="28"/>
        </w:rPr>
        <w:t>年营收增速仅为0.8%。其中，轨道交通和海洋工程装备制造均出现负增长，</w:t>
      </w:r>
      <w:r w:rsidR="009C24B9">
        <w:rPr>
          <w:rFonts w:ascii="仿宋_GB2312" w:eastAsia="仿宋_GB2312" w:hint="eastAsia"/>
          <w:sz w:val="28"/>
        </w:rPr>
        <w:t>且</w:t>
      </w:r>
      <w:r w:rsidRPr="00C735FE">
        <w:rPr>
          <w:rFonts w:ascii="仿宋_GB2312" w:eastAsia="仿宋_GB2312" w:hint="eastAsia"/>
          <w:sz w:val="28"/>
        </w:rPr>
        <w:t>下滑幅度</w:t>
      </w:r>
      <w:r w:rsidR="009C24B9">
        <w:rPr>
          <w:rFonts w:ascii="仿宋_GB2312" w:eastAsia="仿宋_GB2312" w:hint="eastAsia"/>
          <w:sz w:val="28"/>
        </w:rPr>
        <w:t>不断</w:t>
      </w:r>
      <w:r w:rsidRPr="00C735FE">
        <w:rPr>
          <w:rFonts w:ascii="仿宋_GB2312" w:eastAsia="仿宋_GB2312" w:hint="eastAsia"/>
          <w:sz w:val="28"/>
        </w:rPr>
        <w:t>扩大。航空和航天领域仍然加速增长，增速分别为11%和20%。</w:t>
      </w:r>
    </w:p>
    <w:p w:rsidR="009860A0" w:rsidRDefault="009860A0" w:rsidP="00C735FE">
      <w:pPr>
        <w:rPr>
          <w:rFonts w:ascii="仿宋_GB2312" w:eastAsia="仿宋_GB2312"/>
          <w:sz w:val="28"/>
        </w:rPr>
      </w:pPr>
    </w:p>
    <w:p w:rsidR="00B22701" w:rsidRPr="00C735FE" w:rsidRDefault="001F3DD6" w:rsidP="00C735FE">
      <w:pPr>
        <w:rPr>
          <w:rFonts w:ascii="仿宋_GB2312" w:eastAsia="仿宋_GB2312"/>
          <w:sz w:val="28"/>
        </w:rPr>
      </w:pPr>
      <w:r>
        <w:rPr>
          <w:noProof/>
        </w:rPr>
        <w:drawing>
          <wp:inline distT="0" distB="0" distL="0" distR="0" wp14:anchorId="49585197" wp14:editId="74A4D07D">
            <wp:extent cx="5274310" cy="2084070"/>
            <wp:effectExtent l="0" t="0" r="2540" b="11430"/>
            <wp:docPr id="17" name="图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62D98" w:rsidRPr="00131613" w:rsidRDefault="009C24B9" w:rsidP="009C24B9">
      <w:pPr>
        <w:ind w:firstLineChars="200" w:firstLine="400"/>
        <w:jc w:val="center"/>
        <w:rPr>
          <w:rFonts w:asciiTheme="minorEastAsia" w:hAnsiTheme="minorEastAsia"/>
          <w:sz w:val="20"/>
        </w:rPr>
      </w:pPr>
      <w:r w:rsidRPr="00131613">
        <w:rPr>
          <w:rFonts w:asciiTheme="minorEastAsia" w:hAnsiTheme="minorEastAsia" w:hint="eastAsia"/>
          <w:sz w:val="20"/>
        </w:rPr>
        <w:t>图</w:t>
      </w:r>
      <w:r w:rsidR="00CF0415">
        <w:rPr>
          <w:rFonts w:asciiTheme="minorEastAsia" w:hAnsiTheme="minorEastAsia" w:hint="eastAsia"/>
          <w:sz w:val="20"/>
        </w:rPr>
        <w:t>6</w:t>
      </w:r>
      <w:r w:rsidR="00131613">
        <w:rPr>
          <w:rFonts w:asciiTheme="minorEastAsia" w:hAnsiTheme="minorEastAsia"/>
          <w:sz w:val="20"/>
        </w:rPr>
        <w:t>战略性新兴产业</w:t>
      </w:r>
      <w:r w:rsidRPr="00131613">
        <w:rPr>
          <w:rFonts w:asciiTheme="minorEastAsia" w:hAnsiTheme="minorEastAsia" w:hint="eastAsia"/>
          <w:sz w:val="20"/>
        </w:rPr>
        <w:t>分行业</w:t>
      </w:r>
      <w:r w:rsidRPr="00131613">
        <w:rPr>
          <w:rFonts w:asciiTheme="minorEastAsia" w:hAnsiTheme="minorEastAsia"/>
          <w:sz w:val="20"/>
        </w:rPr>
        <w:t>营收增速</w:t>
      </w:r>
      <w:r w:rsidRPr="00131613">
        <w:rPr>
          <w:rFonts w:asciiTheme="minorEastAsia" w:hAnsiTheme="minorEastAsia" w:hint="eastAsia"/>
          <w:sz w:val="20"/>
        </w:rPr>
        <w:t>对比</w:t>
      </w:r>
    </w:p>
    <w:p w:rsidR="00E86D8A" w:rsidRPr="00F862A6" w:rsidRDefault="00E86D8A" w:rsidP="00E86D8A">
      <w:pPr>
        <w:ind w:firstLineChars="200" w:firstLine="562"/>
        <w:rPr>
          <w:rFonts w:ascii="仿宋_GB2312" w:eastAsia="仿宋_GB2312"/>
          <w:b/>
          <w:sz w:val="28"/>
        </w:rPr>
      </w:pPr>
      <w:r w:rsidRPr="00F862A6">
        <w:rPr>
          <w:rFonts w:ascii="仿宋_GB2312" w:eastAsia="仿宋_GB2312" w:hint="eastAsia"/>
          <w:b/>
          <w:sz w:val="28"/>
        </w:rPr>
        <w:t>三、</w:t>
      </w:r>
      <w:r w:rsidRPr="00F862A6">
        <w:rPr>
          <w:rFonts w:ascii="仿宋_GB2312" w:eastAsia="仿宋_GB2312" w:hint="eastAsia"/>
          <w:b/>
          <w:color w:val="000000" w:themeColor="text1"/>
          <w:sz w:val="28"/>
        </w:rPr>
        <w:t>“互联网</w:t>
      </w:r>
      <w:r w:rsidRPr="00F862A6">
        <w:rPr>
          <w:rFonts w:ascii="仿宋_GB2312" w:eastAsia="仿宋_GB2312"/>
          <w:b/>
          <w:color w:val="000000" w:themeColor="text1"/>
          <w:sz w:val="28"/>
        </w:rPr>
        <w:t>+</w:t>
      </w:r>
      <w:r w:rsidRPr="00F862A6">
        <w:rPr>
          <w:rFonts w:ascii="仿宋_GB2312" w:eastAsia="仿宋_GB2312" w:hint="eastAsia"/>
          <w:b/>
          <w:color w:val="000000" w:themeColor="text1"/>
          <w:sz w:val="28"/>
        </w:rPr>
        <w:t>”和“创意</w:t>
      </w:r>
      <w:r w:rsidRPr="00F862A6">
        <w:rPr>
          <w:rFonts w:ascii="仿宋_GB2312" w:eastAsia="仿宋_GB2312"/>
          <w:b/>
          <w:color w:val="000000" w:themeColor="text1"/>
          <w:sz w:val="28"/>
        </w:rPr>
        <w:t>+</w:t>
      </w:r>
      <w:r w:rsidRPr="00F862A6">
        <w:rPr>
          <w:rFonts w:ascii="仿宋_GB2312" w:eastAsia="仿宋_GB2312" w:hint="eastAsia"/>
          <w:b/>
          <w:color w:val="000000" w:themeColor="text1"/>
          <w:sz w:val="28"/>
        </w:rPr>
        <w:t>”</w:t>
      </w:r>
      <w:r w:rsidR="00226104">
        <w:rPr>
          <w:rFonts w:eastAsia="仿宋_GB2312" w:hint="eastAsia"/>
          <w:b/>
          <w:color w:val="000000" w:themeColor="text1"/>
          <w:sz w:val="28"/>
        </w:rPr>
        <w:t>成为产业发展</w:t>
      </w:r>
      <w:r w:rsidRPr="00F862A6">
        <w:rPr>
          <w:rFonts w:ascii="仿宋_GB2312" w:eastAsia="仿宋_GB2312"/>
          <w:b/>
          <w:color w:val="000000" w:themeColor="text1"/>
          <w:sz w:val="28"/>
        </w:rPr>
        <w:t>新风口</w:t>
      </w:r>
    </w:p>
    <w:p w:rsidR="00E86D8A" w:rsidRDefault="00B068CC" w:rsidP="00E86D8A">
      <w:pPr>
        <w:ind w:firstLineChars="200" w:firstLine="560"/>
        <w:rPr>
          <w:rFonts w:ascii="仿宋_GB2312" w:eastAsia="仿宋_GB2312"/>
          <w:color w:val="000000" w:themeColor="text1"/>
          <w:sz w:val="28"/>
        </w:rPr>
      </w:pPr>
      <w:r w:rsidRPr="00A57245">
        <w:rPr>
          <w:rFonts w:ascii="仿宋_GB2312" w:eastAsia="仿宋_GB2312" w:hint="eastAsia"/>
          <w:color w:val="000000" w:themeColor="text1"/>
          <w:sz w:val="28"/>
        </w:rPr>
        <w:t>2016年</w:t>
      </w:r>
      <w:r>
        <w:rPr>
          <w:rFonts w:ascii="仿宋_GB2312" w:eastAsia="仿宋_GB2312" w:hint="eastAsia"/>
          <w:color w:val="000000" w:themeColor="text1"/>
          <w:sz w:val="28"/>
        </w:rPr>
        <w:t>，</w:t>
      </w:r>
      <w:r w:rsidR="00226104">
        <w:rPr>
          <w:rFonts w:ascii="仿宋_GB2312" w:eastAsia="仿宋_GB2312" w:hint="eastAsia"/>
          <w:color w:val="000000" w:themeColor="text1"/>
          <w:sz w:val="28"/>
        </w:rPr>
        <w:t>所有战略性</w:t>
      </w:r>
      <w:r w:rsidR="00226104">
        <w:rPr>
          <w:rFonts w:ascii="仿宋_GB2312" w:eastAsia="仿宋_GB2312"/>
          <w:color w:val="000000" w:themeColor="text1"/>
          <w:sz w:val="28"/>
        </w:rPr>
        <w:t>新兴产业</w:t>
      </w:r>
      <w:r w:rsidR="00226104">
        <w:rPr>
          <w:rFonts w:ascii="仿宋_GB2312" w:eastAsia="仿宋_GB2312" w:hint="eastAsia"/>
          <w:color w:val="000000" w:themeColor="text1"/>
          <w:sz w:val="28"/>
        </w:rPr>
        <w:t>上市</w:t>
      </w:r>
      <w:r w:rsidR="00226104">
        <w:rPr>
          <w:rFonts w:ascii="仿宋_GB2312" w:eastAsia="仿宋_GB2312"/>
          <w:color w:val="000000" w:themeColor="text1"/>
          <w:sz w:val="28"/>
        </w:rPr>
        <w:t>公司中</w:t>
      </w:r>
      <w:r w:rsidR="00226104">
        <w:rPr>
          <w:rFonts w:ascii="仿宋_GB2312" w:eastAsia="仿宋_GB2312" w:hint="eastAsia"/>
          <w:color w:val="000000" w:themeColor="text1"/>
          <w:sz w:val="28"/>
        </w:rPr>
        <w:t>营收增速最快的企业大量集中在信息技术和</w:t>
      </w:r>
      <w:r w:rsidR="00226104" w:rsidRPr="00A57245">
        <w:rPr>
          <w:rFonts w:ascii="仿宋_GB2312" w:eastAsia="仿宋_GB2312" w:hint="eastAsia"/>
          <w:color w:val="000000" w:themeColor="text1"/>
          <w:sz w:val="28"/>
        </w:rPr>
        <w:t>数字创意领域。营收增速超过100%的</w:t>
      </w:r>
      <w:r>
        <w:rPr>
          <w:rFonts w:ascii="仿宋_GB2312" w:eastAsia="仿宋_GB2312" w:hint="eastAsia"/>
          <w:color w:val="000000" w:themeColor="text1"/>
          <w:sz w:val="28"/>
        </w:rPr>
        <w:t>战略性</w:t>
      </w:r>
      <w:r>
        <w:rPr>
          <w:rFonts w:ascii="仿宋_GB2312" w:eastAsia="仿宋_GB2312"/>
          <w:color w:val="000000" w:themeColor="text1"/>
          <w:sz w:val="28"/>
        </w:rPr>
        <w:t>新兴产业</w:t>
      </w:r>
      <w:r w:rsidR="00226104" w:rsidRPr="00A57245">
        <w:rPr>
          <w:rFonts w:ascii="仿宋_GB2312" w:eastAsia="仿宋_GB2312" w:hint="eastAsia"/>
          <w:color w:val="000000" w:themeColor="text1"/>
          <w:sz w:val="28"/>
        </w:rPr>
        <w:t>上市</w:t>
      </w:r>
      <w:r w:rsidR="00226104" w:rsidRPr="00A57245">
        <w:rPr>
          <w:rFonts w:ascii="仿宋_GB2312" w:eastAsia="仿宋_GB2312"/>
          <w:color w:val="000000" w:themeColor="text1"/>
          <w:sz w:val="28"/>
        </w:rPr>
        <w:t>公司</w:t>
      </w:r>
      <w:r w:rsidR="00226104" w:rsidRPr="00A57245">
        <w:rPr>
          <w:rFonts w:ascii="仿宋_GB2312" w:eastAsia="仿宋_GB2312" w:hint="eastAsia"/>
          <w:color w:val="000000" w:themeColor="text1"/>
          <w:sz w:val="28"/>
        </w:rPr>
        <w:t>企业数为77</w:t>
      </w:r>
      <w:r w:rsidR="00226104">
        <w:rPr>
          <w:rFonts w:ascii="仿宋_GB2312" w:eastAsia="仿宋_GB2312" w:hint="eastAsia"/>
          <w:color w:val="000000" w:themeColor="text1"/>
          <w:sz w:val="28"/>
        </w:rPr>
        <w:t>家，其中信息技术和</w:t>
      </w:r>
      <w:r w:rsidR="00226104" w:rsidRPr="00A57245">
        <w:rPr>
          <w:rFonts w:ascii="仿宋_GB2312" w:eastAsia="仿宋_GB2312" w:hint="eastAsia"/>
          <w:color w:val="000000" w:themeColor="text1"/>
          <w:sz w:val="28"/>
        </w:rPr>
        <w:t>数字创意</w:t>
      </w:r>
      <w:r w:rsidR="00226104">
        <w:rPr>
          <w:rFonts w:ascii="仿宋_GB2312" w:eastAsia="仿宋_GB2312" w:hint="eastAsia"/>
          <w:color w:val="000000" w:themeColor="text1"/>
          <w:sz w:val="28"/>
        </w:rPr>
        <w:t>领域</w:t>
      </w:r>
      <w:r w:rsidR="00226104" w:rsidRPr="00A57245">
        <w:rPr>
          <w:rFonts w:ascii="仿宋_GB2312" w:eastAsia="仿宋_GB2312" w:hint="eastAsia"/>
          <w:color w:val="000000" w:themeColor="text1"/>
          <w:sz w:val="28"/>
        </w:rPr>
        <w:t>上市企业</w:t>
      </w:r>
      <w:r w:rsidR="00226104">
        <w:rPr>
          <w:rFonts w:ascii="仿宋_GB2312" w:eastAsia="仿宋_GB2312" w:hint="eastAsia"/>
          <w:color w:val="000000" w:themeColor="text1"/>
          <w:sz w:val="28"/>
        </w:rPr>
        <w:t>共为38家（见</w:t>
      </w:r>
      <w:r w:rsidR="00226104">
        <w:rPr>
          <w:rFonts w:ascii="仿宋_GB2312" w:eastAsia="仿宋_GB2312"/>
          <w:color w:val="000000" w:themeColor="text1"/>
          <w:sz w:val="28"/>
        </w:rPr>
        <w:t>图</w:t>
      </w:r>
      <w:r w:rsidR="00226104">
        <w:rPr>
          <w:rFonts w:ascii="仿宋_GB2312" w:eastAsia="仿宋_GB2312" w:hint="eastAsia"/>
          <w:color w:val="000000" w:themeColor="text1"/>
          <w:sz w:val="28"/>
        </w:rPr>
        <w:t>4）</w:t>
      </w:r>
      <w:r w:rsidR="00226104">
        <w:rPr>
          <w:rFonts w:ascii="仿宋_GB2312" w:eastAsia="仿宋_GB2312"/>
          <w:color w:val="000000" w:themeColor="text1"/>
          <w:sz w:val="28"/>
        </w:rPr>
        <w:t>，</w:t>
      </w:r>
      <w:r w:rsidR="00226104">
        <w:rPr>
          <w:rFonts w:ascii="仿宋_GB2312" w:eastAsia="仿宋_GB2312" w:hint="eastAsia"/>
          <w:color w:val="000000" w:themeColor="text1"/>
          <w:sz w:val="28"/>
        </w:rPr>
        <w:t>占据半壁江山</w:t>
      </w:r>
      <w:r w:rsidR="00226104" w:rsidRPr="00A57245">
        <w:rPr>
          <w:rFonts w:ascii="仿宋_GB2312" w:eastAsia="仿宋_GB2312" w:hint="eastAsia"/>
          <w:color w:val="000000" w:themeColor="text1"/>
          <w:sz w:val="28"/>
        </w:rPr>
        <w:t>。营收增速超过50%的</w:t>
      </w:r>
      <w:r>
        <w:rPr>
          <w:rFonts w:ascii="仿宋_GB2312" w:eastAsia="仿宋_GB2312" w:hint="eastAsia"/>
          <w:color w:val="000000" w:themeColor="text1"/>
          <w:sz w:val="28"/>
        </w:rPr>
        <w:t>战略性</w:t>
      </w:r>
      <w:r>
        <w:rPr>
          <w:rFonts w:ascii="仿宋_GB2312" w:eastAsia="仿宋_GB2312"/>
          <w:color w:val="000000" w:themeColor="text1"/>
          <w:sz w:val="28"/>
        </w:rPr>
        <w:t>新兴产业</w:t>
      </w:r>
      <w:r w:rsidR="00226104">
        <w:rPr>
          <w:rFonts w:ascii="仿宋_GB2312" w:eastAsia="仿宋_GB2312" w:hint="eastAsia"/>
          <w:color w:val="000000" w:themeColor="text1"/>
          <w:sz w:val="28"/>
        </w:rPr>
        <w:t>上市</w:t>
      </w:r>
      <w:r w:rsidR="00226104" w:rsidRPr="00A57245">
        <w:rPr>
          <w:rFonts w:ascii="仿宋_GB2312" w:eastAsia="仿宋_GB2312" w:hint="eastAsia"/>
          <w:color w:val="000000" w:themeColor="text1"/>
          <w:sz w:val="28"/>
        </w:rPr>
        <w:t>企业有217家，其中新一代信息技术和数字创意领域占比达53.5%</w:t>
      </w:r>
      <w:r w:rsidR="00226104">
        <w:rPr>
          <w:rFonts w:ascii="仿宋_GB2312" w:eastAsia="仿宋_GB2312" w:hint="eastAsia"/>
          <w:color w:val="000000" w:themeColor="text1"/>
          <w:sz w:val="28"/>
        </w:rPr>
        <w:t>（见</w:t>
      </w:r>
      <w:r w:rsidR="00226104">
        <w:rPr>
          <w:rFonts w:ascii="仿宋_GB2312" w:eastAsia="仿宋_GB2312"/>
          <w:color w:val="000000" w:themeColor="text1"/>
          <w:sz w:val="28"/>
        </w:rPr>
        <w:t>图</w:t>
      </w:r>
      <w:r w:rsidR="00226104">
        <w:rPr>
          <w:rFonts w:ascii="仿宋_GB2312" w:eastAsia="仿宋_GB2312" w:hint="eastAsia"/>
          <w:color w:val="000000" w:themeColor="text1"/>
          <w:sz w:val="28"/>
        </w:rPr>
        <w:t>5）。</w:t>
      </w:r>
      <w:r>
        <w:rPr>
          <w:rFonts w:ascii="仿宋_GB2312" w:eastAsia="仿宋_GB2312" w:hint="eastAsia"/>
          <w:color w:val="000000" w:themeColor="text1"/>
          <w:sz w:val="28"/>
        </w:rPr>
        <w:t>“互联网</w:t>
      </w:r>
      <w:r>
        <w:rPr>
          <w:rFonts w:ascii="仿宋_GB2312" w:eastAsia="仿宋_GB2312"/>
          <w:color w:val="000000" w:themeColor="text1"/>
          <w:sz w:val="28"/>
        </w:rPr>
        <w:t>+</w:t>
      </w:r>
      <w:r>
        <w:rPr>
          <w:rFonts w:ascii="仿宋_GB2312" w:eastAsia="仿宋_GB2312" w:hint="eastAsia"/>
          <w:color w:val="000000" w:themeColor="text1"/>
          <w:sz w:val="28"/>
        </w:rPr>
        <w:t>”和“创意</w:t>
      </w:r>
      <w:r>
        <w:rPr>
          <w:rFonts w:ascii="仿宋_GB2312" w:eastAsia="仿宋_GB2312"/>
          <w:color w:val="000000" w:themeColor="text1"/>
          <w:sz w:val="28"/>
        </w:rPr>
        <w:t>+</w:t>
      </w:r>
      <w:r>
        <w:rPr>
          <w:rFonts w:ascii="仿宋_GB2312" w:eastAsia="仿宋_GB2312" w:hint="eastAsia"/>
          <w:color w:val="000000" w:themeColor="text1"/>
          <w:sz w:val="28"/>
        </w:rPr>
        <w:t>”给新兴</w:t>
      </w:r>
      <w:r>
        <w:rPr>
          <w:rFonts w:ascii="仿宋_GB2312" w:eastAsia="仿宋_GB2312"/>
          <w:color w:val="000000" w:themeColor="text1"/>
          <w:sz w:val="28"/>
        </w:rPr>
        <w:t>产业发展</w:t>
      </w:r>
      <w:r>
        <w:rPr>
          <w:rFonts w:ascii="仿宋_GB2312" w:eastAsia="仿宋_GB2312" w:hint="eastAsia"/>
          <w:color w:val="000000" w:themeColor="text1"/>
          <w:sz w:val="28"/>
        </w:rPr>
        <w:t>带来</w:t>
      </w:r>
      <w:r>
        <w:rPr>
          <w:rFonts w:ascii="仿宋_GB2312" w:eastAsia="仿宋_GB2312"/>
          <w:color w:val="000000" w:themeColor="text1"/>
          <w:sz w:val="28"/>
        </w:rPr>
        <w:t>了巨大机遇，</w:t>
      </w:r>
      <w:r>
        <w:rPr>
          <w:rFonts w:ascii="仿宋_GB2312" w:eastAsia="仿宋_GB2312" w:hint="eastAsia"/>
          <w:color w:val="000000" w:themeColor="text1"/>
          <w:sz w:val="28"/>
        </w:rPr>
        <w:t>打开</w:t>
      </w:r>
      <w:r>
        <w:rPr>
          <w:rFonts w:ascii="仿宋_GB2312" w:eastAsia="仿宋_GB2312"/>
          <w:color w:val="000000" w:themeColor="text1"/>
          <w:sz w:val="28"/>
        </w:rPr>
        <w:t>了产业发展</w:t>
      </w:r>
      <w:r>
        <w:rPr>
          <w:rFonts w:ascii="仿宋_GB2312" w:eastAsia="仿宋_GB2312" w:hint="eastAsia"/>
          <w:color w:val="000000" w:themeColor="text1"/>
          <w:sz w:val="28"/>
        </w:rPr>
        <w:t>新风口</w:t>
      </w:r>
      <w:r>
        <w:rPr>
          <w:rFonts w:ascii="仿宋_GB2312" w:eastAsia="仿宋_GB2312"/>
          <w:color w:val="000000" w:themeColor="text1"/>
          <w:sz w:val="28"/>
        </w:rPr>
        <w:t>。</w:t>
      </w:r>
      <w:r w:rsidR="00E86D8A">
        <w:rPr>
          <w:rFonts w:ascii="仿宋_GB2312" w:eastAsia="仿宋_GB2312"/>
          <w:color w:val="000000" w:themeColor="text1"/>
          <w:sz w:val="28"/>
        </w:rPr>
        <w:t>如</w:t>
      </w:r>
      <w:r w:rsidR="00E86D8A" w:rsidRPr="00A57245">
        <w:rPr>
          <w:rFonts w:ascii="仿宋_GB2312" w:eastAsia="仿宋_GB2312" w:hint="eastAsia"/>
          <w:color w:val="000000" w:themeColor="text1"/>
          <w:sz w:val="28"/>
        </w:rPr>
        <w:t>数字内容领域的三五互联和任子行2016年营收增速</w:t>
      </w:r>
      <w:r w:rsidR="00E86D8A">
        <w:rPr>
          <w:rFonts w:ascii="仿宋_GB2312" w:eastAsia="仿宋_GB2312" w:hint="eastAsia"/>
          <w:color w:val="000000" w:themeColor="text1"/>
          <w:sz w:val="28"/>
        </w:rPr>
        <w:t>均</w:t>
      </w:r>
      <w:r w:rsidR="00E86D8A" w:rsidRPr="00A57245">
        <w:rPr>
          <w:rFonts w:ascii="仿宋_GB2312" w:eastAsia="仿宋_GB2312" w:hint="eastAsia"/>
          <w:color w:val="000000" w:themeColor="text1"/>
          <w:sz w:val="28"/>
        </w:rPr>
        <w:t>超过两倍，</w:t>
      </w:r>
      <w:r w:rsidR="00E86D8A">
        <w:rPr>
          <w:rFonts w:ascii="仿宋_GB2312" w:eastAsia="仿宋_GB2312" w:hint="eastAsia"/>
          <w:color w:val="000000" w:themeColor="text1"/>
          <w:sz w:val="28"/>
        </w:rPr>
        <w:t>二者同</w:t>
      </w:r>
      <w:r w:rsidR="00E86D8A">
        <w:rPr>
          <w:rFonts w:ascii="仿宋_GB2312" w:eastAsia="仿宋_GB2312"/>
          <w:color w:val="000000" w:themeColor="text1"/>
          <w:sz w:val="28"/>
        </w:rPr>
        <w:t>为</w:t>
      </w:r>
      <w:r w:rsidR="00E86D8A">
        <w:rPr>
          <w:rFonts w:ascii="仿宋_GB2312" w:eastAsia="仿宋_GB2312" w:hint="eastAsia"/>
          <w:color w:val="000000" w:themeColor="text1"/>
          <w:sz w:val="28"/>
        </w:rPr>
        <w:t>游戏公司，</w:t>
      </w:r>
      <w:r w:rsidR="00E86D8A" w:rsidRPr="00736291">
        <w:rPr>
          <w:rFonts w:ascii="仿宋_GB2312" w:eastAsia="仿宋_GB2312" w:hint="eastAsia"/>
          <w:color w:val="000000" w:themeColor="text1"/>
          <w:sz w:val="28"/>
        </w:rPr>
        <w:t>受益于文化产业大发展，网络游戏成长空间</w:t>
      </w:r>
      <w:r w:rsidR="00E86D8A">
        <w:rPr>
          <w:rFonts w:ascii="仿宋_GB2312" w:eastAsia="仿宋_GB2312" w:hint="eastAsia"/>
          <w:color w:val="000000" w:themeColor="text1"/>
          <w:sz w:val="28"/>
        </w:rPr>
        <w:t>巨</w:t>
      </w:r>
      <w:r w:rsidR="00E86D8A" w:rsidRPr="00736291">
        <w:rPr>
          <w:rFonts w:ascii="仿宋_GB2312" w:eastAsia="仿宋_GB2312" w:hint="eastAsia"/>
          <w:color w:val="000000" w:themeColor="text1"/>
          <w:sz w:val="28"/>
        </w:rPr>
        <w:t>大</w:t>
      </w:r>
      <w:r w:rsidR="00E86D8A">
        <w:rPr>
          <w:rFonts w:ascii="仿宋_GB2312" w:eastAsia="仿宋_GB2312" w:hint="eastAsia"/>
          <w:color w:val="000000" w:themeColor="text1"/>
          <w:sz w:val="28"/>
        </w:rPr>
        <w:t>。</w:t>
      </w:r>
      <w:r w:rsidR="00E86D8A" w:rsidRPr="00A57245">
        <w:rPr>
          <w:rFonts w:ascii="仿宋_GB2312" w:eastAsia="仿宋_GB2312" w:hint="eastAsia"/>
          <w:color w:val="000000" w:themeColor="text1"/>
          <w:sz w:val="28"/>
        </w:rPr>
        <w:t>新一代信息技术领域的明家科技</w:t>
      </w:r>
      <w:r w:rsidR="00E86D8A">
        <w:rPr>
          <w:rFonts w:ascii="仿宋_GB2312" w:eastAsia="仿宋_GB2312" w:hint="eastAsia"/>
          <w:color w:val="000000" w:themeColor="text1"/>
          <w:sz w:val="28"/>
        </w:rPr>
        <w:t>专注于电子</w:t>
      </w:r>
      <w:r w:rsidR="00E86D8A">
        <w:rPr>
          <w:rFonts w:ascii="仿宋_GB2312" w:eastAsia="仿宋_GB2312"/>
          <w:color w:val="000000" w:themeColor="text1"/>
          <w:sz w:val="28"/>
        </w:rPr>
        <w:t>基础</w:t>
      </w:r>
      <w:r w:rsidR="00E86D8A">
        <w:rPr>
          <w:rFonts w:ascii="仿宋_GB2312" w:eastAsia="仿宋_GB2312" w:hint="eastAsia"/>
          <w:color w:val="000000" w:themeColor="text1"/>
          <w:sz w:val="28"/>
        </w:rPr>
        <w:t>中</w:t>
      </w:r>
      <w:r w:rsidR="00E86D8A">
        <w:rPr>
          <w:rFonts w:ascii="仿宋_GB2312" w:eastAsia="仿宋_GB2312"/>
          <w:color w:val="000000" w:themeColor="text1"/>
          <w:sz w:val="28"/>
        </w:rPr>
        <w:t>的</w:t>
      </w:r>
      <w:r w:rsidR="00E86D8A">
        <w:rPr>
          <w:rFonts w:ascii="仿宋_GB2312" w:eastAsia="仿宋_GB2312" w:hint="eastAsia"/>
          <w:color w:val="000000" w:themeColor="text1"/>
          <w:sz w:val="28"/>
        </w:rPr>
        <w:t>电涌保护业务</w:t>
      </w:r>
      <w:r w:rsidR="00E86D8A">
        <w:rPr>
          <w:rFonts w:ascii="仿宋_GB2312" w:eastAsia="仿宋_GB2312"/>
          <w:color w:val="000000" w:themeColor="text1"/>
          <w:sz w:val="28"/>
        </w:rPr>
        <w:t>，</w:t>
      </w:r>
      <w:r w:rsidR="00E86D8A" w:rsidRPr="009753FF">
        <w:rPr>
          <w:rFonts w:ascii="仿宋_GB2312" w:eastAsia="仿宋_GB2312" w:hint="eastAsia"/>
          <w:color w:val="000000" w:themeColor="text1"/>
          <w:sz w:val="28"/>
        </w:rPr>
        <w:t>2016年</w:t>
      </w:r>
      <w:r w:rsidR="00E86D8A">
        <w:rPr>
          <w:rFonts w:ascii="仿宋_GB2312" w:eastAsia="仿宋_GB2312" w:hint="eastAsia"/>
          <w:color w:val="000000" w:themeColor="text1"/>
          <w:sz w:val="28"/>
        </w:rPr>
        <w:t>其</w:t>
      </w:r>
      <w:r w:rsidR="00E86D8A" w:rsidRPr="009753FF">
        <w:rPr>
          <w:rFonts w:ascii="仿宋_GB2312" w:eastAsia="仿宋_GB2312" w:hint="eastAsia"/>
          <w:color w:val="000000" w:themeColor="text1"/>
          <w:sz w:val="28"/>
        </w:rPr>
        <w:t>营收</w:t>
      </w:r>
      <w:r w:rsidR="00E86D8A">
        <w:rPr>
          <w:rFonts w:ascii="仿宋_GB2312" w:eastAsia="仿宋_GB2312" w:hint="eastAsia"/>
          <w:color w:val="000000" w:themeColor="text1"/>
          <w:sz w:val="28"/>
        </w:rPr>
        <w:t>为</w:t>
      </w:r>
      <w:r w:rsidR="00E86D8A" w:rsidRPr="009753FF">
        <w:rPr>
          <w:rFonts w:ascii="仿宋_GB2312" w:eastAsia="仿宋_GB2312" w:hint="eastAsia"/>
          <w:color w:val="000000" w:themeColor="text1"/>
          <w:sz w:val="28"/>
        </w:rPr>
        <w:t>28.24</w:t>
      </w:r>
      <w:r w:rsidR="00E86D8A" w:rsidRPr="009753FF">
        <w:rPr>
          <w:rFonts w:ascii="仿宋_GB2312" w:eastAsia="仿宋_GB2312" w:hint="eastAsia"/>
          <w:color w:val="000000" w:themeColor="text1"/>
          <w:sz w:val="28"/>
        </w:rPr>
        <w:lastRenderedPageBreak/>
        <w:t>亿元，同比增长213%</w:t>
      </w:r>
      <w:r w:rsidR="00E86D8A">
        <w:rPr>
          <w:rFonts w:ascii="仿宋_GB2312" w:eastAsia="仿宋_GB2312" w:hint="eastAsia"/>
          <w:color w:val="000000" w:themeColor="text1"/>
          <w:sz w:val="28"/>
        </w:rPr>
        <w:t>，</w:t>
      </w:r>
      <w:r w:rsidR="00E86D8A" w:rsidRPr="009753FF">
        <w:rPr>
          <w:rFonts w:ascii="仿宋_GB2312" w:eastAsia="仿宋_GB2312" w:hint="eastAsia"/>
          <w:color w:val="000000" w:themeColor="text1"/>
          <w:sz w:val="28"/>
        </w:rPr>
        <w:t>净利1.83亿元，同比增长231%</w:t>
      </w:r>
      <w:r w:rsidR="00E86D8A">
        <w:rPr>
          <w:rFonts w:ascii="仿宋_GB2312" w:eastAsia="仿宋_GB2312" w:hint="eastAsia"/>
          <w:color w:val="000000" w:themeColor="text1"/>
          <w:sz w:val="28"/>
        </w:rPr>
        <w:t>。</w:t>
      </w:r>
      <w:r w:rsidR="00E86D8A" w:rsidRPr="00A57245">
        <w:rPr>
          <w:rFonts w:ascii="仿宋_GB2312" w:eastAsia="仿宋_GB2312" w:hint="eastAsia"/>
          <w:color w:val="000000" w:themeColor="text1"/>
          <w:sz w:val="28"/>
        </w:rPr>
        <w:t>光环新网</w:t>
      </w:r>
      <w:r w:rsidR="00E86D8A" w:rsidRPr="009753FF">
        <w:rPr>
          <w:rFonts w:ascii="仿宋_GB2312" w:eastAsia="仿宋_GB2312" w:hint="eastAsia"/>
          <w:color w:val="000000" w:themeColor="text1"/>
          <w:sz w:val="28"/>
        </w:rPr>
        <w:t>2016年营收增长近三倍</w:t>
      </w:r>
      <w:r w:rsidR="00E86D8A">
        <w:rPr>
          <w:rFonts w:ascii="仿宋_GB2312" w:eastAsia="仿宋_GB2312" w:hint="eastAsia"/>
          <w:color w:val="000000" w:themeColor="text1"/>
          <w:sz w:val="28"/>
        </w:rPr>
        <w:t>，</w:t>
      </w:r>
      <w:r w:rsidR="00E86D8A" w:rsidRPr="009753FF">
        <w:rPr>
          <w:rFonts w:ascii="仿宋_GB2312" w:eastAsia="仿宋_GB2312" w:hint="eastAsia"/>
          <w:color w:val="000000" w:themeColor="text1"/>
          <w:sz w:val="28"/>
        </w:rPr>
        <w:t>云计算服务收入占比过半</w:t>
      </w:r>
      <w:r w:rsidR="00E86D8A" w:rsidRPr="00A57245">
        <w:rPr>
          <w:rFonts w:ascii="仿宋_GB2312" w:eastAsia="仿宋_GB2312" w:hint="eastAsia"/>
          <w:color w:val="000000" w:themeColor="text1"/>
          <w:sz w:val="28"/>
        </w:rPr>
        <w:t>。</w:t>
      </w:r>
    </w:p>
    <w:p w:rsidR="00E86D8A" w:rsidRDefault="00E86D8A" w:rsidP="00E86D8A">
      <w:pPr>
        <w:jc w:val="center"/>
        <w:rPr>
          <w:rFonts w:ascii="仿宋_GB2312" w:eastAsia="仿宋_GB2312"/>
          <w:color w:val="000000" w:themeColor="text1"/>
          <w:sz w:val="28"/>
        </w:rPr>
      </w:pPr>
      <w:r>
        <w:rPr>
          <w:noProof/>
        </w:rPr>
        <w:drawing>
          <wp:inline distT="0" distB="0" distL="0" distR="0" wp14:anchorId="4DFF8167" wp14:editId="5E142D4C">
            <wp:extent cx="4572000" cy="1943100"/>
            <wp:effectExtent l="0" t="0" r="0" b="0"/>
            <wp:docPr id="10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86D8A" w:rsidRPr="00131613" w:rsidRDefault="00E86D8A" w:rsidP="00E86D8A">
      <w:pPr>
        <w:ind w:firstLineChars="200" w:firstLine="400"/>
        <w:jc w:val="center"/>
        <w:rPr>
          <w:rFonts w:ascii="仿宋_GB2312" w:eastAsia="仿宋_GB2312"/>
          <w:color w:val="000000" w:themeColor="text1"/>
          <w:sz w:val="24"/>
        </w:rPr>
      </w:pPr>
      <w:r w:rsidRPr="00131613">
        <w:rPr>
          <w:rFonts w:asciiTheme="minorEastAsia" w:hAnsiTheme="minorEastAsia" w:hint="eastAsia"/>
          <w:color w:val="000000" w:themeColor="text1"/>
          <w:sz w:val="20"/>
        </w:rPr>
        <w:t>图</w:t>
      </w:r>
      <w:r>
        <w:rPr>
          <w:rFonts w:asciiTheme="minorEastAsia" w:hAnsiTheme="minorEastAsia" w:hint="eastAsia"/>
          <w:color w:val="000000" w:themeColor="text1"/>
          <w:sz w:val="20"/>
        </w:rPr>
        <w:t>4</w:t>
      </w:r>
      <w:r>
        <w:rPr>
          <w:rFonts w:asciiTheme="minorEastAsia" w:hAnsiTheme="minorEastAsia"/>
          <w:color w:val="000000" w:themeColor="text1"/>
          <w:sz w:val="20"/>
        </w:rPr>
        <w:t xml:space="preserve"> 2016</w:t>
      </w:r>
      <w:r>
        <w:rPr>
          <w:rFonts w:asciiTheme="minorEastAsia" w:hAnsiTheme="minorEastAsia" w:hint="eastAsia"/>
          <w:color w:val="000000" w:themeColor="text1"/>
          <w:sz w:val="20"/>
        </w:rPr>
        <w:t>年</w:t>
      </w:r>
      <w:r>
        <w:rPr>
          <w:rFonts w:asciiTheme="minorEastAsia" w:hAnsiTheme="minorEastAsia"/>
          <w:color w:val="000000" w:themeColor="text1"/>
          <w:sz w:val="20"/>
        </w:rPr>
        <w:t>营收</w:t>
      </w:r>
      <w:r w:rsidRPr="00131613">
        <w:rPr>
          <w:rFonts w:asciiTheme="minorEastAsia" w:hAnsiTheme="minorEastAsia" w:hint="eastAsia"/>
          <w:color w:val="000000" w:themeColor="text1"/>
          <w:sz w:val="20"/>
        </w:rPr>
        <w:t>增速</w:t>
      </w:r>
      <w:r w:rsidRPr="00131613">
        <w:rPr>
          <w:rFonts w:asciiTheme="minorEastAsia" w:hAnsiTheme="minorEastAsia"/>
          <w:color w:val="000000" w:themeColor="text1"/>
          <w:sz w:val="20"/>
        </w:rPr>
        <w:t>超过</w:t>
      </w:r>
      <w:r w:rsidRPr="00131613">
        <w:rPr>
          <w:rFonts w:asciiTheme="minorEastAsia" w:hAnsiTheme="minorEastAsia" w:hint="eastAsia"/>
          <w:color w:val="000000" w:themeColor="text1"/>
          <w:sz w:val="20"/>
        </w:rPr>
        <w:t>100</w:t>
      </w:r>
      <w:r w:rsidRPr="00131613">
        <w:rPr>
          <w:rFonts w:asciiTheme="minorEastAsia" w:hAnsiTheme="minorEastAsia"/>
          <w:color w:val="000000" w:themeColor="text1"/>
          <w:sz w:val="20"/>
        </w:rPr>
        <w:t>%的</w:t>
      </w:r>
      <w:r>
        <w:rPr>
          <w:rFonts w:asciiTheme="minorEastAsia" w:hAnsiTheme="minorEastAsia" w:hint="eastAsia"/>
          <w:color w:val="000000" w:themeColor="text1"/>
          <w:sz w:val="20"/>
        </w:rPr>
        <w:t>战略性新兴</w:t>
      </w:r>
      <w:r>
        <w:rPr>
          <w:rFonts w:asciiTheme="minorEastAsia" w:hAnsiTheme="minorEastAsia"/>
          <w:color w:val="000000" w:themeColor="text1"/>
          <w:sz w:val="20"/>
        </w:rPr>
        <w:t>产业</w:t>
      </w:r>
      <w:r>
        <w:rPr>
          <w:rFonts w:asciiTheme="minorEastAsia" w:hAnsiTheme="minorEastAsia" w:hint="eastAsia"/>
          <w:color w:val="000000" w:themeColor="text1"/>
          <w:sz w:val="20"/>
        </w:rPr>
        <w:t>领域</w:t>
      </w:r>
      <w:r w:rsidRPr="00131613">
        <w:rPr>
          <w:rFonts w:asciiTheme="minorEastAsia" w:hAnsiTheme="minorEastAsia"/>
          <w:color w:val="000000" w:themeColor="text1"/>
          <w:sz w:val="20"/>
        </w:rPr>
        <w:t>企业数</w:t>
      </w:r>
      <w:r w:rsidRPr="00131613">
        <w:rPr>
          <w:rFonts w:asciiTheme="minorEastAsia" w:hAnsiTheme="minorEastAsia" w:hint="eastAsia"/>
          <w:color w:val="000000" w:themeColor="text1"/>
          <w:sz w:val="20"/>
        </w:rPr>
        <w:t>量</w:t>
      </w:r>
    </w:p>
    <w:p w:rsidR="00E86D8A" w:rsidRDefault="00E86D8A" w:rsidP="00E86D8A">
      <w:pPr>
        <w:jc w:val="center"/>
        <w:rPr>
          <w:rFonts w:ascii="仿宋_GB2312" w:eastAsia="仿宋_GB2312"/>
          <w:color w:val="000000" w:themeColor="text1"/>
          <w:sz w:val="28"/>
        </w:rPr>
      </w:pPr>
      <w:r>
        <w:rPr>
          <w:noProof/>
        </w:rPr>
        <w:drawing>
          <wp:inline distT="0" distB="0" distL="0" distR="0" wp14:anchorId="471AB77E" wp14:editId="66FE326A">
            <wp:extent cx="4572000" cy="2019300"/>
            <wp:effectExtent l="0" t="0" r="0" b="0"/>
            <wp:docPr id="9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86D8A" w:rsidRPr="00E60A30" w:rsidRDefault="00E86D8A" w:rsidP="00E86D8A">
      <w:pPr>
        <w:ind w:firstLineChars="200" w:firstLine="400"/>
        <w:jc w:val="center"/>
        <w:rPr>
          <w:rFonts w:asciiTheme="minorEastAsia" w:hAnsiTheme="minorEastAsia"/>
          <w:color w:val="000000" w:themeColor="text1"/>
        </w:rPr>
      </w:pPr>
      <w:r w:rsidRPr="00131613">
        <w:rPr>
          <w:rFonts w:asciiTheme="minorEastAsia" w:hAnsiTheme="minorEastAsia" w:hint="eastAsia"/>
          <w:color w:val="000000" w:themeColor="text1"/>
          <w:sz w:val="20"/>
        </w:rPr>
        <w:t>图</w:t>
      </w:r>
      <w:r>
        <w:rPr>
          <w:rFonts w:asciiTheme="minorEastAsia" w:hAnsiTheme="minorEastAsia" w:hint="eastAsia"/>
          <w:color w:val="000000" w:themeColor="text1"/>
          <w:sz w:val="20"/>
        </w:rPr>
        <w:t>5</w:t>
      </w:r>
      <w:r>
        <w:rPr>
          <w:rFonts w:asciiTheme="minorEastAsia" w:hAnsiTheme="minorEastAsia"/>
          <w:color w:val="000000" w:themeColor="text1"/>
          <w:sz w:val="20"/>
        </w:rPr>
        <w:t xml:space="preserve"> 2016</w:t>
      </w:r>
      <w:r>
        <w:rPr>
          <w:rFonts w:asciiTheme="minorEastAsia" w:hAnsiTheme="minorEastAsia" w:hint="eastAsia"/>
          <w:color w:val="000000" w:themeColor="text1"/>
          <w:sz w:val="20"/>
        </w:rPr>
        <w:t>年</w:t>
      </w:r>
      <w:r>
        <w:rPr>
          <w:rFonts w:asciiTheme="minorEastAsia" w:hAnsiTheme="minorEastAsia"/>
          <w:color w:val="000000" w:themeColor="text1"/>
          <w:sz w:val="20"/>
        </w:rPr>
        <w:t>营收</w:t>
      </w:r>
      <w:r w:rsidRPr="00131613">
        <w:rPr>
          <w:rFonts w:asciiTheme="minorEastAsia" w:hAnsiTheme="minorEastAsia" w:hint="eastAsia"/>
          <w:color w:val="000000" w:themeColor="text1"/>
          <w:sz w:val="20"/>
        </w:rPr>
        <w:t>增速</w:t>
      </w:r>
      <w:r w:rsidRPr="00131613">
        <w:rPr>
          <w:rFonts w:asciiTheme="minorEastAsia" w:hAnsiTheme="minorEastAsia"/>
          <w:color w:val="000000" w:themeColor="text1"/>
          <w:sz w:val="20"/>
        </w:rPr>
        <w:t>超过</w:t>
      </w:r>
      <w:r>
        <w:rPr>
          <w:rFonts w:asciiTheme="minorEastAsia" w:hAnsiTheme="minorEastAsia" w:hint="eastAsia"/>
          <w:color w:val="000000" w:themeColor="text1"/>
          <w:sz w:val="20"/>
        </w:rPr>
        <w:t>5</w:t>
      </w:r>
      <w:r w:rsidRPr="00131613">
        <w:rPr>
          <w:rFonts w:asciiTheme="minorEastAsia" w:hAnsiTheme="minorEastAsia" w:hint="eastAsia"/>
          <w:color w:val="000000" w:themeColor="text1"/>
          <w:sz w:val="20"/>
        </w:rPr>
        <w:t>0</w:t>
      </w:r>
      <w:r w:rsidRPr="00131613">
        <w:rPr>
          <w:rFonts w:asciiTheme="minorEastAsia" w:hAnsiTheme="minorEastAsia"/>
          <w:color w:val="000000" w:themeColor="text1"/>
          <w:sz w:val="20"/>
        </w:rPr>
        <w:t>%的</w:t>
      </w:r>
      <w:r>
        <w:rPr>
          <w:rFonts w:asciiTheme="minorEastAsia" w:hAnsiTheme="minorEastAsia" w:hint="eastAsia"/>
          <w:color w:val="000000" w:themeColor="text1"/>
          <w:sz w:val="20"/>
        </w:rPr>
        <w:t>战略性新兴</w:t>
      </w:r>
      <w:r>
        <w:rPr>
          <w:rFonts w:asciiTheme="minorEastAsia" w:hAnsiTheme="minorEastAsia"/>
          <w:color w:val="000000" w:themeColor="text1"/>
          <w:sz w:val="20"/>
        </w:rPr>
        <w:t>产业</w:t>
      </w:r>
      <w:r>
        <w:rPr>
          <w:rFonts w:asciiTheme="minorEastAsia" w:hAnsiTheme="minorEastAsia" w:hint="eastAsia"/>
          <w:color w:val="000000" w:themeColor="text1"/>
          <w:sz w:val="20"/>
        </w:rPr>
        <w:t>领域</w:t>
      </w:r>
      <w:r w:rsidRPr="00131613">
        <w:rPr>
          <w:rFonts w:asciiTheme="minorEastAsia" w:hAnsiTheme="minorEastAsia"/>
          <w:color w:val="000000" w:themeColor="text1"/>
          <w:sz w:val="20"/>
        </w:rPr>
        <w:t>企业数</w:t>
      </w:r>
      <w:r w:rsidRPr="00131613">
        <w:rPr>
          <w:rFonts w:asciiTheme="minorEastAsia" w:hAnsiTheme="minorEastAsia" w:hint="eastAsia"/>
          <w:color w:val="000000" w:themeColor="text1"/>
          <w:sz w:val="20"/>
        </w:rPr>
        <w:t>量</w:t>
      </w:r>
    </w:p>
    <w:p w:rsidR="000B11E2" w:rsidRDefault="009412BB" w:rsidP="00E455E4">
      <w:pPr>
        <w:ind w:firstLineChars="200" w:firstLine="562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四</w:t>
      </w:r>
      <w:r w:rsidR="000B11E2" w:rsidRPr="00D960CF">
        <w:rPr>
          <w:rFonts w:ascii="仿宋_GB2312" w:eastAsia="仿宋_GB2312" w:hint="eastAsia"/>
          <w:b/>
          <w:sz w:val="28"/>
        </w:rPr>
        <w:t>、区域</w:t>
      </w:r>
      <w:r w:rsidR="00E455E4">
        <w:rPr>
          <w:rFonts w:ascii="仿宋_GB2312" w:eastAsia="仿宋_GB2312" w:hint="eastAsia"/>
          <w:b/>
          <w:sz w:val="28"/>
        </w:rPr>
        <w:t>走势出现</w:t>
      </w:r>
      <w:r w:rsidR="000B11E2" w:rsidRPr="00D960CF">
        <w:rPr>
          <w:rFonts w:ascii="仿宋_GB2312" w:eastAsia="仿宋_GB2312" w:hint="eastAsia"/>
          <w:b/>
          <w:sz w:val="28"/>
        </w:rPr>
        <w:t>分化</w:t>
      </w:r>
    </w:p>
    <w:p w:rsidR="009C24B9" w:rsidRPr="00C735FE" w:rsidRDefault="009C24B9" w:rsidP="005A2FD8">
      <w:pPr>
        <w:ind w:firstLineChars="200" w:firstLine="560"/>
        <w:rPr>
          <w:rFonts w:ascii="仿宋_GB2312" w:eastAsia="仿宋_GB2312"/>
          <w:sz w:val="28"/>
        </w:rPr>
      </w:pPr>
      <w:r w:rsidRPr="00C735FE">
        <w:rPr>
          <w:rFonts w:ascii="仿宋_GB2312" w:eastAsia="仿宋_GB2312" w:hint="eastAsia"/>
          <w:sz w:val="28"/>
        </w:rPr>
        <w:t>2016年，</w:t>
      </w:r>
      <w:r w:rsidR="00D0557B">
        <w:rPr>
          <w:rFonts w:ascii="仿宋_GB2312" w:eastAsia="仿宋_GB2312" w:hint="eastAsia"/>
          <w:sz w:val="28"/>
        </w:rPr>
        <w:t>中、东部地区战略性新兴</w:t>
      </w:r>
      <w:r w:rsidR="00D0557B">
        <w:rPr>
          <w:rFonts w:ascii="仿宋_GB2312" w:eastAsia="仿宋_GB2312"/>
          <w:sz w:val="28"/>
        </w:rPr>
        <w:t>产业</w:t>
      </w:r>
      <w:r w:rsidR="00D0557B">
        <w:rPr>
          <w:rFonts w:ascii="仿宋_GB2312" w:eastAsia="仿宋_GB2312" w:hint="eastAsia"/>
          <w:sz w:val="28"/>
        </w:rPr>
        <w:t>上市公司营收增速持续攀升，位居四大区域前两位。西部地区连续下滑，仍维持两位数的增长</w:t>
      </w:r>
      <w:r w:rsidR="00D0557B" w:rsidRPr="00C735FE">
        <w:rPr>
          <w:rFonts w:ascii="仿宋_GB2312" w:eastAsia="仿宋_GB2312" w:hint="eastAsia"/>
          <w:sz w:val="28"/>
        </w:rPr>
        <w:t>。</w:t>
      </w:r>
      <w:r w:rsidR="00D0557B">
        <w:rPr>
          <w:rFonts w:ascii="仿宋_GB2312" w:eastAsia="仿宋_GB2312" w:hint="eastAsia"/>
          <w:sz w:val="28"/>
        </w:rPr>
        <w:t>东北地区出现快速反弹，但增速仍然垫底。具体来看，</w:t>
      </w:r>
      <w:r w:rsidRPr="009C24B9">
        <w:rPr>
          <w:rFonts w:ascii="仿宋_GB2312" w:eastAsia="仿宋_GB2312" w:hint="eastAsia"/>
          <w:b/>
          <w:sz w:val="28"/>
        </w:rPr>
        <w:t>中部地区</w:t>
      </w:r>
      <w:r w:rsidRPr="00C735FE">
        <w:rPr>
          <w:rFonts w:ascii="仿宋_GB2312" w:eastAsia="仿宋_GB2312" w:hint="eastAsia"/>
          <w:sz w:val="28"/>
        </w:rPr>
        <w:t>营收高速扩张，</w:t>
      </w:r>
      <w:r>
        <w:rPr>
          <w:rFonts w:ascii="仿宋_GB2312" w:eastAsia="仿宋_GB2312" w:hint="eastAsia"/>
          <w:sz w:val="28"/>
        </w:rPr>
        <w:t>增速达</w:t>
      </w:r>
      <w:r w:rsidRPr="00C735FE">
        <w:rPr>
          <w:rFonts w:ascii="仿宋_GB2312" w:eastAsia="仿宋_GB2312" w:hint="eastAsia"/>
          <w:sz w:val="28"/>
        </w:rPr>
        <w:t>24.1%</w:t>
      </w:r>
      <w:r>
        <w:rPr>
          <w:rFonts w:ascii="仿宋_GB2312" w:eastAsia="仿宋_GB2312" w:hint="eastAsia"/>
          <w:sz w:val="28"/>
        </w:rPr>
        <w:t>，位居第一</w:t>
      </w:r>
      <w:r w:rsidR="00131613">
        <w:rPr>
          <w:rFonts w:ascii="仿宋_GB2312" w:eastAsia="仿宋_GB2312" w:hint="eastAsia"/>
          <w:sz w:val="28"/>
        </w:rPr>
        <w:t>（见图</w:t>
      </w:r>
      <w:r w:rsidR="00CF0415">
        <w:rPr>
          <w:rFonts w:ascii="仿宋_GB2312" w:eastAsia="仿宋_GB2312" w:hint="eastAsia"/>
          <w:sz w:val="28"/>
        </w:rPr>
        <w:t>7</w:t>
      </w:r>
      <w:r w:rsidR="00131613">
        <w:rPr>
          <w:rFonts w:ascii="仿宋_GB2312" w:eastAsia="仿宋_GB2312" w:hint="eastAsia"/>
          <w:sz w:val="28"/>
        </w:rPr>
        <w:t>）</w:t>
      </w:r>
      <w:r>
        <w:rPr>
          <w:rFonts w:ascii="仿宋_GB2312" w:eastAsia="仿宋_GB2312" w:hint="eastAsia"/>
          <w:sz w:val="28"/>
        </w:rPr>
        <w:t>，营收</w:t>
      </w:r>
      <w:r w:rsidRPr="00C735FE">
        <w:rPr>
          <w:rFonts w:ascii="仿宋_GB2312" w:eastAsia="仿宋_GB2312" w:hint="eastAsia"/>
          <w:sz w:val="28"/>
        </w:rPr>
        <w:t>规模占全国比重</w:t>
      </w:r>
      <w:r>
        <w:rPr>
          <w:rFonts w:ascii="仿宋_GB2312" w:eastAsia="仿宋_GB2312" w:hint="eastAsia"/>
          <w:sz w:val="28"/>
        </w:rPr>
        <w:t>为</w:t>
      </w:r>
      <w:r w:rsidRPr="00C735FE">
        <w:rPr>
          <w:rFonts w:ascii="仿宋_GB2312" w:eastAsia="仿宋_GB2312" w:hint="eastAsia"/>
          <w:sz w:val="28"/>
        </w:rPr>
        <w:t>8.9%</w:t>
      </w:r>
      <w:r>
        <w:rPr>
          <w:rFonts w:ascii="仿宋_GB2312" w:eastAsia="仿宋_GB2312" w:hint="eastAsia"/>
          <w:sz w:val="28"/>
        </w:rPr>
        <w:t>，</w:t>
      </w:r>
      <w:r>
        <w:rPr>
          <w:rFonts w:ascii="仿宋_GB2312" w:eastAsia="仿宋_GB2312"/>
          <w:sz w:val="28"/>
        </w:rPr>
        <w:t>较上年</w:t>
      </w:r>
      <w:r w:rsidRPr="00C735FE">
        <w:rPr>
          <w:rFonts w:ascii="仿宋_GB2312" w:eastAsia="仿宋_GB2312" w:hint="eastAsia"/>
          <w:sz w:val="28"/>
        </w:rPr>
        <w:t>提升</w:t>
      </w:r>
      <w:r>
        <w:rPr>
          <w:rFonts w:ascii="仿宋_GB2312" w:eastAsia="仿宋_GB2312" w:hint="eastAsia"/>
          <w:sz w:val="28"/>
        </w:rPr>
        <w:t>0.5个</w:t>
      </w:r>
      <w:r>
        <w:rPr>
          <w:rFonts w:ascii="仿宋_GB2312" w:eastAsia="仿宋_GB2312"/>
          <w:sz w:val="28"/>
        </w:rPr>
        <w:t>百分点</w:t>
      </w:r>
      <w:r w:rsidRPr="00C735FE">
        <w:rPr>
          <w:rFonts w:ascii="仿宋_GB2312" w:eastAsia="仿宋_GB2312" w:hint="eastAsia"/>
          <w:sz w:val="28"/>
        </w:rPr>
        <w:t>。分省份看，占比近三分之一的湖北省增速</w:t>
      </w:r>
      <w:r>
        <w:rPr>
          <w:rFonts w:ascii="仿宋_GB2312" w:eastAsia="仿宋_GB2312" w:hint="eastAsia"/>
          <w:sz w:val="28"/>
        </w:rPr>
        <w:t>为</w:t>
      </w:r>
      <w:r w:rsidRPr="00C735FE">
        <w:rPr>
          <w:rFonts w:ascii="仿宋_GB2312" w:eastAsia="仿宋_GB2312" w:hint="eastAsia"/>
          <w:sz w:val="28"/>
        </w:rPr>
        <w:t>31.9%，较上年大幅提升10个</w:t>
      </w:r>
      <w:r>
        <w:rPr>
          <w:rFonts w:ascii="仿宋_GB2312" w:eastAsia="仿宋_GB2312" w:hint="eastAsia"/>
          <w:sz w:val="28"/>
        </w:rPr>
        <w:t>百分点，</w:t>
      </w:r>
      <w:r w:rsidRPr="00C735FE">
        <w:rPr>
          <w:rFonts w:ascii="仿宋_GB2312" w:eastAsia="仿宋_GB2312" w:hint="eastAsia"/>
          <w:sz w:val="28"/>
        </w:rPr>
        <w:t>安徽省继续领跑中部地区，增速达36.8%，</w:t>
      </w:r>
      <w:r>
        <w:rPr>
          <w:rFonts w:ascii="仿宋_GB2312" w:eastAsia="仿宋_GB2312" w:hint="eastAsia"/>
          <w:sz w:val="28"/>
        </w:rPr>
        <w:t>二者</w:t>
      </w:r>
      <w:r>
        <w:rPr>
          <w:rFonts w:ascii="仿宋_GB2312" w:eastAsia="仿宋_GB2312"/>
          <w:sz w:val="28"/>
        </w:rPr>
        <w:t>带动中部地区快速</w:t>
      </w:r>
      <w:r>
        <w:rPr>
          <w:rFonts w:ascii="仿宋_GB2312" w:eastAsia="仿宋_GB2312" w:hint="eastAsia"/>
          <w:sz w:val="28"/>
        </w:rPr>
        <w:t>崛起</w:t>
      </w:r>
      <w:r>
        <w:rPr>
          <w:rFonts w:ascii="仿宋_GB2312" w:eastAsia="仿宋_GB2312"/>
          <w:sz w:val="28"/>
        </w:rPr>
        <w:t>。</w:t>
      </w:r>
      <w:r w:rsidRPr="00C735FE">
        <w:rPr>
          <w:rFonts w:ascii="仿宋_GB2312" w:eastAsia="仿宋_GB2312" w:hint="eastAsia"/>
          <w:sz w:val="28"/>
        </w:rPr>
        <w:t>分领域看，</w:t>
      </w:r>
      <w:r w:rsidRPr="00E50CFE">
        <w:rPr>
          <w:rFonts w:ascii="仿宋_GB2312" w:eastAsia="仿宋_GB2312" w:hint="eastAsia"/>
          <w:sz w:val="28"/>
        </w:rPr>
        <w:t>除</w:t>
      </w:r>
      <w:r w:rsidR="00E50CFE" w:rsidRPr="00E50CFE">
        <w:rPr>
          <w:rFonts w:ascii="仿宋_GB2312" w:eastAsia="仿宋_GB2312" w:hint="eastAsia"/>
          <w:sz w:val="28"/>
        </w:rPr>
        <w:t>新一代</w:t>
      </w:r>
      <w:r w:rsidRPr="00E50CFE">
        <w:rPr>
          <w:rFonts w:ascii="仿宋_GB2312" w:eastAsia="仿宋_GB2312" w:hint="eastAsia"/>
          <w:sz w:val="28"/>
        </w:rPr>
        <w:t>信息技术产业上市公司营收增速有所放缓，</w:t>
      </w:r>
      <w:r w:rsidRPr="00C735FE">
        <w:rPr>
          <w:rFonts w:ascii="仿宋_GB2312" w:eastAsia="仿宋_GB2312" w:hint="eastAsia"/>
          <w:sz w:val="28"/>
        </w:rPr>
        <w:t>其他产业领域均</w:t>
      </w:r>
      <w:r w:rsidRPr="00C735FE">
        <w:rPr>
          <w:rFonts w:ascii="仿宋_GB2312" w:eastAsia="仿宋_GB2312" w:hint="eastAsia"/>
          <w:sz w:val="28"/>
        </w:rPr>
        <w:lastRenderedPageBreak/>
        <w:t>实现</w:t>
      </w:r>
      <w:r>
        <w:rPr>
          <w:rFonts w:ascii="仿宋_GB2312" w:eastAsia="仿宋_GB2312" w:hint="eastAsia"/>
          <w:sz w:val="28"/>
        </w:rPr>
        <w:t>加</w:t>
      </w:r>
      <w:r w:rsidRPr="00C735FE">
        <w:rPr>
          <w:rFonts w:ascii="仿宋_GB2312" w:eastAsia="仿宋_GB2312" w:hint="eastAsia"/>
          <w:sz w:val="28"/>
        </w:rPr>
        <w:t>速增长，发展势头蒸蒸日上。</w:t>
      </w:r>
      <w:r w:rsidRPr="009C24B9">
        <w:rPr>
          <w:rFonts w:ascii="仿宋_GB2312" w:eastAsia="仿宋_GB2312" w:hint="eastAsia"/>
          <w:b/>
          <w:sz w:val="28"/>
        </w:rPr>
        <w:t>东部地区</w:t>
      </w:r>
      <w:r w:rsidRPr="00C735FE">
        <w:rPr>
          <w:rFonts w:ascii="仿宋_GB2312" w:eastAsia="仿宋_GB2312" w:hint="eastAsia"/>
          <w:sz w:val="28"/>
        </w:rPr>
        <w:t>是全国战略性新兴产业上市公司聚集的核心</w:t>
      </w:r>
      <w:r>
        <w:rPr>
          <w:rFonts w:ascii="仿宋_GB2312" w:eastAsia="仿宋_GB2312" w:hint="eastAsia"/>
          <w:sz w:val="28"/>
        </w:rPr>
        <w:t>区</w:t>
      </w:r>
      <w:r w:rsidRPr="00C735FE">
        <w:rPr>
          <w:rFonts w:ascii="仿宋_GB2312" w:eastAsia="仿宋_GB2312" w:hint="eastAsia"/>
          <w:sz w:val="28"/>
        </w:rPr>
        <w:t>，</w:t>
      </w:r>
      <w:r>
        <w:rPr>
          <w:rFonts w:ascii="仿宋_GB2312" w:eastAsia="仿宋_GB2312" w:hint="eastAsia"/>
          <w:sz w:val="28"/>
        </w:rPr>
        <w:t>营收规模</w:t>
      </w:r>
      <w:r w:rsidRPr="00C735FE">
        <w:rPr>
          <w:rFonts w:ascii="仿宋_GB2312" w:eastAsia="仿宋_GB2312" w:hint="eastAsia"/>
          <w:sz w:val="28"/>
        </w:rPr>
        <w:t>占比达到78%，其营收增速也稳步上扬，同比提升1.6个百分点至18.2%。分省来看，广东省和北京市战略性新兴产业企业保持15%以上的稳健增长，</w:t>
      </w:r>
      <w:r w:rsidR="00AA6D8D">
        <w:rPr>
          <w:rFonts w:ascii="仿宋_GB2312" w:eastAsia="仿宋_GB2312" w:hint="eastAsia"/>
          <w:sz w:val="28"/>
        </w:rPr>
        <w:t>两省</w:t>
      </w:r>
      <w:r w:rsidR="00AA6D8D">
        <w:rPr>
          <w:rFonts w:ascii="仿宋_GB2312" w:eastAsia="仿宋_GB2312"/>
          <w:sz w:val="28"/>
        </w:rPr>
        <w:t>营收占比</w:t>
      </w:r>
      <w:r w:rsidR="00AA6D8D">
        <w:rPr>
          <w:rFonts w:ascii="仿宋_GB2312" w:eastAsia="仿宋_GB2312" w:hint="eastAsia"/>
          <w:sz w:val="28"/>
        </w:rPr>
        <w:t>超过</w:t>
      </w:r>
      <w:r w:rsidR="00AA6D8D">
        <w:rPr>
          <w:rFonts w:ascii="仿宋_GB2312" w:eastAsia="仿宋_GB2312"/>
          <w:sz w:val="28"/>
        </w:rPr>
        <w:t>东部</w:t>
      </w:r>
      <w:r w:rsidR="00AA6D8D">
        <w:rPr>
          <w:rFonts w:ascii="仿宋_GB2312" w:eastAsia="仿宋_GB2312" w:hint="eastAsia"/>
          <w:sz w:val="28"/>
        </w:rPr>
        <w:t>二分之一。此外</w:t>
      </w:r>
      <w:r w:rsidR="00AA6D8D">
        <w:rPr>
          <w:rFonts w:ascii="仿宋_GB2312" w:eastAsia="仿宋_GB2312"/>
          <w:sz w:val="28"/>
        </w:rPr>
        <w:t>，</w:t>
      </w:r>
      <w:r w:rsidR="00AA6D8D">
        <w:rPr>
          <w:rFonts w:ascii="仿宋_GB2312" w:eastAsia="仿宋_GB2312" w:hint="eastAsia"/>
          <w:sz w:val="28"/>
        </w:rPr>
        <w:t>东部地区</w:t>
      </w:r>
      <w:r w:rsidRPr="00C735FE">
        <w:rPr>
          <w:rFonts w:ascii="仿宋_GB2312" w:eastAsia="仿宋_GB2312" w:hint="eastAsia"/>
          <w:sz w:val="28"/>
        </w:rPr>
        <w:t>增速超过20%的省份</w:t>
      </w:r>
      <w:r w:rsidR="00D7376C">
        <w:rPr>
          <w:rFonts w:ascii="仿宋_GB2312" w:eastAsia="仿宋_GB2312" w:hint="eastAsia"/>
          <w:sz w:val="28"/>
        </w:rPr>
        <w:t>占据</w:t>
      </w:r>
      <w:r w:rsidR="00740B8F">
        <w:rPr>
          <w:rFonts w:ascii="仿宋_GB2312" w:eastAsia="仿宋_GB2312" w:hint="eastAsia"/>
          <w:sz w:val="28"/>
        </w:rPr>
        <w:t>一半</w:t>
      </w:r>
      <w:r w:rsidRPr="00C735FE">
        <w:rPr>
          <w:rFonts w:ascii="仿宋_GB2312" w:eastAsia="仿宋_GB2312" w:hint="eastAsia"/>
          <w:sz w:val="28"/>
        </w:rPr>
        <w:t>。分领域看，东部地区的支柱产业新一代信息技术产业保持在20%以上的高速增长区间，叠加生物领域的加速增长，带动了整个区域业绩的提升。</w:t>
      </w:r>
      <w:r w:rsidR="00D0557B" w:rsidRPr="00D7376C">
        <w:rPr>
          <w:rFonts w:ascii="仿宋_GB2312" w:eastAsia="仿宋_GB2312" w:hint="eastAsia"/>
          <w:b/>
          <w:sz w:val="28"/>
        </w:rPr>
        <w:t>西部地区</w:t>
      </w:r>
      <w:r w:rsidR="00D0557B" w:rsidRPr="00C735FE">
        <w:rPr>
          <w:rFonts w:ascii="仿宋_GB2312" w:eastAsia="仿宋_GB2312" w:hint="eastAsia"/>
          <w:sz w:val="28"/>
        </w:rPr>
        <w:t>2016</w:t>
      </w:r>
      <w:r w:rsidR="005A2FD8">
        <w:rPr>
          <w:rFonts w:ascii="仿宋_GB2312" w:eastAsia="仿宋_GB2312" w:hint="eastAsia"/>
          <w:sz w:val="28"/>
        </w:rPr>
        <w:t>年营收增速继续</w:t>
      </w:r>
      <w:r w:rsidR="00D0557B" w:rsidRPr="00C735FE">
        <w:rPr>
          <w:rFonts w:ascii="仿宋_GB2312" w:eastAsia="仿宋_GB2312" w:hint="eastAsia"/>
          <w:sz w:val="28"/>
        </w:rPr>
        <w:t>下滑</w:t>
      </w:r>
      <w:r w:rsidR="00D0557B">
        <w:rPr>
          <w:rFonts w:ascii="仿宋_GB2312" w:eastAsia="仿宋_GB2312" w:hint="eastAsia"/>
          <w:sz w:val="28"/>
        </w:rPr>
        <w:t>，但</w:t>
      </w:r>
      <w:r w:rsidR="00D0557B">
        <w:rPr>
          <w:rFonts w:ascii="仿宋_GB2312" w:eastAsia="仿宋_GB2312"/>
          <w:sz w:val="28"/>
        </w:rPr>
        <w:t>仍</w:t>
      </w:r>
      <w:r w:rsidR="00D0557B">
        <w:rPr>
          <w:rFonts w:ascii="仿宋_GB2312" w:eastAsia="仿宋_GB2312" w:hint="eastAsia"/>
          <w:sz w:val="28"/>
        </w:rPr>
        <w:t>保持</w:t>
      </w:r>
      <w:r w:rsidR="00D0557B">
        <w:rPr>
          <w:rFonts w:ascii="仿宋_GB2312" w:eastAsia="仿宋_GB2312"/>
          <w:sz w:val="28"/>
        </w:rPr>
        <w:t>了</w:t>
      </w:r>
      <w:r w:rsidR="00D0557B" w:rsidRPr="00C735FE">
        <w:rPr>
          <w:rFonts w:ascii="仿宋_GB2312" w:eastAsia="仿宋_GB2312" w:hint="eastAsia"/>
          <w:sz w:val="28"/>
        </w:rPr>
        <w:t>11.4%</w:t>
      </w:r>
      <w:r w:rsidR="00D0557B">
        <w:rPr>
          <w:rFonts w:ascii="仿宋_GB2312" w:eastAsia="仿宋_GB2312" w:hint="eastAsia"/>
          <w:sz w:val="28"/>
        </w:rPr>
        <w:t>的</w:t>
      </w:r>
      <w:r w:rsidR="00D0557B">
        <w:rPr>
          <w:rFonts w:ascii="仿宋_GB2312" w:eastAsia="仿宋_GB2312"/>
          <w:sz w:val="28"/>
        </w:rPr>
        <w:t>增长水平</w:t>
      </w:r>
      <w:r w:rsidR="00D0557B" w:rsidRPr="00C735FE">
        <w:rPr>
          <w:rFonts w:ascii="仿宋_GB2312" w:eastAsia="仿宋_GB2312" w:hint="eastAsia"/>
          <w:sz w:val="28"/>
        </w:rPr>
        <w:t>，规模占比降低0.5个百分点。主要</w:t>
      </w:r>
      <w:r w:rsidR="00D0557B">
        <w:rPr>
          <w:rFonts w:ascii="仿宋_GB2312" w:eastAsia="仿宋_GB2312" w:hint="eastAsia"/>
          <w:sz w:val="28"/>
        </w:rPr>
        <w:t>受到两大主导</w:t>
      </w:r>
      <w:r w:rsidR="00D0557B">
        <w:rPr>
          <w:rFonts w:ascii="仿宋_GB2312" w:eastAsia="仿宋_GB2312"/>
          <w:sz w:val="28"/>
        </w:rPr>
        <w:t>产业</w:t>
      </w:r>
      <w:r w:rsidR="00D0557B" w:rsidRPr="00C735FE">
        <w:rPr>
          <w:rFonts w:ascii="仿宋_GB2312" w:eastAsia="仿宋_GB2312" w:hint="eastAsia"/>
          <w:sz w:val="28"/>
        </w:rPr>
        <w:t>生物和新能源</w:t>
      </w:r>
      <w:r w:rsidR="00D0557B">
        <w:rPr>
          <w:rFonts w:ascii="仿宋_GB2312" w:eastAsia="仿宋_GB2312" w:hint="eastAsia"/>
          <w:sz w:val="28"/>
        </w:rPr>
        <w:t>领域</w:t>
      </w:r>
      <w:r w:rsidR="00D0557B" w:rsidRPr="00C735FE">
        <w:rPr>
          <w:rFonts w:ascii="仿宋_GB2312" w:eastAsia="仿宋_GB2312" w:hint="eastAsia"/>
          <w:sz w:val="28"/>
        </w:rPr>
        <w:t>大幅下滑</w:t>
      </w:r>
      <w:r w:rsidR="00D0557B">
        <w:rPr>
          <w:rFonts w:ascii="仿宋_GB2312" w:eastAsia="仿宋_GB2312" w:hint="eastAsia"/>
          <w:sz w:val="28"/>
        </w:rPr>
        <w:t>影响</w:t>
      </w:r>
      <w:r w:rsidR="00D0557B" w:rsidRPr="00C735FE">
        <w:rPr>
          <w:rFonts w:ascii="仿宋_GB2312" w:eastAsia="仿宋_GB2312" w:hint="eastAsia"/>
          <w:sz w:val="28"/>
        </w:rPr>
        <w:t>。</w:t>
      </w:r>
      <w:r w:rsidRPr="00D7376C">
        <w:rPr>
          <w:rFonts w:ascii="仿宋_GB2312" w:eastAsia="仿宋_GB2312" w:hint="eastAsia"/>
          <w:b/>
          <w:sz w:val="28"/>
        </w:rPr>
        <w:t>东北地区</w:t>
      </w:r>
      <w:r w:rsidRPr="00C735FE">
        <w:rPr>
          <w:rFonts w:ascii="仿宋_GB2312" w:eastAsia="仿宋_GB2312" w:hint="eastAsia"/>
          <w:sz w:val="28"/>
        </w:rPr>
        <w:t>触底反弹明显，营收增速由</w:t>
      </w:r>
      <w:r w:rsidR="00E50CFE">
        <w:rPr>
          <w:rFonts w:ascii="仿宋_GB2312" w:eastAsia="仿宋_GB2312" w:hint="eastAsia"/>
          <w:sz w:val="28"/>
        </w:rPr>
        <w:t>2015</w:t>
      </w:r>
      <w:r w:rsidRPr="00C735FE">
        <w:rPr>
          <w:rFonts w:ascii="仿宋_GB2312" w:eastAsia="仿宋_GB2312" w:hint="eastAsia"/>
          <w:sz w:val="28"/>
        </w:rPr>
        <w:t>年的0.8%上升至7.3%。分省份看，黑龙江省仍然在低速增长区间徘徊，但吉林、辽宁省的战略性新兴产业上市公司业绩大幅回升，增速分别提高10和14个百分</w:t>
      </w:r>
      <w:r w:rsidR="00E50CFE">
        <w:rPr>
          <w:rFonts w:ascii="仿宋_GB2312" w:eastAsia="仿宋_GB2312" w:hint="eastAsia"/>
          <w:sz w:val="28"/>
        </w:rPr>
        <w:t>点</w:t>
      </w:r>
      <w:r w:rsidRPr="00C735FE">
        <w:rPr>
          <w:rFonts w:ascii="仿宋_GB2312" w:eastAsia="仿宋_GB2312" w:hint="eastAsia"/>
          <w:sz w:val="28"/>
        </w:rPr>
        <w:t>。从领域看，东北地区的主要新兴产业——生物和高端装备制造领域上市公司业绩均出现大幅好转，带动整体业绩反弹。</w:t>
      </w:r>
    </w:p>
    <w:p w:rsidR="00D0557B" w:rsidRDefault="00D0557B" w:rsidP="00CF0415">
      <w:pPr>
        <w:jc w:val="center"/>
        <w:rPr>
          <w:rFonts w:ascii="仿宋_GB2312" w:eastAsia="仿宋_GB2312"/>
          <w:sz w:val="28"/>
        </w:rPr>
      </w:pPr>
      <w:r>
        <w:rPr>
          <w:noProof/>
        </w:rPr>
        <w:drawing>
          <wp:inline distT="0" distB="0" distL="0" distR="0" wp14:anchorId="72B091F8" wp14:editId="19EF7160">
            <wp:extent cx="4572000" cy="2376487"/>
            <wp:effectExtent l="0" t="0" r="0" b="5080"/>
            <wp:docPr id="18" name="图表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C24B9" w:rsidRPr="00131613" w:rsidRDefault="009C24B9" w:rsidP="009C24B9">
      <w:pPr>
        <w:ind w:firstLineChars="200" w:firstLine="400"/>
        <w:jc w:val="center"/>
        <w:rPr>
          <w:rFonts w:asciiTheme="minorEastAsia" w:hAnsiTheme="minorEastAsia"/>
          <w:sz w:val="20"/>
        </w:rPr>
      </w:pPr>
      <w:r w:rsidRPr="00131613">
        <w:rPr>
          <w:rFonts w:asciiTheme="minorEastAsia" w:hAnsiTheme="minorEastAsia" w:hint="eastAsia"/>
          <w:sz w:val="20"/>
        </w:rPr>
        <w:t>图</w:t>
      </w:r>
      <w:r w:rsidR="00CF0415">
        <w:rPr>
          <w:rFonts w:asciiTheme="minorEastAsia" w:hAnsiTheme="minorEastAsia" w:hint="eastAsia"/>
          <w:sz w:val="20"/>
        </w:rPr>
        <w:t>7</w:t>
      </w:r>
      <w:r w:rsidRPr="00131613">
        <w:rPr>
          <w:rFonts w:asciiTheme="minorEastAsia" w:hAnsiTheme="minorEastAsia" w:hint="eastAsia"/>
          <w:sz w:val="20"/>
        </w:rPr>
        <w:t xml:space="preserve"> </w:t>
      </w:r>
      <w:r w:rsidR="00131613" w:rsidRPr="00131613">
        <w:rPr>
          <w:rFonts w:asciiTheme="minorEastAsia" w:hAnsiTheme="minorEastAsia" w:hint="eastAsia"/>
          <w:sz w:val="20"/>
        </w:rPr>
        <w:t>战略性</w:t>
      </w:r>
      <w:r w:rsidR="00131613" w:rsidRPr="00131613">
        <w:rPr>
          <w:rFonts w:asciiTheme="minorEastAsia" w:hAnsiTheme="minorEastAsia"/>
          <w:sz w:val="20"/>
        </w:rPr>
        <w:t>新兴产业</w:t>
      </w:r>
      <w:r w:rsidRPr="00131613">
        <w:rPr>
          <w:rFonts w:asciiTheme="minorEastAsia" w:hAnsiTheme="minorEastAsia" w:hint="eastAsia"/>
          <w:sz w:val="20"/>
        </w:rPr>
        <w:t>分区域</w:t>
      </w:r>
      <w:r w:rsidRPr="00131613">
        <w:rPr>
          <w:rFonts w:asciiTheme="minorEastAsia" w:hAnsiTheme="minorEastAsia"/>
          <w:sz w:val="20"/>
        </w:rPr>
        <w:t>营收增速</w:t>
      </w:r>
      <w:r w:rsidRPr="00131613">
        <w:rPr>
          <w:rFonts w:asciiTheme="minorEastAsia" w:hAnsiTheme="minorEastAsia" w:hint="eastAsia"/>
          <w:sz w:val="20"/>
        </w:rPr>
        <w:t>对比</w:t>
      </w:r>
    </w:p>
    <w:p w:rsidR="005A2FD8" w:rsidRDefault="005A2FD8" w:rsidP="00C735FE">
      <w:pPr>
        <w:ind w:firstLineChars="200" w:firstLine="562"/>
        <w:rPr>
          <w:rFonts w:ascii="仿宋_GB2312" w:eastAsia="仿宋_GB2312"/>
          <w:b/>
          <w:sz w:val="28"/>
        </w:rPr>
      </w:pPr>
      <w:bookmarkStart w:id="0" w:name="_GoBack"/>
      <w:bookmarkEnd w:id="0"/>
    </w:p>
    <w:p w:rsidR="000B11E2" w:rsidRPr="009C24B9" w:rsidRDefault="009412BB" w:rsidP="00C735FE">
      <w:pPr>
        <w:ind w:firstLineChars="200" w:firstLine="562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lastRenderedPageBreak/>
        <w:t>五</w:t>
      </w:r>
      <w:r w:rsidR="000B11E2" w:rsidRPr="009C24B9">
        <w:rPr>
          <w:rFonts w:ascii="仿宋_GB2312" w:eastAsia="仿宋_GB2312" w:hint="eastAsia"/>
          <w:b/>
          <w:sz w:val="28"/>
        </w:rPr>
        <w:t>、</w:t>
      </w:r>
      <w:r w:rsidR="009C24B9">
        <w:rPr>
          <w:rFonts w:ascii="仿宋_GB2312" w:eastAsia="仿宋_GB2312" w:hint="eastAsia"/>
          <w:b/>
          <w:sz w:val="28"/>
        </w:rPr>
        <w:t>企业</w:t>
      </w:r>
      <w:r w:rsidR="0020508E" w:rsidRPr="009C24B9">
        <w:rPr>
          <w:rFonts w:ascii="仿宋_GB2312" w:eastAsia="仿宋_GB2312" w:hint="eastAsia"/>
          <w:b/>
          <w:sz w:val="28"/>
        </w:rPr>
        <w:t>投资</w:t>
      </w:r>
      <w:r w:rsidR="00234531">
        <w:rPr>
          <w:rFonts w:ascii="仿宋_GB2312" w:eastAsia="仿宋_GB2312" w:hint="eastAsia"/>
          <w:b/>
          <w:sz w:val="28"/>
        </w:rPr>
        <w:t>力度加大</w:t>
      </w:r>
    </w:p>
    <w:p w:rsidR="0029103C" w:rsidRDefault="0076087D" w:rsidP="00C735FE">
      <w:pPr>
        <w:ind w:firstLineChars="200" w:firstLine="560"/>
        <w:rPr>
          <w:rFonts w:ascii="仿宋_GB2312" w:eastAsia="仿宋_GB2312"/>
          <w:color w:val="000000"/>
          <w:sz w:val="28"/>
          <w:szCs w:val="21"/>
        </w:rPr>
      </w:pPr>
      <w:r w:rsidRPr="00C735FE">
        <w:rPr>
          <w:rFonts w:ascii="仿宋_GB2312" w:eastAsia="仿宋_GB2312" w:hint="eastAsia"/>
          <w:color w:val="000000"/>
          <w:sz w:val="28"/>
          <w:szCs w:val="21"/>
        </w:rPr>
        <w:t>战略性新兴产业</w:t>
      </w:r>
      <w:r w:rsidR="00D7376C">
        <w:rPr>
          <w:rFonts w:ascii="仿宋_GB2312" w:eastAsia="仿宋_GB2312" w:hint="eastAsia"/>
          <w:color w:val="000000"/>
          <w:sz w:val="28"/>
          <w:szCs w:val="21"/>
        </w:rPr>
        <w:t>上市公司</w:t>
      </w:r>
      <w:r w:rsidRPr="00C735FE">
        <w:rPr>
          <w:rFonts w:ascii="仿宋_GB2312" w:eastAsia="仿宋_GB2312" w:hint="eastAsia"/>
          <w:color w:val="000000"/>
          <w:sz w:val="28"/>
          <w:szCs w:val="21"/>
        </w:rPr>
        <w:t>投资</w:t>
      </w:r>
      <w:r w:rsidR="009F7454">
        <w:rPr>
          <w:rFonts w:ascii="仿宋_GB2312" w:eastAsia="仿宋_GB2312" w:hint="eastAsia"/>
          <w:color w:val="000000"/>
          <w:sz w:val="28"/>
          <w:szCs w:val="21"/>
        </w:rPr>
        <w:t>活跃</w:t>
      </w:r>
      <w:r w:rsidRPr="00234531">
        <w:rPr>
          <w:rFonts w:ascii="仿宋_GB2312" w:eastAsia="仿宋_GB2312" w:hint="eastAsia"/>
          <w:color w:val="000000"/>
          <w:sz w:val="28"/>
          <w:szCs w:val="21"/>
        </w:rPr>
        <w:t>。</w:t>
      </w:r>
      <w:r w:rsidR="00EB637F" w:rsidRPr="00234531">
        <w:rPr>
          <w:rFonts w:ascii="仿宋_GB2312" w:eastAsia="仿宋_GB2312" w:hint="eastAsia"/>
          <w:color w:val="000000"/>
          <w:sz w:val="28"/>
          <w:szCs w:val="21"/>
        </w:rPr>
        <w:t>从投资</w:t>
      </w:r>
      <w:r w:rsidR="00234531" w:rsidRPr="00234531">
        <w:rPr>
          <w:rFonts w:ascii="仿宋_GB2312" w:eastAsia="仿宋_GB2312" w:hint="eastAsia"/>
          <w:color w:val="000000"/>
          <w:sz w:val="28"/>
          <w:szCs w:val="21"/>
        </w:rPr>
        <w:t>金额</w:t>
      </w:r>
      <w:r w:rsidR="00EB637F" w:rsidRPr="00234531">
        <w:rPr>
          <w:rFonts w:ascii="仿宋_GB2312" w:eastAsia="仿宋_GB2312" w:hint="eastAsia"/>
          <w:color w:val="000000"/>
          <w:sz w:val="28"/>
          <w:szCs w:val="21"/>
        </w:rPr>
        <w:t>来看，</w:t>
      </w:r>
      <w:r w:rsidR="00EB637F" w:rsidRPr="00C735FE">
        <w:rPr>
          <w:rFonts w:ascii="仿宋_GB2312" w:eastAsia="仿宋_GB2312" w:hint="eastAsia"/>
          <w:color w:val="000000"/>
          <w:sz w:val="28"/>
          <w:szCs w:val="21"/>
        </w:rPr>
        <w:t>2016年战略性新兴产业上市公司投资活动产生的现金流量净额增加了2144亿元，增速为39%</w:t>
      </w:r>
      <w:r w:rsidR="00131613">
        <w:rPr>
          <w:rFonts w:ascii="仿宋_GB2312" w:eastAsia="仿宋_GB2312" w:hint="eastAsia"/>
          <w:color w:val="000000"/>
          <w:sz w:val="28"/>
          <w:szCs w:val="21"/>
        </w:rPr>
        <w:t>（见</w:t>
      </w:r>
      <w:r w:rsidR="00131613">
        <w:rPr>
          <w:rFonts w:ascii="仿宋_GB2312" w:eastAsia="仿宋_GB2312"/>
          <w:color w:val="000000"/>
          <w:sz w:val="28"/>
          <w:szCs w:val="21"/>
        </w:rPr>
        <w:t>图</w:t>
      </w:r>
      <w:r w:rsidR="00CF0415">
        <w:rPr>
          <w:rFonts w:ascii="仿宋_GB2312" w:eastAsia="仿宋_GB2312" w:hint="eastAsia"/>
          <w:color w:val="000000"/>
          <w:sz w:val="28"/>
          <w:szCs w:val="21"/>
        </w:rPr>
        <w:t>8</w:t>
      </w:r>
      <w:r w:rsidR="00131613">
        <w:rPr>
          <w:rFonts w:ascii="仿宋_GB2312" w:eastAsia="仿宋_GB2312" w:hint="eastAsia"/>
          <w:color w:val="000000"/>
          <w:sz w:val="28"/>
          <w:szCs w:val="21"/>
        </w:rPr>
        <w:t>）</w:t>
      </w:r>
      <w:r w:rsidR="0029103C" w:rsidRPr="00C735FE">
        <w:rPr>
          <w:rFonts w:ascii="仿宋_GB2312" w:eastAsia="仿宋_GB2312" w:hint="eastAsia"/>
          <w:color w:val="000000"/>
          <w:sz w:val="28"/>
          <w:szCs w:val="21"/>
        </w:rPr>
        <w:t>。而与此同时，A股上市公司投资活动产生的现金流量净额比上年大幅减少9307亿元</w:t>
      </w:r>
      <w:r w:rsidR="00131613">
        <w:rPr>
          <w:rFonts w:ascii="仿宋_GB2312" w:eastAsia="仿宋_GB2312" w:hint="eastAsia"/>
          <w:color w:val="000000"/>
          <w:sz w:val="28"/>
          <w:szCs w:val="21"/>
        </w:rPr>
        <w:t>（见</w:t>
      </w:r>
      <w:r w:rsidR="00131613">
        <w:rPr>
          <w:rFonts w:ascii="仿宋_GB2312" w:eastAsia="仿宋_GB2312"/>
          <w:color w:val="000000"/>
          <w:sz w:val="28"/>
          <w:szCs w:val="21"/>
        </w:rPr>
        <w:t>图</w:t>
      </w:r>
      <w:r w:rsidR="00CF0415">
        <w:rPr>
          <w:rFonts w:ascii="仿宋_GB2312" w:eastAsia="仿宋_GB2312" w:hint="eastAsia"/>
          <w:color w:val="000000"/>
          <w:sz w:val="28"/>
          <w:szCs w:val="21"/>
        </w:rPr>
        <w:t>9</w:t>
      </w:r>
      <w:r w:rsidR="00131613">
        <w:rPr>
          <w:rFonts w:ascii="仿宋_GB2312" w:eastAsia="仿宋_GB2312" w:hint="eastAsia"/>
          <w:color w:val="000000"/>
          <w:sz w:val="28"/>
          <w:szCs w:val="21"/>
        </w:rPr>
        <w:t>）</w:t>
      </w:r>
      <w:r w:rsidR="0029103C" w:rsidRPr="00C735FE">
        <w:rPr>
          <w:rFonts w:ascii="仿宋_GB2312" w:eastAsia="仿宋_GB2312" w:hint="eastAsia"/>
          <w:color w:val="000000"/>
          <w:sz w:val="28"/>
          <w:szCs w:val="21"/>
        </w:rPr>
        <w:t>。战略性新兴产业逆势投资扩张显示出企业</w:t>
      </w:r>
      <w:r w:rsidR="00D7376C">
        <w:rPr>
          <w:rFonts w:ascii="仿宋_GB2312" w:eastAsia="仿宋_GB2312" w:hint="eastAsia"/>
          <w:color w:val="000000"/>
          <w:sz w:val="28"/>
          <w:szCs w:val="21"/>
        </w:rPr>
        <w:t>拥有</w:t>
      </w:r>
      <w:r w:rsidR="0029103C" w:rsidRPr="00C735FE">
        <w:rPr>
          <w:rFonts w:ascii="仿宋_GB2312" w:eastAsia="仿宋_GB2312" w:hint="eastAsia"/>
          <w:color w:val="000000"/>
          <w:sz w:val="28"/>
          <w:szCs w:val="21"/>
        </w:rPr>
        <w:t>良好</w:t>
      </w:r>
      <w:r w:rsidR="00465768" w:rsidRPr="00C735FE">
        <w:rPr>
          <w:rFonts w:ascii="仿宋_GB2312" w:eastAsia="仿宋_GB2312" w:hint="eastAsia"/>
          <w:color w:val="000000"/>
          <w:sz w:val="28"/>
          <w:szCs w:val="21"/>
        </w:rPr>
        <w:t>的资金状况</w:t>
      </w:r>
      <w:r w:rsidR="0029103C" w:rsidRPr="00C735FE">
        <w:rPr>
          <w:rFonts w:ascii="仿宋_GB2312" w:eastAsia="仿宋_GB2312" w:hint="eastAsia"/>
          <w:color w:val="000000"/>
          <w:sz w:val="28"/>
          <w:szCs w:val="21"/>
        </w:rPr>
        <w:t>和宽松的投资空间</w:t>
      </w:r>
      <w:r w:rsidR="00465768" w:rsidRPr="00C735FE">
        <w:rPr>
          <w:rFonts w:ascii="仿宋_GB2312" w:eastAsia="仿宋_GB2312" w:hint="eastAsia"/>
          <w:color w:val="000000"/>
          <w:sz w:val="28"/>
          <w:szCs w:val="21"/>
        </w:rPr>
        <w:t>。</w:t>
      </w:r>
      <w:r w:rsidR="00D7376C">
        <w:rPr>
          <w:rFonts w:ascii="仿宋_GB2312" w:eastAsia="仿宋_GB2312" w:hint="eastAsia"/>
          <w:color w:val="000000"/>
          <w:sz w:val="28"/>
          <w:szCs w:val="21"/>
        </w:rPr>
        <w:t>分领域</w:t>
      </w:r>
      <w:r w:rsidR="00D7376C">
        <w:rPr>
          <w:rFonts w:ascii="仿宋_GB2312" w:eastAsia="仿宋_GB2312"/>
          <w:color w:val="000000"/>
          <w:sz w:val="28"/>
          <w:szCs w:val="21"/>
        </w:rPr>
        <w:t>看</w:t>
      </w:r>
      <w:r w:rsidR="00EB637F" w:rsidRPr="00C735FE">
        <w:rPr>
          <w:rFonts w:ascii="仿宋_GB2312" w:eastAsia="仿宋_GB2312" w:hint="eastAsia"/>
          <w:color w:val="000000"/>
          <w:sz w:val="28"/>
          <w:szCs w:val="21"/>
        </w:rPr>
        <w:t>，投资扩张</w:t>
      </w:r>
      <w:r w:rsidR="002A3C3F" w:rsidRPr="00C735FE">
        <w:rPr>
          <w:rFonts w:ascii="仿宋_GB2312" w:eastAsia="仿宋_GB2312" w:hint="eastAsia"/>
          <w:color w:val="000000"/>
          <w:sz w:val="28"/>
          <w:szCs w:val="21"/>
        </w:rPr>
        <w:t>规模领先的</w:t>
      </w:r>
      <w:r w:rsidR="00D7376C">
        <w:rPr>
          <w:rFonts w:ascii="仿宋_GB2312" w:eastAsia="仿宋_GB2312" w:hint="eastAsia"/>
          <w:color w:val="000000"/>
          <w:sz w:val="28"/>
          <w:szCs w:val="21"/>
        </w:rPr>
        <w:t>领域</w:t>
      </w:r>
      <w:r w:rsidR="002A3C3F" w:rsidRPr="00C735FE">
        <w:rPr>
          <w:rFonts w:ascii="仿宋_GB2312" w:eastAsia="仿宋_GB2312" w:hint="eastAsia"/>
          <w:color w:val="000000"/>
          <w:sz w:val="28"/>
          <w:szCs w:val="21"/>
        </w:rPr>
        <w:t>依次是新一代信息技术、生物和新能源领域，</w:t>
      </w:r>
      <w:r w:rsidR="00465768" w:rsidRPr="00C735FE">
        <w:rPr>
          <w:rFonts w:ascii="仿宋_GB2312" w:eastAsia="仿宋_GB2312" w:hint="eastAsia"/>
          <w:color w:val="000000"/>
          <w:sz w:val="28"/>
          <w:szCs w:val="21"/>
        </w:rPr>
        <w:t>投资分别增加了756亿、508亿和399亿元，增速分别为41.1%、50.5%和60.2%。</w:t>
      </w:r>
      <w:r w:rsidR="00465768" w:rsidRPr="00234531">
        <w:rPr>
          <w:rFonts w:ascii="仿宋_GB2312" w:eastAsia="仿宋_GB2312" w:hint="eastAsia"/>
          <w:color w:val="000000"/>
          <w:sz w:val="28"/>
          <w:szCs w:val="21"/>
        </w:rPr>
        <w:t>从企业</w:t>
      </w:r>
      <w:r w:rsidR="00234531">
        <w:rPr>
          <w:rFonts w:ascii="仿宋_GB2312" w:eastAsia="仿宋_GB2312" w:hint="eastAsia"/>
          <w:color w:val="000000"/>
          <w:sz w:val="28"/>
          <w:szCs w:val="21"/>
        </w:rPr>
        <w:t>固定</w:t>
      </w:r>
      <w:r w:rsidR="00234531">
        <w:rPr>
          <w:rFonts w:ascii="仿宋_GB2312" w:eastAsia="仿宋_GB2312"/>
          <w:color w:val="000000"/>
          <w:sz w:val="28"/>
          <w:szCs w:val="21"/>
        </w:rPr>
        <w:t>资产形成</w:t>
      </w:r>
      <w:r w:rsidR="00465768" w:rsidRPr="00234531">
        <w:rPr>
          <w:rFonts w:ascii="仿宋_GB2312" w:eastAsia="仿宋_GB2312" w:hint="eastAsia"/>
          <w:color w:val="000000"/>
          <w:sz w:val="28"/>
          <w:szCs w:val="21"/>
        </w:rPr>
        <w:t>来看，</w:t>
      </w:r>
      <w:r w:rsidR="00465768" w:rsidRPr="00C735FE">
        <w:rPr>
          <w:rFonts w:ascii="仿宋_GB2312" w:eastAsia="仿宋_GB2312" w:hint="eastAsia"/>
          <w:color w:val="000000"/>
          <w:sz w:val="28"/>
          <w:szCs w:val="21"/>
        </w:rPr>
        <w:t>2016年战略性新兴产业上市公司固定资产净值为1.67万亿元，</w:t>
      </w:r>
      <w:r w:rsidR="00010CF6">
        <w:rPr>
          <w:rFonts w:ascii="仿宋_GB2312" w:eastAsia="仿宋_GB2312" w:hint="eastAsia"/>
          <w:color w:val="000000"/>
          <w:sz w:val="28"/>
          <w:szCs w:val="21"/>
        </w:rPr>
        <w:t>比</w:t>
      </w:r>
      <w:r w:rsidR="00010CF6">
        <w:rPr>
          <w:rFonts w:ascii="仿宋_GB2312" w:eastAsia="仿宋_GB2312"/>
          <w:color w:val="000000"/>
          <w:sz w:val="28"/>
          <w:szCs w:val="21"/>
        </w:rPr>
        <w:t>上年增加了</w:t>
      </w:r>
      <w:r w:rsidR="00A01916">
        <w:rPr>
          <w:rFonts w:ascii="仿宋_GB2312" w:eastAsia="仿宋_GB2312" w:hint="eastAsia"/>
          <w:color w:val="000000"/>
          <w:sz w:val="28"/>
          <w:szCs w:val="21"/>
        </w:rPr>
        <w:t>24</w:t>
      </w:r>
      <w:r w:rsidR="00A01916">
        <w:rPr>
          <w:rFonts w:ascii="仿宋_GB2312" w:eastAsia="仿宋_GB2312"/>
          <w:color w:val="000000"/>
          <w:sz w:val="28"/>
          <w:szCs w:val="21"/>
        </w:rPr>
        <w:t>00</w:t>
      </w:r>
      <w:r w:rsidR="00A01916">
        <w:rPr>
          <w:rFonts w:ascii="仿宋_GB2312" w:eastAsia="仿宋_GB2312" w:hint="eastAsia"/>
          <w:color w:val="000000"/>
          <w:sz w:val="28"/>
          <w:szCs w:val="21"/>
        </w:rPr>
        <w:t>亿元，</w:t>
      </w:r>
      <w:r w:rsidR="00465768" w:rsidRPr="00C735FE">
        <w:rPr>
          <w:rFonts w:ascii="仿宋_GB2312" w:eastAsia="仿宋_GB2312" w:hint="eastAsia"/>
          <w:color w:val="000000"/>
          <w:sz w:val="28"/>
          <w:szCs w:val="21"/>
        </w:rPr>
        <w:t>增速为16.4%</w:t>
      </w:r>
      <w:r w:rsidR="0029103C" w:rsidRPr="00C735FE">
        <w:rPr>
          <w:rFonts w:ascii="仿宋_GB2312" w:eastAsia="仿宋_GB2312" w:hint="eastAsia"/>
          <w:color w:val="000000"/>
          <w:sz w:val="28"/>
          <w:szCs w:val="21"/>
        </w:rPr>
        <w:t>，高出A股上市公司</w:t>
      </w:r>
      <w:r w:rsidR="00DE2A94" w:rsidRPr="00C735FE">
        <w:rPr>
          <w:rFonts w:ascii="仿宋_GB2312" w:eastAsia="仿宋_GB2312" w:hint="eastAsia"/>
          <w:color w:val="000000"/>
          <w:sz w:val="28"/>
          <w:szCs w:val="21"/>
        </w:rPr>
        <w:t>总体</w:t>
      </w:r>
      <w:r w:rsidR="00F83A5F">
        <w:rPr>
          <w:rFonts w:ascii="仿宋_GB2312" w:eastAsia="仿宋_GB2312" w:hint="eastAsia"/>
          <w:color w:val="000000"/>
          <w:sz w:val="28"/>
          <w:szCs w:val="21"/>
        </w:rPr>
        <w:t>6</w:t>
      </w:r>
      <w:r w:rsidR="00DE2A94" w:rsidRPr="00C735FE">
        <w:rPr>
          <w:rFonts w:ascii="仿宋_GB2312" w:eastAsia="仿宋_GB2312" w:hint="eastAsia"/>
          <w:color w:val="000000"/>
          <w:sz w:val="28"/>
          <w:szCs w:val="21"/>
        </w:rPr>
        <w:t>.8个百分点</w:t>
      </w:r>
      <w:r w:rsidR="00131613">
        <w:rPr>
          <w:rFonts w:ascii="仿宋_GB2312" w:eastAsia="仿宋_GB2312" w:hint="eastAsia"/>
          <w:color w:val="000000"/>
          <w:sz w:val="28"/>
          <w:szCs w:val="21"/>
        </w:rPr>
        <w:t>（见</w:t>
      </w:r>
      <w:r w:rsidR="00131613">
        <w:rPr>
          <w:rFonts w:ascii="仿宋_GB2312" w:eastAsia="仿宋_GB2312"/>
          <w:color w:val="000000"/>
          <w:sz w:val="28"/>
          <w:szCs w:val="21"/>
        </w:rPr>
        <w:t>图</w:t>
      </w:r>
      <w:r w:rsidR="00CF0415">
        <w:rPr>
          <w:rFonts w:ascii="仿宋_GB2312" w:eastAsia="仿宋_GB2312" w:hint="eastAsia"/>
          <w:color w:val="000000"/>
          <w:sz w:val="28"/>
          <w:szCs w:val="21"/>
        </w:rPr>
        <w:t>10</w:t>
      </w:r>
      <w:r w:rsidR="00131613">
        <w:rPr>
          <w:rFonts w:ascii="仿宋_GB2312" w:eastAsia="仿宋_GB2312" w:hint="eastAsia"/>
          <w:color w:val="000000"/>
          <w:sz w:val="28"/>
          <w:szCs w:val="21"/>
        </w:rPr>
        <w:t>）</w:t>
      </w:r>
      <w:r w:rsidR="00DE2A94" w:rsidRPr="00C735FE">
        <w:rPr>
          <w:rFonts w:ascii="仿宋_GB2312" w:eastAsia="仿宋_GB2312" w:hint="eastAsia"/>
          <w:color w:val="000000"/>
          <w:sz w:val="28"/>
          <w:szCs w:val="21"/>
        </w:rPr>
        <w:t>，</w:t>
      </w:r>
      <w:r w:rsidR="00234531">
        <w:rPr>
          <w:rFonts w:ascii="仿宋_GB2312" w:eastAsia="仿宋_GB2312" w:hint="eastAsia"/>
          <w:color w:val="000000"/>
          <w:sz w:val="28"/>
          <w:szCs w:val="21"/>
        </w:rPr>
        <w:t>显示战略性</w:t>
      </w:r>
      <w:r w:rsidR="00234531">
        <w:rPr>
          <w:rFonts w:ascii="仿宋_GB2312" w:eastAsia="仿宋_GB2312"/>
          <w:color w:val="000000"/>
          <w:sz w:val="28"/>
          <w:szCs w:val="21"/>
        </w:rPr>
        <w:t>新兴产业上市</w:t>
      </w:r>
      <w:r w:rsidR="00DE2A94" w:rsidRPr="00C735FE">
        <w:rPr>
          <w:rFonts w:ascii="仿宋_GB2312" w:eastAsia="仿宋_GB2312" w:hint="eastAsia"/>
          <w:color w:val="000000"/>
          <w:sz w:val="28"/>
          <w:szCs w:val="21"/>
        </w:rPr>
        <w:t>企业</w:t>
      </w:r>
      <w:r w:rsidR="00234531">
        <w:rPr>
          <w:rFonts w:ascii="仿宋_GB2312" w:eastAsia="仿宋_GB2312" w:hint="eastAsia"/>
          <w:color w:val="000000"/>
          <w:sz w:val="28"/>
          <w:szCs w:val="21"/>
        </w:rPr>
        <w:t>正在</w:t>
      </w:r>
      <w:r w:rsidR="00F83A5F" w:rsidRPr="00F83A5F">
        <w:rPr>
          <w:rFonts w:ascii="仿宋_GB2312" w:eastAsia="仿宋_GB2312" w:hint="eastAsia"/>
          <w:color w:val="000000"/>
          <w:sz w:val="28"/>
          <w:szCs w:val="21"/>
        </w:rPr>
        <w:t>积极</w:t>
      </w:r>
      <w:r w:rsidR="00F83A5F">
        <w:rPr>
          <w:rFonts w:ascii="仿宋_GB2312" w:eastAsia="仿宋_GB2312" w:hint="eastAsia"/>
          <w:color w:val="000000"/>
          <w:sz w:val="28"/>
          <w:szCs w:val="21"/>
        </w:rPr>
        <w:t>投资</w:t>
      </w:r>
      <w:r w:rsidR="00F83A5F" w:rsidRPr="00F83A5F">
        <w:rPr>
          <w:rFonts w:ascii="仿宋_GB2312" w:eastAsia="仿宋_GB2312" w:hint="eastAsia"/>
          <w:color w:val="000000"/>
          <w:sz w:val="28"/>
          <w:szCs w:val="21"/>
        </w:rPr>
        <w:t>拓展自身业务</w:t>
      </w:r>
      <w:r w:rsidR="00DE2A94" w:rsidRPr="00C735FE">
        <w:rPr>
          <w:rFonts w:ascii="仿宋_GB2312" w:eastAsia="仿宋_GB2312" w:hint="eastAsia"/>
          <w:color w:val="000000"/>
          <w:sz w:val="28"/>
          <w:szCs w:val="21"/>
        </w:rPr>
        <w:t>。</w:t>
      </w:r>
    </w:p>
    <w:p w:rsidR="00F558EC" w:rsidRDefault="00F558EC" w:rsidP="00CF0415">
      <w:pPr>
        <w:jc w:val="center"/>
        <w:rPr>
          <w:rFonts w:ascii="仿宋_GB2312" w:eastAsia="仿宋_GB2312"/>
          <w:color w:val="000000"/>
          <w:sz w:val="28"/>
          <w:szCs w:val="21"/>
        </w:rPr>
      </w:pPr>
      <w:r>
        <w:rPr>
          <w:noProof/>
        </w:rPr>
        <w:drawing>
          <wp:inline distT="0" distB="0" distL="0" distR="0" wp14:anchorId="4631E7CB" wp14:editId="0D80B559">
            <wp:extent cx="2333625" cy="2276475"/>
            <wp:effectExtent l="0" t="0" r="9525" b="9525"/>
            <wp:docPr id="11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CF0415">
        <w:rPr>
          <w:rFonts w:ascii="仿宋_GB2312" w:eastAsia="仿宋_GB2312" w:hint="eastAsia"/>
          <w:color w:val="000000"/>
          <w:sz w:val="28"/>
          <w:szCs w:val="21"/>
        </w:rPr>
        <w:t xml:space="preserve"> </w:t>
      </w:r>
      <w:r>
        <w:rPr>
          <w:noProof/>
        </w:rPr>
        <w:drawing>
          <wp:inline distT="0" distB="0" distL="0" distR="0" wp14:anchorId="4FBFFDAE" wp14:editId="5C80328F">
            <wp:extent cx="2381250" cy="2276475"/>
            <wp:effectExtent l="0" t="0" r="0" b="9525"/>
            <wp:docPr id="12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83A5F" w:rsidRDefault="00F83A5F" w:rsidP="00F83A5F">
      <w:pPr>
        <w:ind w:firstLineChars="200" w:firstLine="440"/>
        <w:rPr>
          <w:rFonts w:asciiTheme="minorEastAsia" w:hAnsiTheme="minorEastAsia"/>
          <w:sz w:val="22"/>
        </w:rPr>
      </w:pPr>
      <w:r w:rsidRPr="00F558EC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C1687B" wp14:editId="46D235D6">
                <wp:simplePos x="0" y="0"/>
                <wp:positionH relativeFrom="column">
                  <wp:posOffset>3028950</wp:posOffset>
                </wp:positionH>
                <wp:positionV relativeFrom="paragraph">
                  <wp:posOffset>13335</wp:posOffset>
                </wp:positionV>
                <wp:extent cx="2360930" cy="1404620"/>
                <wp:effectExtent l="0" t="0" r="5080" b="0"/>
                <wp:wrapSquare wrapText="bothSides"/>
                <wp:docPr id="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A5F" w:rsidRDefault="00131613" w:rsidP="00F83A5F">
                            <w:pPr>
                              <w:jc w:val="center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图</w:t>
                            </w:r>
                            <w:r w:rsidR="00CF0415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9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 </w:t>
                            </w:r>
                            <w:r w:rsidR="00F83A5F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A股</w:t>
                            </w:r>
                            <w:r w:rsidR="00F83A5F" w:rsidRPr="00F83A5F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上市企业投资</w:t>
                            </w:r>
                            <w:r w:rsidR="00F83A5F" w:rsidRPr="00F83A5F">
                              <w:rPr>
                                <w:rFonts w:asciiTheme="minorEastAsia" w:hAnsiTheme="minorEastAsia"/>
                                <w:sz w:val="18"/>
                              </w:rPr>
                              <w:t>活动产生的</w:t>
                            </w:r>
                          </w:p>
                          <w:p w:rsidR="00F83A5F" w:rsidRPr="00F83A5F" w:rsidRDefault="00F83A5F" w:rsidP="00F83A5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F83A5F">
                              <w:rPr>
                                <w:rFonts w:asciiTheme="minorEastAsia" w:hAnsiTheme="minorEastAsia"/>
                                <w:sz w:val="18"/>
                              </w:rPr>
                              <w:t>现金净额</w:t>
                            </w:r>
                            <w:r w:rsidR="00A01916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变化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C1687B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38.5pt;margin-top:1.0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" stroked="f">
                <v:textbox style="mso-fit-shape-to-text:t">
                  <w:txbxContent>
                    <w:p w:rsidR="00F83A5F" w:rsidRDefault="00131613" w:rsidP="00F83A5F">
                      <w:pPr>
                        <w:jc w:val="center"/>
                        <w:rPr>
                          <w:rFonts w:asciiTheme="minorEastAsia" w:hAnsiTheme="minorEastAsia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图</w:t>
                      </w:r>
                      <w:r w:rsidR="00CF0415">
                        <w:rPr>
                          <w:rFonts w:asciiTheme="minorEastAsia" w:hAnsiTheme="minorEastAsia" w:hint="eastAsia"/>
                          <w:sz w:val="18"/>
                        </w:rPr>
                        <w:t>9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 xml:space="preserve"> </w:t>
                      </w:r>
                      <w:r w:rsidR="00F83A5F">
                        <w:rPr>
                          <w:rFonts w:asciiTheme="minorEastAsia" w:hAnsiTheme="minorEastAsia" w:hint="eastAsia"/>
                          <w:sz w:val="18"/>
                        </w:rPr>
                        <w:t>A股</w:t>
                      </w:r>
                      <w:r w:rsidR="00F83A5F" w:rsidRPr="00F83A5F">
                        <w:rPr>
                          <w:rFonts w:asciiTheme="minorEastAsia" w:hAnsiTheme="minorEastAsia" w:hint="eastAsia"/>
                          <w:sz w:val="18"/>
                        </w:rPr>
                        <w:t>上市企业投资</w:t>
                      </w:r>
                      <w:r w:rsidR="00F83A5F" w:rsidRPr="00F83A5F">
                        <w:rPr>
                          <w:rFonts w:asciiTheme="minorEastAsia" w:hAnsiTheme="minorEastAsia"/>
                          <w:sz w:val="18"/>
                        </w:rPr>
                        <w:t>活动产生的</w:t>
                      </w:r>
                    </w:p>
                    <w:p w:rsidR="00F83A5F" w:rsidRPr="00F83A5F" w:rsidRDefault="00F83A5F" w:rsidP="00F83A5F">
                      <w:pPr>
                        <w:jc w:val="center"/>
                        <w:rPr>
                          <w:sz w:val="16"/>
                        </w:rPr>
                      </w:pPr>
                      <w:r w:rsidRPr="00F83A5F">
                        <w:rPr>
                          <w:rFonts w:asciiTheme="minorEastAsia" w:hAnsiTheme="minorEastAsia"/>
                          <w:sz w:val="18"/>
                        </w:rPr>
                        <w:t>现金净额</w:t>
                      </w:r>
                      <w:r w:rsidR="00A01916">
                        <w:rPr>
                          <w:rFonts w:asciiTheme="minorEastAsia" w:hAnsiTheme="minorEastAsia" w:hint="eastAsia"/>
                          <w:sz w:val="18"/>
                        </w:rPr>
                        <w:t>变化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558EC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19050</wp:posOffset>
                </wp:positionV>
                <wp:extent cx="2360930" cy="1404620"/>
                <wp:effectExtent l="0" t="0" r="508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A5F" w:rsidRDefault="00131613" w:rsidP="00F83A5F">
                            <w:pPr>
                              <w:jc w:val="center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图</w:t>
                            </w:r>
                            <w:r w:rsidR="00CF0415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8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 xml:space="preserve"> </w:t>
                            </w:r>
                            <w:r w:rsidR="00F83A5F" w:rsidRPr="00F83A5F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战新上市企业投资</w:t>
                            </w:r>
                            <w:r w:rsidR="00F83A5F" w:rsidRPr="00F83A5F">
                              <w:rPr>
                                <w:rFonts w:asciiTheme="minorEastAsia" w:hAnsiTheme="minorEastAsia"/>
                                <w:sz w:val="18"/>
                              </w:rPr>
                              <w:t>活动产生的</w:t>
                            </w:r>
                          </w:p>
                          <w:p w:rsidR="00F558EC" w:rsidRPr="00F83A5F" w:rsidRDefault="00F83A5F" w:rsidP="00F83A5F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F83A5F">
                              <w:rPr>
                                <w:rFonts w:asciiTheme="minorEastAsia" w:hAnsiTheme="minorEastAsia"/>
                                <w:sz w:val="18"/>
                              </w:rPr>
                              <w:t>现金净额</w:t>
                            </w:r>
                            <w:r w:rsidR="00A01916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变化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.35pt;margin-top:1.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" stroked="f">
                <v:textbox style="mso-fit-shape-to-text:t">
                  <w:txbxContent>
                    <w:p w:rsidR="00F83A5F" w:rsidRDefault="00131613" w:rsidP="00F83A5F">
                      <w:pPr>
                        <w:jc w:val="center"/>
                        <w:rPr>
                          <w:rFonts w:asciiTheme="minorEastAsia" w:hAnsiTheme="minorEastAsia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图</w:t>
                      </w:r>
                      <w:r w:rsidR="00CF0415">
                        <w:rPr>
                          <w:rFonts w:asciiTheme="minorEastAsia" w:hAnsiTheme="minorEastAsia" w:hint="eastAsia"/>
                          <w:sz w:val="18"/>
                        </w:rPr>
                        <w:t>8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 xml:space="preserve"> </w:t>
                      </w:r>
                      <w:r w:rsidR="00F83A5F" w:rsidRPr="00F83A5F">
                        <w:rPr>
                          <w:rFonts w:asciiTheme="minorEastAsia" w:hAnsiTheme="minorEastAsia" w:hint="eastAsia"/>
                          <w:sz w:val="18"/>
                        </w:rPr>
                        <w:t>战新上市企业投资</w:t>
                      </w:r>
                      <w:r w:rsidR="00F83A5F" w:rsidRPr="00F83A5F">
                        <w:rPr>
                          <w:rFonts w:asciiTheme="minorEastAsia" w:hAnsiTheme="minorEastAsia"/>
                          <w:sz w:val="18"/>
                        </w:rPr>
                        <w:t>活动产生的</w:t>
                      </w:r>
                    </w:p>
                    <w:p w:rsidR="00F558EC" w:rsidRPr="00F83A5F" w:rsidRDefault="00F83A5F" w:rsidP="00F83A5F">
                      <w:pPr>
                        <w:jc w:val="center"/>
                        <w:rPr>
                          <w:sz w:val="16"/>
                        </w:rPr>
                      </w:pPr>
                      <w:r w:rsidRPr="00F83A5F">
                        <w:rPr>
                          <w:rFonts w:asciiTheme="minorEastAsia" w:hAnsiTheme="minorEastAsia"/>
                          <w:sz w:val="18"/>
                        </w:rPr>
                        <w:t>现金净额</w:t>
                      </w:r>
                      <w:r w:rsidR="00A01916">
                        <w:rPr>
                          <w:rFonts w:asciiTheme="minorEastAsia" w:hAnsiTheme="minorEastAsia" w:hint="eastAsia"/>
                          <w:sz w:val="18"/>
                        </w:rPr>
                        <w:t>变化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3A5F" w:rsidRDefault="00F83A5F" w:rsidP="00F83A5F">
      <w:pPr>
        <w:ind w:firstLineChars="200" w:firstLine="440"/>
        <w:rPr>
          <w:rFonts w:asciiTheme="minorEastAsia" w:hAnsiTheme="minorEastAsia"/>
          <w:sz w:val="22"/>
        </w:rPr>
      </w:pPr>
    </w:p>
    <w:p w:rsidR="00F83A5F" w:rsidRDefault="00F558EC" w:rsidP="00F83A5F">
      <w:pPr>
        <w:ind w:firstLineChars="200" w:firstLine="440"/>
        <w:rPr>
          <w:rFonts w:asciiTheme="minorEastAsia" w:hAnsiTheme="minorEastAsia"/>
          <w:sz w:val="22"/>
        </w:rPr>
      </w:pPr>
      <w:r w:rsidRPr="00F558EC">
        <w:rPr>
          <w:rFonts w:asciiTheme="minorEastAsia" w:hAnsiTheme="minorEastAsia" w:hint="eastAsia"/>
          <w:sz w:val="22"/>
        </w:rPr>
        <w:t xml:space="preserve">     </w:t>
      </w:r>
    </w:p>
    <w:p w:rsidR="00F83A5F" w:rsidRDefault="00F83A5F" w:rsidP="00F83A5F">
      <w:pPr>
        <w:ind w:firstLineChars="200" w:firstLine="440"/>
        <w:rPr>
          <w:rFonts w:asciiTheme="minorEastAsia" w:hAnsiTheme="minorEastAsia"/>
          <w:sz w:val="22"/>
        </w:rPr>
      </w:pPr>
    </w:p>
    <w:p w:rsidR="00F83A5F" w:rsidRDefault="00F83A5F" w:rsidP="00CF0415">
      <w:pPr>
        <w:jc w:val="center"/>
        <w:rPr>
          <w:rFonts w:asciiTheme="minorEastAsia" w:hAnsiTheme="minorEastAsia"/>
          <w:sz w:val="22"/>
        </w:rPr>
      </w:pPr>
      <w:r>
        <w:rPr>
          <w:noProof/>
        </w:rPr>
        <w:lastRenderedPageBreak/>
        <w:drawing>
          <wp:inline distT="0" distB="0" distL="0" distR="0" wp14:anchorId="61ACEFC2" wp14:editId="628A8198">
            <wp:extent cx="4200525" cy="2181225"/>
            <wp:effectExtent l="0" t="0" r="9525" b="9525"/>
            <wp:docPr id="14" name="图表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31613" w:rsidRPr="00F83A5F" w:rsidRDefault="00131613" w:rsidP="00131613">
      <w:pPr>
        <w:jc w:val="center"/>
        <w:rPr>
          <w:sz w:val="16"/>
        </w:rPr>
      </w:pPr>
      <w:r>
        <w:rPr>
          <w:rFonts w:asciiTheme="minorEastAsia" w:hAnsiTheme="minorEastAsia" w:hint="eastAsia"/>
          <w:sz w:val="18"/>
        </w:rPr>
        <w:t xml:space="preserve">  图</w:t>
      </w:r>
      <w:r w:rsidR="00CF0415">
        <w:rPr>
          <w:rFonts w:asciiTheme="minorEastAsia" w:hAnsiTheme="minorEastAsia" w:hint="eastAsia"/>
          <w:sz w:val="18"/>
        </w:rPr>
        <w:t>10</w:t>
      </w:r>
      <w:r>
        <w:rPr>
          <w:rFonts w:asciiTheme="minorEastAsia" w:hAnsiTheme="minorEastAsia"/>
          <w:sz w:val="18"/>
        </w:rPr>
        <w:t>战略性</w:t>
      </w:r>
      <w:r>
        <w:rPr>
          <w:rFonts w:asciiTheme="minorEastAsia" w:hAnsiTheme="minorEastAsia" w:hint="eastAsia"/>
          <w:sz w:val="18"/>
        </w:rPr>
        <w:t>新兴</w:t>
      </w:r>
      <w:r>
        <w:rPr>
          <w:rFonts w:asciiTheme="minorEastAsia" w:hAnsiTheme="minorEastAsia"/>
          <w:sz w:val="18"/>
        </w:rPr>
        <w:t>产业</w:t>
      </w:r>
      <w:r>
        <w:rPr>
          <w:rFonts w:asciiTheme="minorEastAsia" w:hAnsiTheme="minorEastAsia" w:hint="eastAsia"/>
          <w:sz w:val="18"/>
        </w:rPr>
        <w:t>和A股</w:t>
      </w:r>
      <w:r w:rsidRPr="00F83A5F">
        <w:rPr>
          <w:rFonts w:asciiTheme="minorEastAsia" w:hAnsiTheme="minorEastAsia" w:hint="eastAsia"/>
          <w:sz w:val="18"/>
        </w:rPr>
        <w:t>上市企业</w:t>
      </w:r>
      <w:r>
        <w:rPr>
          <w:rFonts w:asciiTheme="minorEastAsia" w:hAnsiTheme="minorEastAsia" w:hint="eastAsia"/>
          <w:sz w:val="18"/>
        </w:rPr>
        <w:t>固定</w:t>
      </w:r>
      <w:r>
        <w:rPr>
          <w:rFonts w:asciiTheme="minorEastAsia" w:hAnsiTheme="minorEastAsia"/>
          <w:sz w:val="18"/>
        </w:rPr>
        <w:t>资产</w:t>
      </w:r>
      <w:r>
        <w:rPr>
          <w:rFonts w:asciiTheme="minorEastAsia" w:hAnsiTheme="minorEastAsia" w:hint="eastAsia"/>
          <w:sz w:val="18"/>
        </w:rPr>
        <w:t>净值</w:t>
      </w:r>
      <w:r>
        <w:rPr>
          <w:rFonts w:asciiTheme="minorEastAsia" w:hAnsiTheme="minorEastAsia"/>
          <w:sz w:val="18"/>
        </w:rPr>
        <w:t>及增速</w:t>
      </w:r>
    </w:p>
    <w:p w:rsidR="00131613" w:rsidRDefault="00131613" w:rsidP="00F83A5F">
      <w:pPr>
        <w:ind w:firstLineChars="200" w:firstLine="440"/>
        <w:rPr>
          <w:rFonts w:asciiTheme="minorEastAsia" w:hAnsiTheme="minorEastAsia"/>
          <w:sz w:val="22"/>
        </w:rPr>
      </w:pPr>
    </w:p>
    <w:p w:rsidR="00386526" w:rsidRPr="00F83A5F" w:rsidRDefault="009412BB" w:rsidP="00F83A5F">
      <w:pPr>
        <w:ind w:firstLineChars="200" w:firstLine="562"/>
        <w:rPr>
          <w:rFonts w:asciiTheme="minorEastAsia" w:hAnsiTheme="minorEastAsia"/>
          <w:sz w:val="22"/>
        </w:rPr>
      </w:pPr>
      <w:r>
        <w:rPr>
          <w:rFonts w:ascii="仿宋_GB2312" w:eastAsia="仿宋_GB2312" w:hint="eastAsia"/>
          <w:b/>
          <w:sz w:val="28"/>
        </w:rPr>
        <w:t>六</w:t>
      </w:r>
      <w:r w:rsidR="009C24B9" w:rsidRPr="009C24B9">
        <w:rPr>
          <w:rFonts w:ascii="仿宋_GB2312" w:eastAsia="仿宋_GB2312" w:hint="eastAsia"/>
          <w:b/>
          <w:sz w:val="28"/>
        </w:rPr>
        <w:t>、</w:t>
      </w:r>
      <w:r w:rsidR="00386526" w:rsidRPr="009C24B9">
        <w:rPr>
          <w:rFonts w:ascii="仿宋_GB2312" w:eastAsia="仿宋_GB2312" w:hint="eastAsia"/>
          <w:b/>
          <w:sz w:val="28"/>
        </w:rPr>
        <w:t>研发强度</w:t>
      </w:r>
      <w:r w:rsidR="001C2A81" w:rsidRPr="009C24B9">
        <w:rPr>
          <w:rFonts w:ascii="仿宋_GB2312" w:eastAsia="仿宋_GB2312" w:hint="eastAsia"/>
          <w:b/>
          <w:sz w:val="28"/>
        </w:rPr>
        <w:t>稳步提升</w:t>
      </w:r>
    </w:p>
    <w:p w:rsidR="009F7454" w:rsidRDefault="005D317D" w:rsidP="009F7454">
      <w:pPr>
        <w:ind w:firstLineChars="200" w:firstLine="560"/>
        <w:rPr>
          <w:rFonts w:ascii="仿宋_GB2312" w:eastAsia="仿宋_GB2312"/>
          <w:color w:val="000000"/>
          <w:sz w:val="28"/>
          <w:szCs w:val="21"/>
        </w:rPr>
      </w:pPr>
      <w:r w:rsidRPr="00C735FE">
        <w:rPr>
          <w:rFonts w:ascii="仿宋_GB2312" w:eastAsia="仿宋_GB2312" w:hint="eastAsia"/>
          <w:color w:val="000000"/>
          <w:sz w:val="28"/>
          <w:szCs w:val="21"/>
        </w:rPr>
        <w:t>为应对日益激烈的市场竞争，</w:t>
      </w:r>
      <w:r w:rsidR="00531A32">
        <w:rPr>
          <w:rFonts w:ascii="仿宋_GB2312" w:eastAsia="仿宋_GB2312" w:hint="eastAsia"/>
          <w:color w:val="000000"/>
          <w:sz w:val="28"/>
          <w:szCs w:val="21"/>
        </w:rPr>
        <w:t>寻求新的突破</w:t>
      </w:r>
      <w:r w:rsidR="00531A32">
        <w:rPr>
          <w:rFonts w:ascii="仿宋_GB2312" w:eastAsia="仿宋_GB2312"/>
          <w:color w:val="000000"/>
          <w:sz w:val="28"/>
          <w:szCs w:val="21"/>
        </w:rPr>
        <w:t>和</w:t>
      </w:r>
      <w:r w:rsidR="00531A32" w:rsidRPr="00C735FE">
        <w:rPr>
          <w:rFonts w:ascii="仿宋_GB2312" w:eastAsia="仿宋_GB2312" w:hint="eastAsia"/>
          <w:color w:val="000000"/>
          <w:sz w:val="28"/>
          <w:szCs w:val="21"/>
        </w:rPr>
        <w:t>发展机遇</w:t>
      </w:r>
      <w:r w:rsidR="00531A32">
        <w:rPr>
          <w:rFonts w:ascii="仿宋_GB2312" w:eastAsia="仿宋_GB2312" w:hint="eastAsia"/>
          <w:color w:val="000000"/>
          <w:sz w:val="28"/>
          <w:szCs w:val="21"/>
        </w:rPr>
        <w:t>，</w:t>
      </w:r>
      <w:r w:rsidRPr="00C735FE">
        <w:rPr>
          <w:rFonts w:ascii="仿宋_GB2312" w:eastAsia="仿宋_GB2312" w:hint="eastAsia"/>
          <w:color w:val="000000"/>
          <w:sz w:val="28"/>
          <w:szCs w:val="21"/>
        </w:rPr>
        <w:t>更多上市公司加大</w:t>
      </w:r>
      <w:r w:rsidR="009F7454">
        <w:rPr>
          <w:rFonts w:ascii="仿宋_GB2312" w:eastAsia="仿宋_GB2312" w:hint="eastAsia"/>
          <w:color w:val="000000"/>
          <w:sz w:val="28"/>
          <w:szCs w:val="21"/>
        </w:rPr>
        <w:t>了</w:t>
      </w:r>
      <w:r w:rsidRPr="00C735FE">
        <w:rPr>
          <w:rFonts w:ascii="仿宋_GB2312" w:eastAsia="仿宋_GB2312" w:hint="eastAsia"/>
          <w:color w:val="000000"/>
          <w:sz w:val="28"/>
          <w:szCs w:val="21"/>
        </w:rPr>
        <w:t>研发投入，战略性新兴产业</w:t>
      </w:r>
      <w:r w:rsidR="009F7454">
        <w:rPr>
          <w:rFonts w:ascii="仿宋_GB2312" w:eastAsia="仿宋_GB2312" w:hint="eastAsia"/>
          <w:color w:val="000000"/>
          <w:sz w:val="28"/>
          <w:szCs w:val="21"/>
        </w:rPr>
        <w:t>企业表现尤为</w:t>
      </w:r>
      <w:r w:rsidRPr="00C735FE">
        <w:rPr>
          <w:rFonts w:ascii="仿宋_GB2312" w:eastAsia="仿宋_GB2312" w:hint="eastAsia"/>
          <w:color w:val="000000"/>
          <w:sz w:val="28"/>
          <w:szCs w:val="21"/>
        </w:rPr>
        <w:t>突出。</w:t>
      </w:r>
      <w:r w:rsidR="002E734A" w:rsidRPr="00C735FE">
        <w:rPr>
          <w:rFonts w:ascii="仿宋_GB2312" w:eastAsia="仿宋_GB2312" w:hint="eastAsia"/>
          <w:color w:val="000000"/>
          <w:sz w:val="28"/>
          <w:szCs w:val="21"/>
        </w:rPr>
        <w:t>2016年战略性新兴产业上市公司研发强度为6.6%，高出A股上市公司整体2个百分点</w:t>
      </w:r>
      <w:r w:rsidR="00837118">
        <w:rPr>
          <w:rFonts w:ascii="仿宋_GB2312" w:eastAsia="仿宋_GB2312" w:hint="eastAsia"/>
          <w:color w:val="000000"/>
          <w:sz w:val="28"/>
          <w:szCs w:val="21"/>
        </w:rPr>
        <w:t>（见</w:t>
      </w:r>
      <w:r w:rsidR="00837118">
        <w:rPr>
          <w:rFonts w:ascii="仿宋_GB2312" w:eastAsia="仿宋_GB2312"/>
          <w:color w:val="000000"/>
          <w:sz w:val="28"/>
          <w:szCs w:val="21"/>
        </w:rPr>
        <w:t>图</w:t>
      </w:r>
      <w:r w:rsidR="00CF0415">
        <w:rPr>
          <w:rFonts w:ascii="仿宋_GB2312" w:eastAsia="仿宋_GB2312" w:hint="eastAsia"/>
          <w:color w:val="000000"/>
          <w:sz w:val="28"/>
          <w:szCs w:val="21"/>
        </w:rPr>
        <w:t>11</w:t>
      </w:r>
      <w:r w:rsidR="00837118">
        <w:rPr>
          <w:rFonts w:ascii="仿宋_GB2312" w:eastAsia="仿宋_GB2312" w:hint="eastAsia"/>
          <w:color w:val="000000"/>
          <w:sz w:val="28"/>
          <w:szCs w:val="21"/>
        </w:rPr>
        <w:t>）</w:t>
      </w:r>
      <w:r w:rsidR="002E734A" w:rsidRPr="00C735FE">
        <w:rPr>
          <w:rFonts w:ascii="仿宋_GB2312" w:eastAsia="仿宋_GB2312" w:hint="eastAsia"/>
          <w:color w:val="000000"/>
          <w:sz w:val="28"/>
          <w:szCs w:val="21"/>
        </w:rPr>
        <w:t>。</w:t>
      </w:r>
      <w:r w:rsidR="007208FE" w:rsidRPr="00C735FE">
        <w:rPr>
          <w:rFonts w:ascii="仿宋_GB2312" w:eastAsia="仿宋_GB2312" w:hint="eastAsia"/>
          <w:color w:val="000000"/>
          <w:sz w:val="28"/>
          <w:szCs w:val="21"/>
        </w:rPr>
        <w:t>其中，新一代信息技术企业研发强度最大，近几年基本维持在8.7%左右的水平。</w:t>
      </w:r>
      <w:r w:rsidR="00D24C00">
        <w:rPr>
          <w:rFonts w:ascii="仿宋_GB2312" w:eastAsia="仿宋_GB2312" w:hint="eastAsia"/>
          <w:color w:val="000000"/>
          <w:sz w:val="28"/>
          <w:szCs w:val="21"/>
        </w:rPr>
        <w:t>新能源汽车和</w:t>
      </w:r>
      <w:r w:rsidR="00D24C00">
        <w:rPr>
          <w:rFonts w:ascii="仿宋_GB2312" w:eastAsia="仿宋_GB2312"/>
          <w:color w:val="000000"/>
          <w:sz w:val="28"/>
          <w:szCs w:val="21"/>
        </w:rPr>
        <w:t>高端装备</w:t>
      </w:r>
      <w:r w:rsidR="00D24C00">
        <w:rPr>
          <w:rFonts w:ascii="仿宋_GB2312" w:eastAsia="仿宋_GB2312" w:hint="eastAsia"/>
          <w:color w:val="000000"/>
          <w:sz w:val="28"/>
          <w:szCs w:val="21"/>
        </w:rPr>
        <w:t>制造</w:t>
      </w:r>
      <w:r w:rsidR="00D24C00">
        <w:rPr>
          <w:rFonts w:ascii="仿宋_GB2312" w:eastAsia="仿宋_GB2312"/>
          <w:color w:val="000000"/>
          <w:sz w:val="28"/>
          <w:szCs w:val="21"/>
        </w:rPr>
        <w:t>位列第二、三</w:t>
      </w:r>
      <w:r w:rsidR="00D24C00">
        <w:rPr>
          <w:rFonts w:ascii="仿宋_GB2312" w:eastAsia="仿宋_GB2312" w:hint="eastAsia"/>
          <w:color w:val="000000"/>
          <w:sz w:val="28"/>
          <w:szCs w:val="21"/>
        </w:rPr>
        <w:t>位</w:t>
      </w:r>
      <w:r w:rsidR="00D24C00">
        <w:rPr>
          <w:rFonts w:ascii="仿宋_GB2312" w:eastAsia="仿宋_GB2312"/>
          <w:color w:val="000000"/>
          <w:sz w:val="28"/>
          <w:szCs w:val="21"/>
        </w:rPr>
        <w:t>，</w:t>
      </w:r>
      <w:r w:rsidR="00D24C00">
        <w:rPr>
          <w:rFonts w:ascii="仿宋_GB2312" w:eastAsia="仿宋_GB2312" w:hint="eastAsia"/>
          <w:color w:val="000000"/>
          <w:sz w:val="28"/>
          <w:szCs w:val="21"/>
        </w:rPr>
        <w:t>研发</w:t>
      </w:r>
      <w:r w:rsidR="00D24C00">
        <w:rPr>
          <w:rFonts w:ascii="仿宋_GB2312" w:eastAsia="仿宋_GB2312"/>
          <w:color w:val="000000"/>
          <w:sz w:val="28"/>
          <w:szCs w:val="21"/>
        </w:rPr>
        <w:t>强度</w:t>
      </w:r>
      <w:r w:rsidR="00D24C00">
        <w:rPr>
          <w:rFonts w:ascii="仿宋_GB2312" w:eastAsia="仿宋_GB2312" w:hint="eastAsia"/>
          <w:color w:val="000000"/>
          <w:sz w:val="28"/>
          <w:szCs w:val="21"/>
        </w:rPr>
        <w:t>分别为6.8</w:t>
      </w:r>
      <w:r w:rsidR="00D24C00">
        <w:rPr>
          <w:rFonts w:ascii="仿宋_GB2312" w:eastAsia="仿宋_GB2312"/>
          <w:color w:val="000000"/>
          <w:sz w:val="28"/>
          <w:szCs w:val="21"/>
        </w:rPr>
        <w:t>%和</w:t>
      </w:r>
      <w:r w:rsidR="00D24C00">
        <w:rPr>
          <w:rFonts w:ascii="仿宋_GB2312" w:eastAsia="仿宋_GB2312" w:hint="eastAsia"/>
          <w:color w:val="000000"/>
          <w:sz w:val="28"/>
          <w:szCs w:val="21"/>
        </w:rPr>
        <w:t>6.</w:t>
      </w:r>
      <w:r w:rsidR="00D24C00">
        <w:rPr>
          <w:rFonts w:ascii="仿宋_GB2312" w:eastAsia="仿宋_GB2312"/>
          <w:color w:val="000000"/>
          <w:sz w:val="28"/>
          <w:szCs w:val="21"/>
        </w:rPr>
        <w:t>7%，均高出战略性</w:t>
      </w:r>
      <w:r w:rsidR="00D24C00">
        <w:rPr>
          <w:rFonts w:ascii="仿宋_GB2312" w:eastAsia="仿宋_GB2312" w:hint="eastAsia"/>
          <w:color w:val="000000"/>
          <w:sz w:val="28"/>
          <w:szCs w:val="21"/>
        </w:rPr>
        <w:t>新兴</w:t>
      </w:r>
      <w:r w:rsidR="00D24C00">
        <w:rPr>
          <w:rFonts w:ascii="仿宋_GB2312" w:eastAsia="仿宋_GB2312"/>
          <w:color w:val="000000"/>
          <w:sz w:val="28"/>
          <w:szCs w:val="21"/>
        </w:rPr>
        <w:t>产业平均</w:t>
      </w:r>
      <w:r w:rsidR="005A2FD8">
        <w:rPr>
          <w:rFonts w:ascii="仿宋_GB2312" w:eastAsia="仿宋_GB2312" w:hint="eastAsia"/>
          <w:color w:val="000000"/>
          <w:sz w:val="28"/>
          <w:szCs w:val="21"/>
        </w:rPr>
        <w:t>水平</w:t>
      </w:r>
      <w:r w:rsidR="00D24C00">
        <w:rPr>
          <w:rFonts w:ascii="仿宋_GB2312" w:eastAsia="仿宋_GB2312"/>
          <w:color w:val="000000"/>
          <w:sz w:val="28"/>
          <w:szCs w:val="21"/>
        </w:rPr>
        <w:t>。</w:t>
      </w:r>
      <w:r w:rsidR="007208FE" w:rsidRPr="00C735FE">
        <w:rPr>
          <w:rFonts w:ascii="仿宋_GB2312" w:eastAsia="仿宋_GB2312" w:hint="eastAsia"/>
          <w:color w:val="000000"/>
          <w:sz w:val="28"/>
          <w:szCs w:val="21"/>
        </w:rPr>
        <w:t>数字创意领域研发强度近几年快速提升，由2014年的5.2%上升至6.4%</w:t>
      </w:r>
      <w:r w:rsidR="00837118">
        <w:rPr>
          <w:rFonts w:ascii="仿宋_GB2312" w:eastAsia="仿宋_GB2312" w:hint="eastAsia"/>
          <w:color w:val="000000"/>
          <w:sz w:val="28"/>
          <w:szCs w:val="21"/>
        </w:rPr>
        <w:t>（见</w:t>
      </w:r>
      <w:r w:rsidR="00837118">
        <w:rPr>
          <w:rFonts w:ascii="仿宋_GB2312" w:eastAsia="仿宋_GB2312"/>
          <w:color w:val="000000"/>
          <w:sz w:val="28"/>
          <w:szCs w:val="21"/>
        </w:rPr>
        <w:t>图</w:t>
      </w:r>
      <w:r w:rsidR="00CF0415">
        <w:rPr>
          <w:rFonts w:ascii="仿宋_GB2312" w:eastAsia="仿宋_GB2312" w:hint="eastAsia"/>
          <w:color w:val="000000"/>
          <w:sz w:val="28"/>
          <w:szCs w:val="21"/>
        </w:rPr>
        <w:t>12</w:t>
      </w:r>
      <w:r w:rsidR="00837118">
        <w:rPr>
          <w:rFonts w:ascii="仿宋_GB2312" w:eastAsia="仿宋_GB2312" w:hint="eastAsia"/>
          <w:color w:val="000000"/>
          <w:sz w:val="28"/>
          <w:szCs w:val="21"/>
        </w:rPr>
        <w:t>）</w:t>
      </w:r>
      <w:r w:rsidR="007208FE" w:rsidRPr="00C735FE">
        <w:rPr>
          <w:rFonts w:ascii="仿宋_GB2312" w:eastAsia="仿宋_GB2312" w:hint="eastAsia"/>
          <w:color w:val="000000"/>
          <w:sz w:val="28"/>
          <w:szCs w:val="21"/>
        </w:rPr>
        <w:t>。</w:t>
      </w:r>
    </w:p>
    <w:p w:rsidR="002E734A" w:rsidRPr="00C735FE" w:rsidRDefault="002E734A" w:rsidP="009F7454">
      <w:pPr>
        <w:ind w:firstLineChars="200" w:firstLine="560"/>
        <w:rPr>
          <w:rFonts w:ascii="仿宋_GB2312" w:eastAsia="仿宋_GB2312"/>
          <w:color w:val="000000"/>
          <w:sz w:val="28"/>
          <w:szCs w:val="21"/>
        </w:rPr>
      </w:pPr>
      <w:r w:rsidRPr="00C735FE">
        <w:rPr>
          <w:rFonts w:ascii="仿宋_GB2312" w:eastAsia="仿宋_GB2312" w:hint="eastAsia"/>
          <w:noProof/>
          <w:sz w:val="28"/>
        </w:rPr>
        <w:lastRenderedPageBreak/>
        <w:drawing>
          <wp:inline distT="0" distB="0" distL="0" distR="0" wp14:anchorId="5C3FAFB4" wp14:editId="69A3327F">
            <wp:extent cx="4572000" cy="2476500"/>
            <wp:effectExtent l="0" t="0" r="0" b="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E734A" w:rsidRPr="00837118" w:rsidRDefault="00837118" w:rsidP="00837118">
      <w:pPr>
        <w:ind w:firstLineChars="200" w:firstLine="360"/>
        <w:jc w:val="center"/>
        <w:rPr>
          <w:rFonts w:asciiTheme="minorEastAsia" w:hAnsiTheme="minorEastAsia"/>
          <w:sz w:val="18"/>
        </w:rPr>
      </w:pPr>
      <w:r w:rsidRPr="00837118">
        <w:rPr>
          <w:rFonts w:asciiTheme="minorEastAsia" w:hAnsiTheme="minorEastAsia" w:hint="eastAsia"/>
          <w:sz w:val="18"/>
        </w:rPr>
        <w:t>图</w:t>
      </w:r>
      <w:r w:rsidR="00CF0415">
        <w:rPr>
          <w:rFonts w:asciiTheme="minorEastAsia" w:hAnsiTheme="minorEastAsia" w:hint="eastAsia"/>
          <w:sz w:val="18"/>
        </w:rPr>
        <w:t>11</w:t>
      </w:r>
      <w:r w:rsidRPr="00837118">
        <w:rPr>
          <w:rFonts w:asciiTheme="minorEastAsia" w:hAnsiTheme="minorEastAsia" w:hint="eastAsia"/>
          <w:sz w:val="18"/>
        </w:rPr>
        <w:t xml:space="preserve"> 战略性新兴</w:t>
      </w:r>
      <w:r w:rsidRPr="00837118">
        <w:rPr>
          <w:rFonts w:asciiTheme="minorEastAsia" w:hAnsiTheme="minorEastAsia"/>
          <w:sz w:val="18"/>
        </w:rPr>
        <w:t>产业和</w:t>
      </w:r>
      <w:r w:rsidRPr="00837118">
        <w:rPr>
          <w:rFonts w:asciiTheme="minorEastAsia" w:hAnsiTheme="minorEastAsia" w:hint="eastAsia"/>
          <w:sz w:val="18"/>
        </w:rPr>
        <w:t>A股</w:t>
      </w:r>
      <w:r w:rsidRPr="00837118">
        <w:rPr>
          <w:rFonts w:asciiTheme="minorEastAsia" w:hAnsiTheme="minorEastAsia"/>
          <w:sz w:val="18"/>
        </w:rPr>
        <w:t>上市</w:t>
      </w:r>
      <w:r w:rsidRPr="00837118">
        <w:rPr>
          <w:rFonts w:asciiTheme="minorEastAsia" w:hAnsiTheme="minorEastAsia" w:hint="eastAsia"/>
          <w:sz w:val="18"/>
        </w:rPr>
        <w:t>公司</w:t>
      </w:r>
      <w:r w:rsidRPr="00837118">
        <w:rPr>
          <w:rFonts w:asciiTheme="minorEastAsia" w:hAnsiTheme="minorEastAsia"/>
          <w:sz w:val="18"/>
        </w:rPr>
        <w:t>研发强度对比</w:t>
      </w:r>
    </w:p>
    <w:p w:rsidR="007208FE" w:rsidRDefault="007208FE" w:rsidP="00CF0415">
      <w:pPr>
        <w:jc w:val="center"/>
        <w:rPr>
          <w:rFonts w:ascii="仿宋_GB2312" w:eastAsia="仿宋_GB2312"/>
          <w:color w:val="000000"/>
          <w:sz w:val="28"/>
          <w:szCs w:val="21"/>
        </w:rPr>
      </w:pPr>
    </w:p>
    <w:p w:rsidR="00A01916" w:rsidRPr="00C735FE" w:rsidRDefault="00A01916" w:rsidP="00CF0415">
      <w:pPr>
        <w:jc w:val="center"/>
        <w:rPr>
          <w:rFonts w:ascii="仿宋_GB2312" w:eastAsia="仿宋_GB2312"/>
          <w:color w:val="000000"/>
          <w:sz w:val="28"/>
          <w:szCs w:val="21"/>
        </w:rPr>
      </w:pPr>
      <w:r>
        <w:rPr>
          <w:noProof/>
        </w:rPr>
        <w:drawing>
          <wp:inline distT="0" distB="0" distL="0" distR="0" wp14:anchorId="58CA31CE" wp14:editId="459ED6B5">
            <wp:extent cx="5274310" cy="2059305"/>
            <wp:effectExtent l="0" t="0" r="2540" b="17145"/>
            <wp:docPr id="20" name="图表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37118" w:rsidRPr="00837118" w:rsidRDefault="00837118" w:rsidP="00837118">
      <w:pPr>
        <w:ind w:firstLineChars="200" w:firstLine="360"/>
        <w:jc w:val="center"/>
        <w:rPr>
          <w:rFonts w:asciiTheme="minorEastAsia" w:hAnsiTheme="minorEastAsia"/>
          <w:sz w:val="18"/>
        </w:rPr>
      </w:pPr>
      <w:r w:rsidRPr="00837118">
        <w:rPr>
          <w:rFonts w:asciiTheme="minorEastAsia" w:hAnsiTheme="minorEastAsia" w:hint="eastAsia"/>
          <w:sz w:val="18"/>
        </w:rPr>
        <w:t>图</w:t>
      </w:r>
      <w:r w:rsidR="00CF0415">
        <w:rPr>
          <w:rFonts w:asciiTheme="minorEastAsia" w:hAnsiTheme="minorEastAsia" w:hint="eastAsia"/>
          <w:sz w:val="18"/>
        </w:rPr>
        <w:t>12</w:t>
      </w:r>
      <w:r w:rsidRPr="00837118">
        <w:rPr>
          <w:rFonts w:asciiTheme="minorEastAsia" w:hAnsiTheme="minorEastAsia" w:hint="eastAsia"/>
          <w:sz w:val="18"/>
        </w:rPr>
        <w:t xml:space="preserve"> 战略性新兴</w:t>
      </w:r>
      <w:r w:rsidRPr="00837118">
        <w:rPr>
          <w:rFonts w:asciiTheme="minorEastAsia" w:hAnsiTheme="minorEastAsia"/>
          <w:sz w:val="18"/>
        </w:rPr>
        <w:t>产业上市</w:t>
      </w:r>
      <w:r w:rsidRPr="00837118">
        <w:rPr>
          <w:rFonts w:asciiTheme="minorEastAsia" w:hAnsiTheme="minorEastAsia" w:hint="eastAsia"/>
          <w:sz w:val="18"/>
        </w:rPr>
        <w:t>公司</w:t>
      </w:r>
      <w:r>
        <w:rPr>
          <w:rFonts w:asciiTheme="minorEastAsia" w:hAnsiTheme="minorEastAsia" w:hint="eastAsia"/>
          <w:sz w:val="18"/>
        </w:rPr>
        <w:t>各领域</w:t>
      </w:r>
      <w:r w:rsidRPr="00837118">
        <w:rPr>
          <w:rFonts w:asciiTheme="minorEastAsia" w:hAnsiTheme="minorEastAsia"/>
          <w:sz w:val="18"/>
        </w:rPr>
        <w:t>研发强度对比</w:t>
      </w:r>
    </w:p>
    <w:p w:rsidR="00531A32" w:rsidRPr="00786BE9" w:rsidRDefault="009412BB" w:rsidP="00C735FE">
      <w:pPr>
        <w:ind w:firstLineChars="200" w:firstLine="562"/>
        <w:rPr>
          <w:rFonts w:ascii="仿宋_GB2312" w:eastAsia="仿宋_GB2312"/>
          <w:b/>
          <w:color w:val="000000"/>
          <w:sz w:val="28"/>
          <w:szCs w:val="21"/>
        </w:rPr>
      </w:pPr>
      <w:r>
        <w:rPr>
          <w:rFonts w:ascii="仿宋_GB2312" w:eastAsia="仿宋_GB2312" w:hint="eastAsia"/>
          <w:b/>
          <w:color w:val="000000"/>
          <w:sz w:val="28"/>
          <w:szCs w:val="21"/>
        </w:rPr>
        <w:t>七</w:t>
      </w:r>
      <w:r w:rsidR="005A3BF7">
        <w:rPr>
          <w:rFonts w:ascii="仿宋_GB2312" w:eastAsia="仿宋_GB2312" w:hint="eastAsia"/>
          <w:b/>
          <w:color w:val="000000"/>
          <w:sz w:val="28"/>
          <w:szCs w:val="21"/>
        </w:rPr>
        <w:t>、</w:t>
      </w:r>
      <w:r w:rsidR="00786BE9" w:rsidRPr="00786BE9">
        <w:rPr>
          <w:rFonts w:ascii="仿宋_GB2312" w:eastAsia="仿宋_GB2312"/>
          <w:b/>
          <w:color w:val="000000"/>
          <w:sz w:val="28"/>
          <w:szCs w:val="21"/>
        </w:rPr>
        <w:t>IPO</w:t>
      </w:r>
      <w:r w:rsidR="00786BE9" w:rsidRPr="00786BE9">
        <w:rPr>
          <w:rFonts w:ascii="仿宋_GB2312" w:eastAsia="仿宋_GB2312" w:hint="eastAsia"/>
          <w:b/>
          <w:color w:val="000000"/>
          <w:sz w:val="28"/>
          <w:szCs w:val="21"/>
        </w:rPr>
        <w:t>节奏</w:t>
      </w:r>
      <w:r w:rsidR="00786BE9" w:rsidRPr="00786BE9">
        <w:rPr>
          <w:rFonts w:ascii="仿宋_GB2312" w:eastAsia="仿宋_GB2312"/>
          <w:b/>
          <w:color w:val="000000"/>
          <w:sz w:val="28"/>
          <w:szCs w:val="21"/>
        </w:rPr>
        <w:t>放慢</w:t>
      </w:r>
      <w:r w:rsidR="00A01916">
        <w:rPr>
          <w:rFonts w:ascii="仿宋_GB2312" w:eastAsia="仿宋_GB2312" w:hint="eastAsia"/>
          <w:b/>
          <w:color w:val="000000"/>
          <w:sz w:val="28"/>
          <w:szCs w:val="21"/>
        </w:rPr>
        <w:t>，</w:t>
      </w:r>
      <w:r w:rsidR="00E86D8A">
        <w:rPr>
          <w:rFonts w:ascii="仿宋_GB2312" w:eastAsia="仿宋_GB2312" w:hint="eastAsia"/>
          <w:b/>
          <w:color w:val="000000"/>
          <w:sz w:val="28"/>
          <w:szCs w:val="21"/>
        </w:rPr>
        <w:t>但</w:t>
      </w:r>
      <w:r w:rsidR="00786BE9" w:rsidRPr="00786BE9">
        <w:rPr>
          <w:rFonts w:ascii="仿宋_GB2312" w:eastAsia="仿宋_GB2312" w:hint="eastAsia"/>
          <w:b/>
          <w:color w:val="000000"/>
          <w:sz w:val="28"/>
          <w:szCs w:val="21"/>
        </w:rPr>
        <w:t>增发</w:t>
      </w:r>
      <w:r w:rsidR="00786BE9" w:rsidRPr="00786BE9">
        <w:rPr>
          <w:rFonts w:ascii="仿宋_GB2312" w:eastAsia="仿宋_GB2312"/>
          <w:b/>
          <w:color w:val="000000"/>
          <w:sz w:val="28"/>
          <w:szCs w:val="21"/>
        </w:rPr>
        <w:t>募资</w:t>
      </w:r>
      <w:r w:rsidR="00531A32" w:rsidRPr="00786BE9">
        <w:rPr>
          <w:rFonts w:ascii="仿宋_GB2312" w:eastAsia="仿宋_GB2312"/>
          <w:b/>
          <w:color w:val="000000"/>
          <w:sz w:val="28"/>
          <w:szCs w:val="21"/>
        </w:rPr>
        <w:t>增长</w:t>
      </w:r>
      <w:r w:rsidR="00786BE9" w:rsidRPr="00786BE9">
        <w:rPr>
          <w:rFonts w:ascii="仿宋_GB2312" w:eastAsia="仿宋_GB2312" w:hint="eastAsia"/>
          <w:b/>
          <w:color w:val="000000"/>
          <w:sz w:val="28"/>
          <w:szCs w:val="21"/>
        </w:rPr>
        <w:t>较快</w:t>
      </w:r>
    </w:p>
    <w:p w:rsidR="00786BE9" w:rsidRDefault="001C2A81" w:rsidP="00786BE9">
      <w:pPr>
        <w:ind w:firstLineChars="200" w:firstLine="560"/>
        <w:rPr>
          <w:rFonts w:ascii="仿宋_GB2312" w:eastAsia="仿宋_GB2312"/>
          <w:sz w:val="28"/>
        </w:rPr>
      </w:pPr>
      <w:r w:rsidRPr="00C735FE">
        <w:rPr>
          <w:rFonts w:ascii="仿宋_GB2312" w:eastAsia="仿宋_GB2312" w:hint="eastAsia"/>
          <w:sz w:val="28"/>
        </w:rPr>
        <w:t>2016年</w:t>
      </w:r>
      <w:r w:rsidR="00786BE9">
        <w:rPr>
          <w:rFonts w:ascii="仿宋_GB2312" w:eastAsia="仿宋_GB2312" w:hint="eastAsia"/>
          <w:sz w:val="28"/>
        </w:rPr>
        <w:t>战略性新兴产业企业上市</w:t>
      </w:r>
      <w:r w:rsidR="00786BE9">
        <w:rPr>
          <w:rFonts w:ascii="仿宋_GB2312" w:eastAsia="仿宋_GB2312"/>
          <w:sz w:val="28"/>
        </w:rPr>
        <w:t>步伐</w:t>
      </w:r>
      <w:r w:rsidR="00786BE9">
        <w:rPr>
          <w:rFonts w:ascii="仿宋_GB2312" w:eastAsia="仿宋_GB2312" w:hint="eastAsia"/>
          <w:sz w:val="28"/>
        </w:rPr>
        <w:t>有所放缓，</w:t>
      </w:r>
      <w:r w:rsidRPr="00C735FE">
        <w:rPr>
          <w:rFonts w:ascii="仿宋_GB2312" w:eastAsia="仿宋_GB2312" w:hint="eastAsia"/>
          <w:sz w:val="28"/>
        </w:rPr>
        <w:t>共有82家战略性新兴产业企业在A股融资上市，</w:t>
      </w:r>
      <w:r w:rsidR="0088242D" w:rsidRPr="00C735FE">
        <w:rPr>
          <w:rFonts w:ascii="仿宋_GB2312" w:eastAsia="仿宋_GB2312" w:hint="eastAsia"/>
          <w:sz w:val="28"/>
        </w:rPr>
        <w:t>比</w:t>
      </w:r>
      <w:r w:rsidR="00E50CFE">
        <w:rPr>
          <w:rFonts w:ascii="仿宋_GB2312" w:eastAsia="仿宋_GB2312" w:hint="eastAsia"/>
          <w:sz w:val="28"/>
        </w:rPr>
        <w:t>2015</w:t>
      </w:r>
      <w:r w:rsidR="0088242D" w:rsidRPr="00C735FE">
        <w:rPr>
          <w:rFonts w:ascii="仿宋_GB2312" w:eastAsia="仿宋_GB2312" w:hint="eastAsia"/>
          <w:sz w:val="28"/>
        </w:rPr>
        <w:t>年减少8家。</w:t>
      </w:r>
      <w:r w:rsidRPr="00C735FE">
        <w:rPr>
          <w:rFonts w:ascii="仿宋_GB2312" w:eastAsia="仿宋_GB2312" w:hint="eastAsia"/>
          <w:sz w:val="28"/>
        </w:rPr>
        <w:t>首发募资总额为424.6亿元，低于</w:t>
      </w:r>
      <w:r w:rsidR="00E50CFE">
        <w:rPr>
          <w:rFonts w:ascii="仿宋_GB2312" w:eastAsia="仿宋_GB2312" w:hint="eastAsia"/>
          <w:sz w:val="28"/>
        </w:rPr>
        <w:t>2015</w:t>
      </w:r>
      <w:r w:rsidRPr="00C735FE">
        <w:rPr>
          <w:rFonts w:ascii="仿宋_GB2312" w:eastAsia="仿宋_GB2312" w:hint="eastAsia"/>
          <w:sz w:val="28"/>
        </w:rPr>
        <w:t>年的552.7亿元。占同期A</w:t>
      </w:r>
      <w:r w:rsidR="0088242D" w:rsidRPr="00C735FE">
        <w:rPr>
          <w:rFonts w:ascii="仿宋_GB2312" w:eastAsia="仿宋_GB2312" w:hint="eastAsia"/>
          <w:sz w:val="28"/>
        </w:rPr>
        <w:t>股首发募资总额比重为</w:t>
      </w:r>
      <w:r w:rsidRPr="00C735FE">
        <w:rPr>
          <w:rFonts w:ascii="仿宋_GB2312" w:eastAsia="仿宋_GB2312" w:hint="eastAsia"/>
          <w:sz w:val="28"/>
        </w:rPr>
        <w:t>28.4%</w:t>
      </w:r>
      <w:r w:rsidR="0088242D" w:rsidRPr="00C735FE">
        <w:rPr>
          <w:rFonts w:ascii="仿宋_GB2312" w:eastAsia="仿宋_GB2312" w:hint="eastAsia"/>
          <w:sz w:val="28"/>
        </w:rPr>
        <w:t>，比</w:t>
      </w:r>
      <w:r w:rsidR="00E50CFE">
        <w:rPr>
          <w:rFonts w:ascii="仿宋_GB2312" w:eastAsia="仿宋_GB2312" w:hint="eastAsia"/>
          <w:sz w:val="28"/>
        </w:rPr>
        <w:t>2015</w:t>
      </w:r>
      <w:r w:rsidR="0088242D" w:rsidRPr="00C735FE">
        <w:rPr>
          <w:rFonts w:ascii="仿宋_GB2312" w:eastAsia="仿宋_GB2312" w:hint="eastAsia"/>
          <w:sz w:val="28"/>
        </w:rPr>
        <w:t>年降低7个百分点。</w:t>
      </w:r>
      <w:r w:rsidR="00786BE9">
        <w:rPr>
          <w:rFonts w:ascii="仿宋_GB2312" w:eastAsia="仿宋_GB2312" w:hint="eastAsia"/>
          <w:sz w:val="28"/>
        </w:rPr>
        <w:t>但同期已上市企业增发募资增速较快，</w:t>
      </w:r>
      <w:r w:rsidR="0088242D" w:rsidRPr="00C735FE">
        <w:rPr>
          <w:rFonts w:ascii="仿宋_GB2312" w:eastAsia="仿宋_GB2312" w:hint="eastAsia"/>
          <w:sz w:val="28"/>
        </w:rPr>
        <w:t>2016年</w:t>
      </w:r>
      <w:r w:rsidRPr="00C735FE">
        <w:rPr>
          <w:rFonts w:ascii="仿宋_GB2312" w:eastAsia="仿宋_GB2312" w:hint="eastAsia"/>
          <w:sz w:val="28"/>
        </w:rPr>
        <w:t>共有</w:t>
      </w:r>
      <w:r w:rsidR="0088242D" w:rsidRPr="00C735FE">
        <w:rPr>
          <w:rFonts w:ascii="仿宋_GB2312" w:eastAsia="仿宋_GB2312" w:hint="eastAsia"/>
          <w:sz w:val="28"/>
        </w:rPr>
        <w:t>293</w:t>
      </w:r>
      <w:r w:rsidRPr="00C735FE">
        <w:rPr>
          <w:rFonts w:ascii="仿宋_GB2312" w:eastAsia="仿宋_GB2312" w:hint="eastAsia"/>
          <w:sz w:val="28"/>
        </w:rPr>
        <w:t>家战略性新兴产业企业实施增发募资，募资总额为</w:t>
      </w:r>
      <w:r w:rsidR="0088242D" w:rsidRPr="00C735FE">
        <w:rPr>
          <w:rFonts w:ascii="仿宋_GB2312" w:eastAsia="仿宋_GB2312" w:hint="eastAsia"/>
          <w:sz w:val="28"/>
        </w:rPr>
        <w:t>4727</w:t>
      </w:r>
      <w:r w:rsidRPr="00C735FE">
        <w:rPr>
          <w:rFonts w:ascii="仿宋_GB2312" w:eastAsia="仿宋_GB2312" w:hint="eastAsia"/>
          <w:sz w:val="28"/>
        </w:rPr>
        <w:t>亿元</w:t>
      </w:r>
      <w:r w:rsidR="0088242D" w:rsidRPr="00C735FE">
        <w:rPr>
          <w:rFonts w:ascii="仿宋_GB2312" w:eastAsia="仿宋_GB2312" w:hint="eastAsia"/>
          <w:sz w:val="28"/>
        </w:rPr>
        <w:t>，比</w:t>
      </w:r>
      <w:r w:rsidR="00E50CFE">
        <w:rPr>
          <w:rFonts w:ascii="仿宋_GB2312" w:eastAsia="仿宋_GB2312" w:hint="eastAsia"/>
          <w:sz w:val="28"/>
        </w:rPr>
        <w:t>2015</w:t>
      </w:r>
      <w:r w:rsidR="0088242D" w:rsidRPr="00C735FE">
        <w:rPr>
          <w:rFonts w:ascii="仿宋_GB2312" w:eastAsia="仿宋_GB2312" w:hint="eastAsia"/>
          <w:sz w:val="28"/>
        </w:rPr>
        <w:t>年增长1336亿元，增速为39.4%。募资增加主要集中于生物和新材料领域，二者分别增长664</w:t>
      </w:r>
      <w:r w:rsidR="0088242D" w:rsidRPr="00C735FE">
        <w:rPr>
          <w:rFonts w:ascii="仿宋_GB2312" w:eastAsia="仿宋_GB2312" w:hint="eastAsia"/>
          <w:sz w:val="28"/>
        </w:rPr>
        <w:lastRenderedPageBreak/>
        <w:t>亿元和278亿元</w:t>
      </w:r>
      <w:r w:rsidR="00837118">
        <w:rPr>
          <w:rFonts w:ascii="仿宋_GB2312" w:eastAsia="仿宋_GB2312" w:hint="eastAsia"/>
          <w:sz w:val="28"/>
        </w:rPr>
        <w:t>（见</w:t>
      </w:r>
      <w:r w:rsidR="00837118">
        <w:rPr>
          <w:rFonts w:ascii="仿宋_GB2312" w:eastAsia="仿宋_GB2312"/>
          <w:sz w:val="28"/>
        </w:rPr>
        <w:t>图</w:t>
      </w:r>
      <w:r w:rsidR="00CF0415">
        <w:rPr>
          <w:rFonts w:ascii="仿宋_GB2312" w:eastAsia="仿宋_GB2312" w:hint="eastAsia"/>
          <w:sz w:val="28"/>
        </w:rPr>
        <w:t>13</w:t>
      </w:r>
      <w:r w:rsidR="00837118">
        <w:rPr>
          <w:rFonts w:ascii="仿宋_GB2312" w:eastAsia="仿宋_GB2312" w:hint="eastAsia"/>
          <w:sz w:val="28"/>
        </w:rPr>
        <w:t>）</w:t>
      </w:r>
      <w:r w:rsidR="00786BE9">
        <w:rPr>
          <w:rFonts w:ascii="仿宋_GB2312" w:eastAsia="仿宋_GB2312" w:hint="eastAsia"/>
          <w:sz w:val="28"/>
        </w:rPr>
        <w:t>。</w:t>
      </w:r>
    </w:p>
    <w:p w:rsidR="00CF0E2A" w:rsidRDefault="00786BE9" w:rsidP="00CF0415">
      <w:pPr>
        <w:jc w:val="center"/>
        <w:rPr>
          <w:rFonts w:ascii="仿宋_GB2312" w:eastAsia="仿宋_GB2312"/>
          <w:sz w:val="28"/>
        </w:rPr>
      </w:pPr>
      <w:r>
        <w:rPr>
          <w:noProof/>
        </w:rPr>
        <w:drawing>
          <wp:inline distT="0" distB="0" distL="0" distR="0" wp14:anchorId="629A470E" wp14:editId="53A4C69E">
            <wp:extent cx="5153025" cy="2124075"/>
            <wp:effectExtent l="0" t="0" r="9525" b="9525"/>
            <wp:docPr id="15" name="图表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837118" w:rsidRPr="00837118" w:rsidRDefault="00837118" w:rsidP="00837118">
      <w:pPr>
        <w:ind w:firstLineChars="200" w:firstLine="360"/>
        <w:jc w:val="center"/>
        <w:rPr>
          <w:rFonts w:asciiTheme="minorEastAsia" w:hAnsiTheme="minorEastAsia"/>
          <w:sz w:val="18"/>
        </w:rPr>
      </w:pPr>
      <w:r w:rsidRPr="00837118">
        <w:rPr>
          <w:rFonts w:asciiTheme="minorEastAsia" w:hAnsiTheme="minorEastAsia" w:hint="eastAsia"/>
          <w:sz w:val="18"/>
        </w:rPr>
        <w:t>图</w:t>
      </w:r>
      <w:r w:rsidR="00CF0415">
        <w:rPr>
          <w:rFonts w:asciiTheme="minorEastAsia" w:hAnsiTheme="minorEastAsia" w:hint="eastAsia"/>
          <w:sz w:val="18"/>
        </w:rPr>
        <w:t>13</w:t>
      </w:r>
      <w:r w:rsidRPr="00837118">
        <w:rPr>
          <w:rFonts w:asciiTheme="minorEastAsia" w:hAnsiTheme="minorEastAsia" w:hint="eastAsia"/>
          <w:sz w:val="18"/>
        </w:rPr>
        <w:t xml:space="preserve"> 战略性新兴</w:t>
      </w:r>
      <w:r w:rsidRPr="00837118">
        <w:rPr>
          <w:rFonts w:asciiTheme="minorEastAsia" w:hAnsiTheme="minorEastAsia"/>
          <w:sz w:val="18"/>
        </w:rPr>
        <w:t>产业上市</w:t>
      </w:r>
      <w:r w:rsidRPr="00837118">
        <w:rPr>
          <w:rFonts w:asciiTheme="minorEastAsia" w:hAnsiTheme="minorEastAsia" w:hint="eastAsia"/>
          <w:sz w:val="18"/>
        </w:rPr>
        <w:t>公司</w:t>
      </w:r>
      <w:r>
        <w:rPr>
          <w:rFonts w:asciiTheme="minorEastAsia" w:hAnsiTheme="minorEastAsia" w:hint="eastAsia"/>
          <w:sz w:val="18"/>
        </w:rPr>
        <w:t>各领域增发</w:t>
      </w:r>
      <w:r>
        <w:rPr>
          <w:rFonts w:asciiTheme="minorEastAsia" w:hAnsiTheme="minorEastAsia"/>
          <w:sz w:val="18"/>
        </w:rPr>
        <w:t>募资额</w:t>
      </w:r>
      <w:r w:rsidRPr="00837118">
        <w:rPr>
          <w:rFonts w:asciiTheme="minorEastAsia" w:hAnsiTheme="minorEastAsia"/>
          <w:sz w:val="18"/>
        </w:rPr>
        <w:t>对比</w:t>
      </w:r>
    </w:p>
    <w:p w:rsidR="0088242D" w:rsidRPr="00786BE9" w:rsidRDefault="009412BB" w:rsidP="00C735FE">
      <w:pPr>
        <w:ind w:firstLineChars="200" w:firstLine="562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八</w:t>
      </w:r>
      <w:r w:rsidR="00786BE9" w:rsidRPr="00786BE9">
        <w:rPr>
          <w:rFonts w:ascii="仿宋_GB2312" w:eastAsia="仿宋_GB2312"/>
          <w:b/>
          <w:sz w:val="28"/>
        </w:rPr>
        <w:t>、</w:t>
      </w:r>
      <w:r w:rsidR="00786BE9" w:rsidRPr="00786BE9">
        <w:rPr>
          <w:rFonts w:ascii="仿宋_GB2312" w:eastAsia="仿宋_GB2312" w:hint="eastAsia"/>
          <w:b/>
          <w:sz w:val="28"/>
        </w:rPr>
        <w:t>并购</w:t>
      </w:r>
      <w:r w:rsidR="00786BE9" w:rsidRPr="00786BE9">
        <w:rPr>
          <w:rFonts w:ascii="仿宋_GB2312" w:eastAsia="仿宋_GB2312"/>
          <w:b/>
          <w:sz w:val="28"/>
        </w:rPr>
        <w:t>重组</w:t>
      </w:r>
      <w:r w:rsidR="00234531">
        <w:rPr>
          <w:rFonts w:ascii="仿宋_GB2312" w:eastAsia="仿宋_GB2312" w:hint="eastAsia"/>
          <w:b/>
          <w:sz w:val="28"/>
        </w:rPr>
        <w:t>继续</w:t>
      </w:r>
      <w:r w:rsidR="00786BE9" w:rsidRPr="00786BE9">
        <w:rPr>
          <w:rFonts w:ascii="仿宋_GB2312" w:eastAsia="仿宋_GB2312"/>
          <w:b/>
          <w:sz w:val="28"/>
        </w:rPr>
        <w:t>活跃</w:t>
      </w:r>
    </w:p>
    <w:p w:rsidR="00895266" w:rsidRDefault="004C1B4E" w:rsidP="00C735FE">
      <w:pPr>
        <w:ind w:firstLineChars="200" w:firstLine="560"/>
        <w:rPr>
          <w:rFonts w:ascii="仿宋_GB2312" w:eastAsia="仿宋_GB2312"/>
          <w:sz w:val="28"/>
        </w:rPr>
      </w:pPr>
      <w:r w:rsidRPr="00C735FE">
        <w:rPr>
          <w:rFonts w:ascii="仿宋_GB2312" w:eastAsia="仿宋_GB2312" w:hint="eastAsia"/>
          <w:sz w:val="28"/>
        </w:rPr>
        <w:t>2016年共有109家战略性新兴产业</w:t>
      </w:r>
      <w:r w:rsidR="00EE73C6" w:rsidRPr="00C735FE">
        <w:rPr>
          <w:rFonts w:ascii="仿宋_GB2312" w:eastAsia="仿宋_GB2312" w:hint="eastAsia"/>
          <w:sz w:val="28"/>
        </w:rPr>
        <w:t>完成</w:t>
      </w:r>
      <w:r w:rsidRPr="00C735FE">
        <w:rPr>
          <w:rFonts w:ascii="仿宋_GB2312" w:eastAsia="仿宋_GB2312" w:hint="eastAsia"/>
          <w:sz w:val="28"/>
        </w:rPr>
        <w:t>重组并购</w:t>
      </w:r>
      <w:r w:rsidR="00EE73C6" w:rsidRPr="00C735FE">
        <w:rPr>
          <w:rFonts w:ascii="仿宋_GB2312" w:eastAsia="仿宋_GB2312" w:hint="eastAsia"/>
          <w:sz w:val="28"/>
        </w:rPr>
        <w:t>，</w:t>
      </w:r>
      <w:r w:rsidR="00D31AA1" w:rsidRPr="00C735FE">
        <w:rPr>
          <w:rFonts w:ascii="仿宋_GB2312" w:eastAsia="仿宋_GB2312" w:hint="eastAsia"/>
          <w:sz w:val="28"/>
        </w:rPr>
        <w:t>占总数</w:t>
      </w:r>
      <w:r w:rsidR="00EE73C6" w:rsidRPr="00C735FE">
        <w:rPr>
          <w:rFonts w:ascii="仿宋_GB2312" w:eastAsia="仿宋_GB2312" w:hint="eastAsia"/>
          <w:sz w:val="28"/>
        </w:rPr>
        <w:t>的41.3%。</w:t>
      </w:r>
      <w:r w:rsidR="00E50CD4">
        <w:rPr>
          <w:rFonts w:ascii="仿宋_GB2312" w:eastAsia="仿宋_GB2312" w:hint="eastAsia"/>
          <w:sz w:val="28"/>
        </w:rPr>
        <w:t>交易</w:t>
      </w:r>
      <w:r w:rsidR="00E50CD4">
        <w:rPr>
          <w:rFonts w:ascii="仿宋_GB2312" w:eastAsia="仿宋_GB2312"/>
          <w:sz w:val="28"/>
        </w:rPr>
        <w:t>总价值</w:t>
      </w:r>
      <w:r w:rsidR="00E50CD4">
        <w:rPr>
          <w:rFonts w:ascii="仿宋_GB2312" w:eastAsia="仿宋_GB2312" w:hint="eastAsia"/>
          <w:sz w:val="28"/>
        </w:rPr>
        <w:t>达2054.8亿元</w:t>
      </w:r>
      <w:r w:rsidR="00E50CD4">
        <w:rPr>
          <w:rFonts w:ascii="仿宋_GB2312" w:eastAsia="仿宋_GB2312"/>
          <w:sz w:val="28"/>
        </w:rPr>
        <w:t>，主要集中在</w:t>
      </w:r>
      <w:r w:rsidR="00E50CD4">
        <w:rPr>
          <w:rFonts w:ascii="仿宋_GB2312" w:eastAsia="仿宋_GB2312" w:hint="eastAsia"/>
          <w:sz w:val="28"/>
        </w:rPr>
        <w:t>生物</w:t>
      </w:r>
      <w:r w:rsidR="00E50CD4">
        <w:rPr>
          <w:rFonts w:ascii="仿宋_GB2312" w:eastAsia="仿宋_GB2312"/>
          <w:sz w:val="28"/>
        </w:rPr>
        <w:t>、</w:t>
      </w:r>
      <w:r w:rsidR="00E50CD4">
        <w:rPr>
          <w:rFonts w:ascii="仿宋_GB2312" w:eastAsia="仿宋_GB2312" w:hint="eastAsia"/>
          <w:sz w:val="28"/>
        </w:rPr>
        <w:t>信息技术</w:t>
      </w:r>
      <w:r w:rsidR="00EE73C6" w:rsidRPr="00C735FE">
        <w:rPr>
          <w:rFonts w:ascii="仿宋_GB2312" w:eastAsia="仿宋_GB2312" w:hint="eastAsia"/>
          <w:sz w:val="28"/>
        </w:rPr>
        <w:t>和数字创意</w:t>
      </w:r>
      <w:r w:rsidR="00E50CD4">
        <w:rPr>
          <w:rFonts w:ascii="仿宋_GB2312" w:eastAsia="仿宋_GB2312" w:hint="eastAsia"/>
          <w:sz w:val="28"/>
        </w:rPr>
        <w:t>领域，</w:t>
      </w:r>
      <w:r w:rsidR="00215886">
        <w:rPr>
          <w:rFonts w:ascii="仿宋_GB2312" w:eastAsia="仿宋_GB2312" w:hint="eastAsia"/>
          <w:sz w:val="28"/>
        </w:rPr>
        <w:t>交易</w:t>
      </w:r>
      <w:r w:rsidR="00215886">
        <w:rPr>
          <w:rFonts w:ascii="仿宋_GB2312" w:eastAsia="仿宋_GB2312"/>
          <w:sz w:val="28"/>
        </w:rPr>
        <w:t>额分别达</w:t>
      </w:r>
      <w:r w:rsidR="00215886">
        <w:rPr>
          <w:rFonts w:ascii="仿宋_GB2312" w:eastAsia="仿宋_GB2312" w:hint="eastAsia"/>
          <w:sz w:val="28"/>
        </w:rPr>
        <w:t>489亿、375亿</w:t>
      </w:r>
      <w:r w:rsidR="00215886">
        <w:rPr>
          <w:rFonts w:ascii="仿宋_GB2312" w:eastAsia="仿宋_GB2312"/>
          <w:sz w:val="28"/>
        </w:rPr>
        <w:t>和</w:t>
      </w:r>
      <w:r w:rsidR="00215886">
        <w:rPr>
          <w:rFonts w:ascii="仿宋_GB2312" w:eastAsia="仿宋_GB2312" w:hint="eastAsia"/>
          <w:sz w:val="28"/>
        </w:rPr>
        <w:t>362亿元</w:t>
      </w:r>
      <w:r w:rsidR="00837118">
        <w:rPr>
          <w:rFonts w:ascii="仿宋_GB2312" w:eastAsia="仿宋_GB2312" w:hint="eastAsia"/>
          <w:sz w:val="28"/>
        </w:rPr>
        <w:t>（见</w:t>
      </w:r>
      <w:r w:rsidR="00837118">
        <w:rPr>
          <w:rFonts w:ascii="仿宋_GB2312" w:eastAsia="仿宋_GB2312"/>
          <w:sz w:val="28"/>
        </w:rPr>
        <w:t>图</w:t>
      </w:r>
      <w:r w:rsidR="00CF0415">
        <w:rPr>
          <w:rFonts w:ascii="仿宋_GB2312" w:eastAsia="仿宋_GB2312" w:hint="eastAsia"/>
          <w:sz w:val="28"/>
        </w:rPr>
        <w:t>14</w:t>
      </w:r>
      <w:r w:rsidR="00837118">
        <w:rPr>
          <w:rFonts w:ascii="仿宋_GB2312" w:eastAsia="仿宋_GB2312" w:hint="eastAsia"/>
          <w:sz w:val="28"/>
        </w:rPr>
        <w:t>）</w:t>
      </w:r>
      <w:r w:rsidR="00215886">
        <w:rPr>
          <w:rFonts w:ascii="仿宋_GB2312" w:eastAsia="仿宋_GB2312"/>
          <w:sz w:val="28"/>
        </w:rPr>
        <w:t>。</w:t>
      </w:r>
      <w:r w:rsidR="000A7EA7">
        <w:rPr>
          <w:rFonts w:ascii="仿宋_GB2312" w:eastAsia="仿宋_GB2312" w:hint="eastAsia"/>
          <w:sz w:val="28"/>
        </w:rPr>
        <w:t>例如，</w:t>
      </w:r>
      <w:r w:rsidR="000A7EA7">
        <w:rPr>
          <w:rFonts w:ascii="仿宋_GB2312" w:eastAsia="仿宋_GB2312"/>
          <w:sz w:val="28"/>
        </w:rPr>
        <w:t>信息技术领域的</w:t>
      </w:r>
      <w:r w:rsidR="00895266" w:rsidRPr="00E50CD4">
        <w:rPr>
          <w:rFonts w:ascii="仿宋_GB2312" w:eastAsia="仿宋_GB2312" w:hint="eastAsia"/>
          <w:b/>
          <w:sz w:val="28"/>
        </w:rPr>
        <w:t>均胜电子</w:t>
      </w:r>
      <w:r w:rsidR="00895266" w:rsidRPr="00C735FE">
        <w:rPr>
          <w:rFonts w:ascii="仿宋_GB2312" w:eastAsia="仿宋_GB2312" w:hint="eastAsia"/>
          <w:sz w:val="28"/>
        </w:rPr>
        <w:t>斥资73亿人民币收购美国公司KSS Holdings，Inc．和德国TS道恩的汽车信息板块业务，</w:t>
      </w:r>
      <w:r w:rsidR="00E50CD4">
        <w:rPr>
          <w:rFonts w:ascii="仿宋_GB2312" w:eastAsia="仿宋_GB2312" w:hint="eastAsia"/>
          <w:sz w:val="28"/>
        </w:rPr>
        <w:t>短时间</w:t>
      </w:r>
      <w:r w:rsidR="00E50CD4">
        <w:rPr>
          <w:rFonts w:ascii="仿宋_GB2312" w:eastAsia="仿宋_GB2312"/>
          <w:sz w:val="28"/>
        </w:rPr>
        <w:t>内快速</w:t>
      </w:r>
      <w:r w:rsidR="00E50CD4">
        <w:rPr>
          <w:rFonts w:ascii="仿宋_GB2312" w:eastAsia="仿宋_GB2312" w:hint="eastAsia"/>
          <w:sz w:val="28"/>
        </w:rPr>
        <w:t>提升</w:t>
      </w:r>
      <w:r w:rsidR="00895266" w:rsidRPr="00C735FE">
        <w:rPr>
          <w:rFonts w:ascii="仿宋_GB2312" w:eastAsia="仿宋_GB2312" w:hint="eastAsia"/>
          <w:sz w:val="28"/>
        </w:rPr>
        <w:t>公司在智能导航系统和一系列车载信息系统的竞争力，完善了公司在汽车安全的全球化布局，使得公司向智能驾驶领域迈进一大步。</w:t>
      </w:r>
      <w:r w:rsidR="000A7EA7">
        <w:rPr>
          <w:rFonts w:ascii="仿宋_GB2312" w:eastAsia="仿宋_GB2312" w:hint="eastAsia"/>
          <w:sz w:val="28"/>
        </w:rPr>
        <w:t>生物医药</w:t>
      </w:r>
      <w:r w:rsidR="000A7EA7">
        <w:rPr>
          <w:rFonts w:ascii="仿宋_GB2312" w:eastAsia="仿宋_GB2312"/>
          <w:sz w:val="28"/>
        </w:rPr>
        <w:t>领域的</w:t>
      </w:r>
      <w:r w:rsidR="00540597" w:rsidRPr="00E50CD4">
        <w:rPr>
          <w:rFonts w:ascii="仿宋_GB2312" w:eastAsia="仿宋_GB2312" w:hint="eastAsia"/>
          <w:b/>
          <w:sz w:val="28"/>
        </w:rPr>
        <w:t>通化</w:t>
      </w:r>
      <w:r w:rsidR="00540597" w:rsidRPr="00E50CD4">
        <w:rPr>
          <w:rFonts w:ascii="仿宋_GB2312" w:eastAsia="仿宋_GB2312"/>
          <w:b/>
          <w:sz w:val="28"/>
        </w:rPr>
        <w:t>金马</w:t>
      </w:r>
      <w:r w:rsidR="00540597">
        <w:rPr>
          <w:rFonts w:ascii="仿宋_GB2312" w:eastAsia="仿宋_GB2312" w:hint="eastAsia"/>
          <w:sz w:val="28"/>
        </w:rPr>
        <w:t>通过</w:t>
      </w:r>
      <w:r w:rsidR="00540597">
        <w:rPr>
          <w:rFonts w:ascii="仿宋_GB2312" w:eastAsia="仿宋_GB2312"/>
          <w:sz w:val="28"/>
        </w:rPr>
        <w:t>横向整合</w:t>
      </w:r>
      <w:r w:rsidR="00E50CD4">
        <w:rPr>
          <w:rFonts w:ascii="仿宋_GB2312" w:eastAsia="仿宋_GB2312" w:hint="eastAsia"/>
          <w:sz w:val="28"/>
        </w:rPr>
        <w:t>以23亿</w:t>
      </w:r>
      <w:r w:rsidR="00E50CD4">
        <w:rPr>
          <w:rFonts w:ascii="仿宋_GB2312" w:eastAsia="仿宋_GB2312"/>
          <w:sz w:val="28"/>
        </w:rPr>
        <w:t>元的交易价格</w:t>
      </w:r>
      <w:r w:rsidR="00540597">
        <w:rPr>
          <w:rFonts w:ascii="仿宋_GB2312" w:eastAsia="仿宋_GB2312"/>
          <w:sz w:val="28"/>
        </w:rPr>
        <w:t>收购</w:t>
      </w:r>
      <w:r w:rsidR="00540597">
        <w:rPr>
          <w:rFonts w:ascii="仿宋_GB2312" w:eastAsia="仿宋_GB2312" w:hint="eastAsia"/>
          <w:sz w:val="28"/>
        </w:rPr>
        <w:t>圣</w:t>
      </w:r>
      <w:r w:rsidR="00540597">
        <w:rPr>
          <w:rFonts w:ascii="仿宋_GB2312" w:eastAsia="仿宋_GB2312"/>
          <w:sz w:val="28"/>
        </w:rPr>
        <w:t>泰生物</w:t>
      </w:r>
      <w:r w:rsidR="00E50CD4">
        <w:rPr>
          <w:rFonts w:ascii="仿宋_GB2312" w:eastAsia="仿宋_GB2312" w:hint="eastAsia"/>
          <w:sz w:val="28"/>
        </w:rPr>
        <w:t>100</w:t>
      </w:r>
      <w:r w:rsidR="00E50CD4">
        <w:rPr>
          <w:rFonts w:ascii="仿宋_GB2312" w:eastAsia="仿宋_GB2312"/>
          <w:sz w:val="28"/>
        </w:rPr>
        <w:t>%股权</w:t>
      </w:r>
      <w:r w:rsidR="00E50CD4">
        <w:rPr>
          <w:rFonts w:ascii="仿宋_GB2312" w:eastAsia="仿宋_GB2312" w:hint="eastAsia"/>
          <w:sz w:val="28"/>
        </w:rPr>
        <w:t>，</w:t>
      </w:r>
      <w:r w:rsidR="00540597" w:rsidRPr="00540597">
        <w:rPr>
          <w:rFonts w:ascii="仿宋_GB2312" w:eastAsia="仿宋_GB2312" w:hint="eastAsia"/>
          <w:sz w:val="28"/>
        </w:rPr>
        <w:t>进一步增强</w:t>
      </w:r>
      <w:r w:rsidR="00E50CD4">
        <w:rPr>
          <w:rFonts w:ascii="仿宋_GB2312" w:eastAsia="仿宋_GB2312" w:hint="eastAsia"/>
          <w:sz w:val="28"/>
        </w:rPr>
        <w:t>了</w:t>
      </w:r>
      <w:r w:rsidR="00540597" w:rsidRPr="00540597">
        <w:rPr>
          <w:rFonts w:ascii="仿宋_GB2312" w:eastAsia="仿宋_GB2312" w:hint="eastAsia"/>
          <w:sz w:val="28"/>
        </w:rPr>
        <w:t>公司在关节炎、风湿病、心脑血管类用药医药领域的核心竞争力。</w:t>
      </w:r>
      <w:r w:rsidR="000A7EA7">
        <w:rPr>
          <w:rFonts w:ascii="仿宋_GB2312" w:eastAsia="仿宋_GB2312" w:hint="eastAsia"/>
          <w:sz w:val="28"/>
        </w:rPr>
        <w:t>数字</w:t>
      </w:r>
      <w:r w:rsidR="000A7EA7">
        <w:rPr>
          <w:rFonts w:ascii="仿宋_GB2312" w:eastAsia="仿宋_GB2312"/>
          <w:sz w:val="28"/>
        </w:rPr>
        <w:t>内容领域的</w:t>
      </w:r>
      <w:r w:rsidR="00B068CC" w:rsidRPr="00291672">
        <w:rPr>
          <w:rFonts w:ascii="仿宋_GB2312" w:eastAsia="仿宋_GB2312" w:hint="eastAsia"/>
          <w:b/>
          <w:sz w:val="28"/>
        </w:rPr>
        <w:t>天舟</w:t>
      </w:r>
      <w:r w:rsidR="00B068CC" w:rsidRPr="00291672">
        <w:rPr>
          <w:rFonts w:ascii="仿宋_GB2312" w:eastAsia="仿宋_GB2312"/>
          <w:b/>
          <w:sz w:val="28"/>
        </w:rPr>
        <w:t>文化</w:t>
      </w:r>
      <w:r w:rsidR="00B068CC">
        <w:rPr>
          <w:rFonts w:ascii="仿宋_GB2312" w:eastAsia="仿宋_GB2312" w:hint="eastAsia"/>
          <w:sz w:val="28"/>
        </w:rPr>
        <w:t>以16.2亿元</w:t>
      </w:r>
      <w:r w:rsidR="00B068CC">
        <w:rPr>
          <w:rFonts w:ascii="仿宋_GB2312" w:eastAsia="仿宋_GB2312"/>
          <w:sz w:val="28"/>
        </w:rPr>
        <w:t>的</w:t>
      </w:r>
      <w:r w:rsidR="00B068CC">
        <w:rPr>
          <w:rFonts w:ascii="仿宋_GB2312" w:eastAsia="仿宋_GB2312" w:hint="eastAsia"/>
          <w:sz w:val="28"/>
        </w:rPr>
        <w:t>交易价</w:t>
      </w:r>
      <w:r w:rsidR="00B068CC">
        <w:rPr>
          <w:rFonts w:ascii="仿宋_GB2312" w:eastAsia="仿宋_GB2312"/>
          <w:sz w:val="28"/>
        </w:rPr>
        <w:t>将</w:t>
      </w:r>
      <w:r w:rsidR="00B068CC">
        <w:rPr>
          <w:rFonts w:ascii="仿宋_GB2312" w:eastAsia="仿宋_GB2312" w:hint="eastAsia"/>
          <w:sz w:val="28"/>
        </w:rPr>
        <w:t>游</w:t>
      </w:r>
      <w:r w:rsidR="00B068CC">
        <w:rPr>
          <w:rFonts w:ascii="仿宋_GB2312" w:eastAsia="仿宋_GB2312"/>
          <w:sz w:val="28"/>
        </w:rPr>
        <w:t>爱网络</w:t>
      </w:r>
      <w:r w:rsidR="00B068CC">
        <w:rPr>
          <w:rFonts w:ascii="仿宋_GB2312" w:eastAsia="仿宋_GB2312" w:hint="eastAsia"/>
          <w:sz w:val="28"/>
        </w:rPr>
        <w:t>纳为100</w:t>
      </w:r>
      <w:r w:rsidR="00B068CC">
        <w:rPr>
          <w:rFonts w:ascii="仿宋_GB2312" w:eastAsia="仿宋_GB2312"/>
          <w:sz w:val="28"/>
        </w:rPr>
        <w:t>%控股子公司，</w:t>
      </w:r>
      <w:r w:rsidR="00291672">
        <w:rPr>
          <w:rFonts w:ascii="仿宋_GB2312" w:eastAsia="仿宋_GB2312" w:hint="eastAsia"/>
          <w:sz w:val="28"/>
        </w:rPr>
        <w:t>通过外延并购投资的方式布局游戏</w:t>
      </w:r>
      <w:r w:rsidR="00B068CC" w:rsidRPr="00B068CC">
        <w:rPr>
          <w:rFonts w:ascii="仿宋_GB2312" w:eastAsia="仿宋_GB2312" w:hint="eastAsia"/>
          <w:sz w:val="28"/>
        </w:rPr>
        <w:t>产业,</w:t>
      </w:r>
      <w:r w:rsidR="00291672">
        <w:rPr>
          <w:rFonts w:ascii="仿宋_GB2312" w:eastAsia="仿宋_GB2312" w:hint="eastAsia"/>
          <w:sz w:val="28"/>
        </w:rPr>
        <w:t>进一步</w:t>
      </w:r>
      <w:r w:rsidR="00291672">
        <w:rPr>
          <w:rFonts w:ascii="仿宋_GB2312" w:eastAsia="仿宋_GB2312"/>
          <w:sz w:val="28"/>
        </w:rPr>
        <w:t>推动</w:t>
      </w:r>
      <w:r w:rsidR="00291672">
        <w:rPr>
          <w:rFonts w:ascii="仿宋_GB2312" w:eastAsia="仿宋_GB2312" w:hint="eastAsia"/>
          <w:sz w:val="28"/>
        </w:rPr>
        <w:t>公司业务</w:t>
      </w:r>
      <w:r w:rsidR="00291672">
        <w:rPr>
          <w:rFonts w:ascii="仿宋_GB2312" w:eastAsia="仿宋_GB2312"/>
          <w:sz w:val="28"/>
        </w:rPr>
        <w:t>转型升级。</w:t>
      </w:r>
    </w:p>
    <w:p w:rsidR="00215886" w:rsidRDefault="00215886" w:rsidP="00CF0415">
      <w:pPr>
        <w:jc w:val="center"/>
        <w:rPr>
          <w:rFonts w:ascii="仿宋_GB2312" w:eastAsia="仿宋_GB2312"/>
          <w:sz w:val="28"/>
        </w:rPr>
      </w:pPr>
      <w:r>
        <w:rPr>
          <w:noProof/>
        </w:rPr>
        <w:lastRenderedPageBreak/>
        <w:drawing>
          <wp:inline distT="0" distB="0" distL="0" distR="0" wp14:anchorId="440DF40C" wp14:editId="636B6079">
            <wp:extent cx="4572000" cy="2133600"/>
            <wp:effectExtent l="0" t="0" r="0" b="0"/>
            <wp:docPr id="16" name="图表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37118" w:rsidRPr="00837118" w:rsidRDefault="00837118" w:rsidP="00837118">
      <w:pPr>
        <w:ind w:firstLineChars="200" w:firstLine="360"/>
        <w:jc w:val="center"/>
        <w:rPr>
          <w:rFonts w:asciiTheme="minorEastAsia" w:hAnsiTheme="minorEastAsia"/>
          <w:sz w:val="18"/>
        </w:rPr>
      </w:pPr>
      <w:r w:rsidRPr="00837118">
        <w:rPr>
          <w:rFonts w:asciiTheme="minorEastAsia" w:hAnsiTheme="minorEastAsia" w:hint="eastAsia"/>
          <w:sz w:val="18"/>
        </w:rPr>
        <w:t>图</w:t>
      </w:r>
      <w:r w:rsidR="00CF0415">
        <w:rPr>
          <w:rFonts w:asciiTheme="minorEastAsia" w:hAnsiTheme="minorEastAsia" w:hint="eastAsia"/>
          <w:sz w:val="18"/>
        </w:rPr>
        <w:t>14</w:t>
      </w:r>
      <w:r w:rsidRPr="00837118">
        <w:rPr>
          <w:rFonts w:asciiTheme="minorEastAsia" w:hAnsiTheme="minorEastAsia" w:hint="eastAsia"/>
          <w:sz w:val="18"/>
        </w:rPr>
        <w:t xml:space="preserve"> 战略性新兴</w:t>
      </w:r>
      <w:r w:rsidRPr="00837118">
        <w:rPr>
          <w:rFonts w:asciiTheme="minorEastAsia" w:hAnsiTheme="minorEastAsia"/>
          <w:sz w:val="18"/>
        </w:rPr>
        <w:t>产业上市</w:t>
      </w:r>
      <w:r w:rsidRPr="00837118">
        <w:rPr>
          <w:rFonts w:asciiTheme="minorEastAsia" w:hAnsiTheme="minorEastAsia" w:hint="eastAsia"/>
          <w:sz w:val="18"/>
        </w:rPr>
        <w:t>公司</w:t>
      </w:r>
      <w:r>
        <w:rPr>
          <w:rFonts w:asciiTheme="minorEastAsia" w:hAnsiTheme="minorEastAsia" w:hint="eastAsia"/>
          <w:sz w:val="18"/>
        </w:rPr>
        <w:t>各领域重组</w:t>
      </w:r>
      <w:r>
        <w:rPr>
          <w:rFonts w:asciiTheme="minorEastAsia" w:hAnsiTheme="minorEastAsia"/>
          <w:sz w:val="18"/>
        </w:rPr>
        <w:t>交易额</w:t>
      </w:r>
      <w:r>
        <w:rPr>
          <w:rFonts w:asciiTheme="minorEastAsia" w:hAnsiTheme="minorEastAsia" w:hint="eastAsia"/>
          <w:sz w:val="18"/>
        </w:rPr>
        <w:t>对比</w:t>
      </w:r>
    </w:p>
    <w:p w:rsidR="00837118" w:rsidRPr="00C735FE" w:rsidRDefault="00837118" w:rsidP="00C735FE">
      <w:pPr>
        <w:ind w:firstLineChars="200" w:firstLine="560"/>
        <w:rPr>
          <w:rFonts w:ascii="仿宋_GB2312" w:eastAsia="仿宋_GB2312"/>
          <w:sz w:val="28"/>
        </w:rPr>
      </w:pPr>
    </w:p>
    <w:sectPr w:rsidR="00837118" w:rsidRPr="00C73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27B" w:rsidRDefault="00A5527B" w:rsidP="006B6D9B">
      <w:r>
        <w:separator/>
      </w:r>
    </w:p>
  </w:endnote>
  <w:endnote w:type="continuationSeparator" w:id="0">
    <w:p w:rsidR="00A5527B" w:rsidRDefault="00A5527B" w:rsidP="006B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27B" w:rsidRDefault="00A5527B" w:rsidP="006B6D9B">
      <w:r>
        <w:separator/>
      </w:r>
    </w:p>
  </w:footnote>
  <w:footnote w:type="continuationSeparator" w:id="0">
    <w:p w:rsidR="00A5527B" w:rsidRDefault="00A5527B" w:rsidP="006B6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C2"/>
    <w:rsid w:val="00010CF6"/>
    <w:rsid w:val="000470FE"/>
    <w:rsid w:val="0008010D"/>
    <w:rsid w:val="00084CC2"/>
    <w:rsid w:val="000956CD"/>
    <w:rsid w:val="000A7EA7"/>
    <w:rsid w:val="000B11E2"/>
    <w:rsid w:val="000F6755"/>
    <w:rsid w:val="00116A9E"/>
    <w:rsid w:val="00131613"/>
    <w:rsid w:val="00162D98"/>
    <w:rsid w:val="00187FEB"/>
    <w:rsid w:val="00197A6A"/>
    <w:rsid w:val="001B12A3"/>
    <w:rsid w:val="001C2A81"/>
    <w:rsid w:val="001C7175"/>
    <w:rsid w:val="001F3DD6"/>
    <w:rsid w:val="0020508E"/>
    <w:rsid w:val="00215886"/>
    <w:rsid w:val="00226104"/>
    <w:rsid w:val="00227596"/>
    <w:rsid w:val="00230A43"/>
    <w:rsid w:val="00234531"/>
    <w:rsid w:val="00240EE0"/>
    <w:rsid w:val="00263394"/>
    <w:rsid w:val="00290850"/>
    <w:rsid w:val="0029103C"/>
    <w:rsid w:val="00291672"/>
    <w:rsid w:val="002A3C3F"/>
    <w:rsid w:val="002B4C94"/>
    <w:rsid w:val="002E734A"/>
    <w:rsid w:val="00320B54"/>
    <w:rsid w:val="00386526"/>
    <w:rsid w:val="003F6514"/>
    <w:rsid w:val="00452040"/>
    <w:rsid w:val="004549AA"/>
    <w:rsid w:val="00465768"/>
    <w:rsid w:val="004A2392"/>
    <w:rsid w:val="004A58F1"/>
    <w:rsid w:val="004C1B4E"/>
    <w:rsid w:val="004F2585"/>
    <w:rsid w:val="005130A6"/>
    <w:rsid w:val="00531A32"/>
    <w:rsid w:val="00537398"/>
    <w:rsid w:val="00540597"/>
    <w:rsid w:val="005A2FD8"/>
    <w:rsid w:val="005A3BF7"/>
    <w:rsid w:val="005D317D"/>
    <w:rsid w:val="005D608C"/>
    <w:rsid w:val="00642391"/>
    <w:rsid w:val="0068214F"/>
    <w:rsid w:val="00693358"/>
    <w:rsid w:val="006B4495"/>
    <w:rsid w:val="006B6D9B"/>
    <w:rsid w:val="006C2F3B"/>
    <w:rsid w:val="007003C6"/>
    <w:rsid w:val="00705F88"/>
    <w:rsid w:val="007208FE"/>
    <w:rsid w:val="00736291"/>
    <w:rsid w:val="00737D8F"/>
    <w:rsid w:val="00740B8F"/>
    <w:rsid w:val="007419BB"/>
    <w:rsid w:val="0076087D"/>
    <w:rsid w:val="00786BE9"/>
    <w:rsid w:val="007F505A"/>
    <w:rsid w:val="007F7DB4"/>
    <w:rsid w:val="008012AB"/>
    <w:rsid w:val="00805673"/>
    <w:rsid w:val="0083407B"/>
    <w:rsid w:val="00834E15"/>
    <w:rsid w:val="00837118"/>
    <w:rsid w:val="00866A4A"/>
    <w:rsid w:val="00876999"/>
    <w:rsid w:val="0088242D"/>
    <w:rsid w:val="008831D0"/>
    <w:rsid w:val="00895266"/>
    <w:rsid w:val="008C51AD"/>
    <w:rsid w:val="008D3BA2"/>
    <w:rsid w:val="00926DA4"/>
    <w:rsid w:val="009311CD"/>
    <w:rsid w:val="00934656"/>
    <w:rsid w:val="009412BB"/>
    <w:rsid w:val="009753FF"/>
    <w:rsid w:val="009860A0"/>
    <w:rsid w:val="009A0FA2"/>
    <w:rsid w:val="009A151B"/>
    <w:rsid w:val="009C24B9"/>
    <w:rsid w:val="009F7454"/>
    <w:rsid w:val="00A01916"/>
    <w:rsid w:val="00A1671A"/>
    <w:rsid w:val="00A5527B"/>
    <w:rsid w:val="00A57245"/>
    <w:rsid w:val="00A63F65"/>
    <w:rsid w:val="00AA6D8D"/>
    <w:rsid w:val="00B068CC"/>
    <w:rsid w:val="00B22701"/>
    <w:rsid w:val="00B461B9"/>
    <w:rsid w:val="00B50702"/>
    <w:rsid w:val="00B544BB"/>
    <w:rsid w:val="00B5716D"/>
    <w:rsid w:val="00B6216C"/>
    <w:rsid w:val="00BA138E"/>
    <w:rsid w:val="00BA3EB2"/>
    <w:rsid w:val="00BD00B2"/>
    <w:rsid w:val="00C02EC4"/>
    <w:rsid w:val="00C0746C"/>
    <w:rsid w:val="00C1223E"/>
    <w:rsid w:val="00C70170"/>
    <w:rsid w:val="00C725A3"/>
    <w:rsid w:val="00C735FE"/>
    <w:rsid w:val="00CD6EEE"/>
    <w:rsid w:val="00CE54F4"/>
    <w:rsid w:val="00CF0415"/>
    <w:rsid w:val="00CF0E2A"/>
    <w:rsid w:val="00D0557B"/>
    <w:rsid w:val="00D24C00"/>
    <w:rsid w:val="00D31AA1"/>
    <w:rsid w:val="00D7376C"/>
    <w:rsid w:val="00D960CF"/>
    <w:rsid w:val="00DE2A94"/>
    <w:rsid w:val="00DF2FC2"/>
    <w:rsid w:val="00E1677C"/>
    <w:rsid w:val="00E31683"/>
    <w:rsid w:val="00E455E4"/>
    <w:rsid w:val="00E50CD4"/>
    <w:rsid w:val="00E50CFE"/>
    <w:rsid w:val="00E60A30"/>
    <w:rsid w:val="00E6588C"/>
    <w:rsid w:val="00E86D8A"/>
    <w:rsid w:val="00EB637F"/>
    <w:rsid w:val="00EE73C6"/>
    <w:rsid w:val="00F30304"/>
    <w:rsid w:val="00F558EC"/>
    <w:rsid w:val="00F83A5F"/>
    <w:rsid w:val="00F862A6"/>
    <w:rsid w:val="00FD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A85F77-87F1-4F31-A036-7DAF9720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6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6D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6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6D9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55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55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4037;&#20316;\2017&#24180;\&#19978;&#24066;&#20844;&#21496;&#25968;&#25454;&#24211;\&#25112;&#30053;&#24615;&#26032;&#20852;&#20135;&#19994;A&#32929;&#19978;&#24066;&#20844;&#21496;&#32479;&#35745;&#25968;&#25454;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&#24037;&#20316;\2017&#24180;\&#19978;&#24066;&#20844;&#21496;&#25968;&#25454;&#24211;\&#22266;&#23450;&#36164;&#20135;&#20928;&#20540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4037;&#20316;\2017&#24180;\&#19978;&#24066;&#20844;&#21496;&#25968;&#25454;&#24211;\&#25112;&#30053;&#24615;&#26032;&#20852;&#20135;&#19994;A&#32929;&#19978;&#24066;&#20844;&#21496;&#32479;&#35745;&#25968;&#25454;.xlsx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24037;&#20316;\2017&#24180;\&#19978;&#24066;&#20844;&#21496;&#25968;&#25454;&#24211;\2016&#24180;\&#25112;&#26032;&#30740;&#21457;&#21644;&#20027;&#33829;&#65288;&#30740;&#21457;&#24378;&#24230;&#65289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4037;&#20316;\2017&#24180;\&#19978;&#24066;&#20844;&#21496;&#25968;&#25454;&#24211;\&#25112;&#26032;&#21215;&#36164;&#24773;&#20917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4037;&#20316;\2017&#24180;\&#19978;&#24066;&#20844;&#21496;&#25968;&#25454;&#24211;\&#37325;&#22823;&#37325;&#32452;&#20107;&#20214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4037;&#20316;\2017&#24180;\&#19978;&#24066;&#20844;&#21496;&#25968;&#25454;&#24211;\&#25112;&#30053;&#24615;&#26032;&#20852;&#20135;&#19994;A&#32929;&#19978;&#24066;&#20844;&#21496;&#32479;&#35745;&#25968;&#25454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4037;&#20316;\2017&#24180;\&#19978;&#24066;&#20844;&#21496;&#25968;&#25454;&#24211;\&#25112;&#30053;&#24615;&#26032;&#20852;&#20135;&#19994;A&#32929;&#19978;&#24066;&#20844;&#21496;&#32479;&#35745;&#25968;&#25454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24037;&#20316;\2017&#24180;\&#19978;&#24066;&#20844;&#21496;&#25968;&#25454;&#24211;\&#19978;&#24066;&#20844;&#21496;2017Q1&#25968;&#25454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24037;&#20316;&#31807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24037;&#20316;&#31807;1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24037;&#20316;\2017&#24180;\&#19978;&#24066;&#20844;&#21496;&#25968;&#25454;&#24211;\&#19978;&#24066;&#20844;&#21496;2017Q1&#25968;&#25454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&#24037;&#20316;&#31807;1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&#24037;&#20316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Sheet1!$A$3</c:f>
              <c:strCache>
                <c:ptCount val="1"/>
                <c:pt idx="0">
                  <c:v>战略性新兴产业上市公司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Sheet1!$B$2:$E$2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Sheet1!$B$3:$E$3</c:f>
              <c:numCache>
                <c:formatCode>0.0%</c:formatCode>
                <c:ptCount val="4"/>
                <c:pt idx="0">
                  <c:v>0.13800000000000001</c:v>
                </c:pt>
                <c:pt idx="1">
                  <c:v>0.15541743390581964</c:v>
                </c:pt>
                <c:pt idx="2">
                  <c:v>0.16491162059989684</c:v>
                </c:pt>
                <c:pt idx="3">
                  <c:v>0.17662683516736011</c:v>
                </c:pt>
              </c:numCache>
            </c:numRef>
          </c:val>
        </c:ser>
        <c:ser>
          <c:idx val="1"/>
          <c:order val="1"/>
          <c:tx>
            <c:strRef>
              <c:f>Sheet1!$A$4</c:f>
              <c:strCache>
                <c:ptCount val="1"/>
                <c:pt idx="0">
                  <c:v>A股上市公司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Sheet1!$B$2:$E$2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Sheet1!$B$4:$E$4</c:f>
              <c:numCache>
                <c:formatCode>0.0%</c:formatCode>
                <c:ptCount val="4"/>
                <c:pt idx="0">
                  <c:v>9.7000000000000003E-2</c:v>
                </c:pt>
                <c:pt idx="1">
                  <c:v>6.2835005856887172E-2</c:v>
                </c:pt>
                <c:pt idx="2">
                  <c:v>1.4358674333720067E-2</c:v>
                </c:pt>
                <c:pt idx="3">
                  <c:v>8.5060185478562644E-2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7258528"/>
        <c:axId val="547257744"/>
      </c:barChart>
      <c:catAx>
        <c:axId val="547258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47257744"/>
        <c:crosses val="autoZero"/>
        <c:auto val="1"/>
        <c:lblAlgn val="ctr"/>
        <c:lblOffset val="100"/>
        <c:noMultiLvlLbl val="0"/>
      </c:catAx>
      <c:valAx>
        <c:axId val="547257744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extTo"/>
        <c:crossAx val="547258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800"/>
              <a:t>单位：万亿元</a:t>
            </a:r>
          </a:p>
        </c:rich>
      </c:tx>
      <c:layout>
        <c:manualLayout>
          <c:xMode val="edge"/>
          <c:yMode val="edge"/>
          <c:x val="3.741484695365456E-2"/>
          <c:y val="3.4934497816593885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450733752620545E-2"/>
          <c:y val="4.4233807266982623E-2"/>
          <c:w val="0.90775681341719072"/>
          <c:h val="0.715624935529347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Wind资讯!$A$18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Wind资讯!$B$17:$C$17</c:f>
              <c:strCache>
                <c:ptCount val="2"/>
                <c:pt idx="0">
                  <c:v>战新</c:v>
                </c:pt>
                <c:pt idx="1">
                  <c:v>全部A股</c:v>
                </c:pt>
              </c:strCache>
            </c:strRef>
          </c:cat>
          <c:val>
            <c:numRef>
              <c:f>Wind资讯!$B$18:$C$18</c:f>
              <c:numCache>
                <c:formatCode>###,###,###,##0.00</c:formatCode>
                <c:ptCount val="2"/>
                <c:pt idx="0">
                  <c:v>1.4341458500000002</c:v>
                </c:pt>
                <c:pt idx="1">
                  <c:v>11.232760150000001</c:v>
                </c:pt>
              </c:numCache>
            </c:numRef>
          </c:val>
        </c:ser>
        <c:ser>
          <c:idx val="1"/>
          <c:order val="1"/>
          <c:tx>
            <c:strRef>
              <c:f>Wind资讯!$A$19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6686009486909376E-2"/>
                  <c:y val="0"/>
                </c:manualLayout>
              </c:layout>
              <c:tx>
                <c:rich>
                  <a:bodyPr/>
                  <a:lstStyle/>
                  <a:p>
                    <a:fld id="{76717156-6116-45B2-9C58-7732706A7E71}" type="VALUE">
                      <a:rPr lang="en-US" altLang="zh-CN"/>
                      <a:pPr/>
                      <a:t>[值]</a:t>
                    </a:fld>
                    <a:endParaRPr lang="zh-CN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4.1928721174004195E-3"/>
                  <c:y val="2.5276461295418641E-2"/>
                </c:manualLayout>
              </c:layout>
              <c:tx>
                <c:rich>
                  <a:bodyPr/>
                  <a:lstStyle/>
                  <a:p>
                    <a:fld id="{702C7D7C-4605-4EEF-95D2-842EAA7188B6}" type="VALUE">
                      <a:rPr lang="en-US" altLang="zh-CN"/>
                      <a:pPr/>
                      <a:t>[值]</a:t>
                    </a:fld>
                    <a:endParaRPr lang="zh-CN" alt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Wind资讯!$B$17:$C$17</c:f>
              <c:strCache>
                <c:ptCount val="2"/>
                <c:pt idx="0">
                  <c:v>战新</c:v>
                </c:pt>
                <c:pt idx="1">
                  <c:v>全部A股</c:v>
                </c:pt>
              </c:strCache>
            </c:strRef>
          </c:cat>
          <c:val>
            <c:numRef>
              <c:f>Wind资讯!$B$19:$C$19</c:f>
              <c:numCache>
                <c:formatCode>###,###,###,##0.00</c:formatCode>
                <c:ptCount val="2"/>
                <c:pt idx="0">
                  <c:v>1.6691750499999998</c:v>
                </c:pt>
                <c:pt idx="1">
                  <c:v>12.314266289999999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6004064"/>
        <c:axId val="456003672"/>
      </c:barChart>
      <c:catAx>
        <c:axId val="456004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56003672"/>
        <c:crosses val="autoZero"/>
        <c:auto val="1"/>
        <c:lblAlgn val="ctr"/>
        <c:lblOffset val="100"/>
        <c:noMultiLvlLbl val="0"/>
      </c:catAx>
      <c:valAx>
        <c:axId val="456003672"/>
        <c:scaling>
          <c:orientation val="minMax"/>
        </c:scaling>
        <c:delete val="1"/>
        <c:axPos val="l"/>
        <c:numFmt formatCode="###,###,###,##0.00" sourceLinked="1"/>
        <c:majorTickMark val="none"/>
        <c:minorTickMark val="none"/>
        <c:tickLblPos val="nextTo"/>
        <c:crossAx val="456004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作图!$B$34</c:f>
              <c:strCache>
                <c:ptCount val="1"/>
                <c:pt idx="0">
                  <c:v>战新上市公司研发强度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作图!$C$33:$E$33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作图!$C$34:$E$34</c:f>
              <c:numCache>
                <c:formatCode>0.0%</c:formatCode>
                <c:ptCount val="3"/>
                <c:pt idx="0">
                  <c:v>6.3695458141609221E-2</c:v>
                </c:pt>
                <c:pt idx="1">
                  <c:v>6.4927236531741692E-2</c:v>
                </c:pt>
                <c:pt idx="2">
                  <c:v>6.5684131017952369E-2</c:v>
                </c:pt>
              </c:numCache>
            </c:numRef>
          </c:val>
        </c:ser>
        <c:ser>
          <c:idx val="1"/>
          <c:order val="1"/>
          <c:tx>
            <c:strRef>
              <c:f>作图!$B$35</c:f>
              <c:strCache>
                <c:ptCount val="1"/>
                <c:pt idx="0">
                  <c:v>上市公司研发强度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作图!$C$33:$E$33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作图!$C$35:$E$35</c:f>
              <c:numCache>
                <c:formatCode>0.0%</c:formatCode>
                <c:ptCount val="3"/>
                <c:pt idx="0">
                  <c:v>4.3903993374109239E-2</c:v>
                </c:pt>
                <c:pt idx="1">
                  <c:v>4.5060348399844283E-2</c:v>
                </c:pt>
                <c:pt idx="2">
                  <c:v>4.6426374849725872E-2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1132608"/>
        <c:axId val="541133784"/>
      </c:barChart>
      <c:catAx>
        <c:axId val="541132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41133784"/>
        <c:crosses val="autoZero"/>
        <c:auto val="1"/>
        <c:lblAlgn val="ctr"/>
        <c:lblOffset val="100"/>
        <c:noMultiLvlLbl val="0"/>
      </c:catAx>
      <c:valAx>
        <c:axId val="541133784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extTo"/>
        <c:crossAx val="541132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0555555555555555E-2"/>
          <c:y val="3.2407407407407406E-2"/>
          <c:w val="0.93888888888888888"/>
          <c:h val="0.6968132108486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作图!$B$1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作图!$A$2:$A$10</c:f>
              <c:strCache>
                <c:ptCount val="9"/>
                <c:pt idx="0">
                  <c:v>新一代
信息技术</c:v>
                </c:pt>
                <c:pt idx="1">
                  <c:v>新能源
汽车</c:v>
                </c:pt>
                <c:pt idx="2">
                  <c:v>高端装备</c:v>
                </c:pt>
                <c:pt idx="3">
                  <c:v>数字创意</c:v>
                </c:pt>
                <c:pt idx="4">
                  <c:v>生物</c:v>
                </c:pt>
                <c:pt idx="5">
                  <c:v>节能环保</c:v>
                </c:pt>
                <c:pt idx="6">
                  <c:v>新材料</c:v>
                </c:pt>
                <c:pt idx="7">
                  <c:v>新能源</c:v>
                </c:pt>
                <c:pt idx="8">
                  <c:v>战新总体</c:v>
                </c:pt>
              </c:strCache>
            </c:strRef>
          </c:cat>
          <c:val>
            <c:numRef>
              <c:f>作图!$B$2:$B$10</c:f>
              <c:numCache>
                <c:formatCode>0.0%</c:formatCode>
                <c:ptCount val="9"/>
                <c:pt idx="0">
                  <c:v>8.7293205720044995E-2</c:v>
                </c:pt>
                <c:pt idx="1">
                  <c:v>7.0875421906909722E-2</c:v>
                </c:pt>
                <c:pt idx="2">
                  <c:v>6.0509204617298681E-2</c:v>
                </c:pt>
                <c:pt idx="3">
                  <c:v>5.1724959013377508E-2</c:v>
                </c:pt>
                <c:pt idx="4">
                  <c:v>4.250299704537968E-2</c:v>
                </c:pt>
                <c:pt idx="5">
                  <c:v>3.9051108342940954E-2</c:v>
                </c:pt>
                <c:pt idx="6">
                  <c:v>3.5889285216854798E-2</c:v>
                </c:pt>
                <c:pt idx="7">
                  <c:v>4.225907314263664E-2</c:v>
                </c:pt>
                <c:pt idx="8">
                  <c:v>6.3722894543080069E-2</c:v>
                </c:pt>
              </c:numCache>
            </c:numRef>
          </c:val>
        </c:ser>
        <c:ser>
          <c:idx val="1"/>
          <c:order val="1"/>
          <c:tx>
            <c:strRef>
              <c:f>作图!$C$1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作图!$A$2:$A$10</c:f>
              <c:strCache>
                <c:ptCount val="9"/>
                <c:pt idx="0">
                  <c:v>新一代
信息技术</c:v>
                </c:pt>
                <c:pt idx="1">
                  <c:v>新能源
汽车</c:v>
                </c:pt>
                <c:pt idx="2">
                  <c:v>高端装备</c:v>
                </c:pt>
                <c:pt idx="3">
                  <c:v>数字创意</c:v>
                </c:pt>
                <c:pt idx="4">
                  <c:v>生物</c:v>
                </c:pt>
                <c:pt idx="5">
                  <c:v>节能环保</c:v>
                </c:pt>
                <c:pt idx="6">
                  <c:v>新材料</c:v>
                </c:pt>
                <c:pt idx="7">
                  <c:v>新能源</c:v>
                </c:pt>
                <c:pt idx="8">
                  <c:v>战新总体</c:v>
                </c:pt>
              </c:strCache>
            </c:strRef>
          </c:cat>
          <c:val>
            <c:numRef>
              <c:f>作图!$C$2:$C$10</c:f>
              <c:numCache>
                <c:formatCode>0.0%</c:formatCode>
                <c:ptCount val="9"/>
                <c:pt idx="0">
                  <c:v>8.7970596197435746E-2</c:v>
                </c:pt>
                <c:pt idx="1">
                  <c:v>7.1341217852440242E-2</c:v>
                </c:pt>
                <c:pt idx="2">
                  <c:v>6.5309697851378801E-2</c:v>
                </c:pt>
                <c:pt idx="3">
                  <c:v>5.8281218519642873E-2</c:v>
                </c:pt>
                <c:pt idx="4">
                  <c:v>4.4171495995233026E-2</c:v>
                </c:pt>
                <c:pt idx="5">
                  <c:v>4.0784768635171484E-2</c:v>
                </c:pt>
                <c:pt idx="6">
                  <c:v>4.0208345385454987E-2</c:v>
                </c:pt>
                <c:pt idx="7">
                  <c:v>3.9124130122749463E-2</c:v>
                </c:pt>
                <c:pt idx="8">
                  <c:v>6.4950918511208044E-2</c:v>
                </c:pt>
              </c:numCache>
            </c:numRef>
          </c:val>
        </c:ser>
        <c:ser>
          <c:idx val="2"/>
          <c:order val="2"/>
          <c:tx>
            <c:strRef>
              <c:f>作图!$D$1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作图!$A$2:$A$10</c:f>
              <c:strCache>
                <c:ptCount val="9"/>
                <c:pt idx="0">
                  <c:v>新一代
信息技术</c:v>
                </c:pt>
                <c:pt idx="1">
                  <c:v>新能源
汽车</c:v>
                </c:pt>
                <c:pt idx="2">
                  <c:v>高端装备</c:v>
                </c:pt>
                <c:pt idx="3">
                  <c:v>数字创意</c:v>
                </c:pt>
                <c:pt idx="4">
                  <c:v>生物</c:v>
                </c:pt>
                <c:pt idx="5">
                  <c:v>节能环保</c:v>
                </c:pt>
                <c:pt idx="6">
                  <c:v>新材料</c:v>
                </c:pt>
                <c:pt idx="7">
                  <c:v>新能源</c:v>
                </c:pt>
                <c:pt idx="8">
                  <c:v>战新总体</c:v>
                </c:pt>
              </c:strCache>
            </c:strRef>
          </c:cat>
          <c:val>
            <c:numRef>
              <c:f>作图!$D$2:$D$10</c:f>
              <c:numCache>
                <c:formatCode>0.0%</c:formatCode>
                <c:ptCount val="9"/>
                <c:pt idx="0">
                  <c:v>8.7291251340670922E-2</c:v>
                </c:pt>
                <c:pt idx="1">
                  <c:v>6.8155394973290678E-2</c:v>
                </c:pt>
                <c:pt idx="2">
                  <c:v>6.7200990429736332E-2</c:v>
                </c:pt>
                <c:pt idx="3">
                  <c:v>6.3542737208168804E-2</c:v>
                </c:pt>
                <c:pt idx="4">
                  <c:v>4.7965155122672271E-2</c:v>
                </c:pt>
                <c:pt idx="5">
                  <c:v>4.0135142043216998E-2</c:v>
                </c:pt>
                <c:pt idx="6">
                  <c:v>4.0141638363258299E-2</c:v>
                </c:pt>
                <c:pt idx="7">
                  <c:v>4.0231137463521624E-2</c:v>
                </c:pt>
                <c:pt idx="8">
                  <c:v>6.5709364450559707E-2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5345672"/>
        <c:axId val="455349984"/>
      </c:barChart>
      <c:catAx>
        <c:axId val="455345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55349984"/>
        <c:crosses val="autoZero"/>
        <c:auto val="1"/>
        <c:lblAlgn val="ctr"/>
        <c:lblOffset val="100"/>
        <c:noMultiLvlLbl val="0"/>
      </c:catAx>
      <c:valAx>
        <c:axId val="455349984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extTo"/>
        <c:crossAx val="455345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800"/>
              <a:t>单位：</a:t>
            </a:r>
            <a:r>
              <a:rPr lang="zh-CN" altLang="zh-CN" sz="800" b="0" i="0" u="none" strike="noStrike" baseline="0">
                <a:effectLst/>
              </a:rPr>
              <a:t>亿元</a:t>
            </a:r>
            <a:endParaRPr lang="zh-CN" altLang="en-US" sz="800"/>
          </a:p>
        </c:rich>
      </c:tx>
      <c:layout>
        <c:manualLayout>
          <c:xMode val="edge"/>
          <c:yMode val="edge"/>
          <c:x val="2.9266692864870599E-2"/>
          <c:y val="3.347280334728033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2.7110289587184228E-2"/>
          <c:y val="0.13054393305439327"/>
          <c:w val="0.9457794208256316"/>
          <c:h val="0.598949252682326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透视表!$B$16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透视表!$A$17:$A$23</c:f>
              <c:strCache>
                <c:ptCount val="7"/>
                <c:pt idx="0">
                  <c:v>高端装备</c:v>
                </c:pt>
                <c:pt idx="1">
                  <c:v>节能环保</c:v>
                </c:pt>
                <c:pt idx="2">
                  <c:v>生物</c:v>
                </c:pt>
                <c:pt idx="3">
                  <c:v>数字创意</c:v>
                </c:pt>
                <c:pt idx="4">
                  <c:v>新材料</c:v>
                </c:pt>
                <c:pt idx="5">
                  <c:v>新能源</c:v>
                </c:pt>
                <c:pt idx="6">
                  <c:v>新一代
信息技术</c:v>
                </c:pt>
              </c:strCache>
            </c:strRef>
          </c:cat>
          <c:val>
            <c:numRef>
              <c:f>透视表!$B$17:$B$23</c:f>
              <c:numCache>
                <c:formatCode>0.0</c:formatCode>
                <c:ptCount val="7"/>
                <c:pt idx="0">
                  <c:v>231.48170000000005</c:v>
                </c:pt>
                <c:pt idx="1">
                  <c:v>335.94220000000007</c:v>
                </c:pt>
                <c:pt idx="2">
                  <c:v>594.45510000000013</c:v>
                </c:pt>
                <c:pt idx="3">
                  <c:v>428.37499999999994</c:v>
                </c:pt>
                <c:pt idx="4">
                  <c:v>72.03540000000001</c:v>
                </c:pt>
                <c:pt idx="5">
                  <c:v>201.45959999999999</c:v>
                </c:pt>
                <c:pt idx="6">
                  <c:v>1525.691600000001</c:v>
                </c:pt>
              </c:numCache>
            </c:numRef>
          </c:val>
        </c:ser>
        <c:ser>
          <c:idx val="1"/>
          <c:order val="1"/>
          <c:tx>
            <c:strRef>
              <c:f>透视表!$C$16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透视表!$A$17:$A$23</c:f>
              <c:strCache>
                <c:ptCount val="7"/>
                <c:pt idx="0">
                  <c:v>高端装备</c:v>
                </c:pt>
                <c:pt idx="1">
                  <c:v>节能环保</c:v>
                </c:pt>
                <c:pt idx="2">
                  <c:v>生物</c:v>
                </c:pt>
                <c:pt idx="3">
                  <c:v>数字创意</c:v>
                </c:pt>
                <c:pt idx="4">
                  <c:v>新材料</c:v>
                </c:pt>
                <c:pt idx="5">
                  <c:v>新能源</c:v>
                </c:pt>
                <c:pt idx="6">
                  <c:v>新一代
信息技术</c:v>
                </c:pt>
              </c:strCache>
            </c:strRef>
          </c:cat>
          <c:val>
            <c:numRef>
              <c:f>透视表!$C$17:$C$23</c:f>
              <c:numCache>
                <c:formatCode>0.0</c:formatCode>
                <c:ptCount val="7"/>
                <c:pt idx="0">
                  <c:v>223.12260000000001</c:v>
                </c:pt>
                <c:pt idx="1">
                  <c:v>402.57740000000001</c:v>
                </c:pt>
                <c:pt idx="2">
                  <c:v>1238.6917000000001</c:v>
                </c:pt>
                <c:pt idx="3">
                  <c:v>482.85759999999993</c:v>
                </c:pt>
                <c:pt idx="4">
                  <c:v>350.37349999999998</c:v>
                </c:pt>
                <c:pt idx="5">
                  <c:v>384.6635</c:v>
                </c:pt>
                <c:pt idx="6">
                  <c:v>1628.0869000000005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3055616"/>
        <c:axId val="223154424"/>
      </c:barChart>
      <c:catAx>
        <c:axId val="453055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23154424"/>
        <c:crosses val="autoZero"/>
        <c:auto val="1"/>
        <c:lblAlgn val="ctr"/>
        <c:lblOffset val="100"/>
        <c:noMultiLvlLbl val="0"/>
      </c:catAx>
      <c:valAx>
        <c:axId val="22315442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453055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800"/>
              <a:t>单位：家</a:t>
            </a:r>
          </a:p>
        </c:rich>
      </c:tx>
      <c:layout>
        <c:manualLayout>
          <c:xMode val="edge"/>
          <c:yMode val="edge"/>
          <c:x val="4.7222222222222221E-2"/>
          <c:y val="5.357142857142856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战新并购透视!$A$18:$A$25</c:f>
              <c:strCache>
                <c:ptCount val="8"/>
                <c:pt idx="0">
                  <c:v>高端装备</c:v>
                </c:pt>
                <c:pt idx="1">
                  <c:v>节能环保</c:v>
                </c:pt>
                <c:pt idx="2">
                  <c:v>生物</c:v>
                </c:pt>
                <c:pt idx="3">
                  <c:v>数字创意</c:v>
                </c:pt>
                <c:pt idx="4">
                  <c:v>新材料</c:v>
                </c:pt>
                <c:pt idx="5">
                  <c:v>新能源</c:v>
                </c:pt>
                <c:pt idx="6">
                  <c:v>新能源
汽车</c:v>
                </c:pt>
                <c:pt idx="7">
                  <c:v>新一代
信息技术</c:v>
                </c:pt>
              </c:strCache>
            </c:strRef>
          </c:cat>
          <c:val>
            <c:numRef>
              <c:f>战新并购透视!$B$18:$B$25</c:f>
              <c:numCache>
                <c:formatCode>0</c:formatCode>
                <c:ptCount val="8"/>
                <c:pt idx="0">
                  <c:v>178.82245428000002</c:v>
                </c:pt>
                <c:pt idx="1">
                  <c:v>171.31896599999999</c:v>
                </c:pt>
                <c:pt idx="2">
                  <c:v>489.082449</c:v>
                </c:pt>
                <c:pt idx="3">
                  <c:v>362.39455161999996</c:v>
                </c:pt>
                <c:pt idx="4">
                  <c:v>141.537914</c:v>
                </c:pt>
                <c:pt idx="5">
                  <c:v>322.25329999999997</c:v>
                </c:pt>
                <c:pt idx="6">
                  <c:v>14.268800000000001</c:v>
                </c:pt>
                <c:pt idx="7">
                  <c:v>375.10071541000002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9"/>
        <c:overlap val="-27"/>
        <c:axId val="549721768"/>
        <c:axId val="551446184"/>
      </c:barChart>
      <c:catAx>
        <c:axId val="549721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51446184"/>
        <c:crosses val="autoZero"/>
        <c:auto val="1"/>
        <c:lblAlgn val="ctr"/>
        <c:lblOffset val="100"/>
        <c:noMultiLvlLbl val="0"/>
      </c:catAx>
      <c:valAx>
        <c:axId val="551446184"/>
        <c:scaling>
          <c:orientation val="minMax"/>
        </c:scaling>
        <c:delete val="1"/>
        <c:axPos val="l"/>
        <c:numFmt formatCode="0" sourceLinked="1"/>
        <c:majorTickMark val="none"/>
        <c:minorTickMark val="none"/>
        <c:tickLblPos val="nextTo"/>
        <c:crossAx val="549721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800"/>
              <a:t>单位：家</a:t>
            </a:r>
          </a:p>
        </c:rich>
      </c:tx>
      <c:layout>
        <c:manualLayout>
          <c:xMode val="edge"/>
          <c:yMode val="edge"/>
          <c:x val="3.0555555555555555E-2"/>
          <c:y val="8.4321475625823455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0555555555555555E-2"/>
          <c:y val="4.2160737812911728E-2"/>
          <c:w val="0.93888888888888888"/>
          <c:h val="0.7112603612295497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作图!$A$54</c:f>
              <c:strCache>
                <c:ptCount val="1"/>
                <c:pt idx="0">
                  <c:v>战略性新兴产业企业数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 altLang="zh-CN"/>
                      <a:t>96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作图!$B$53:$D$53</c:f>
              <c:strCache>
                <c:ptCount val="3"/>
                <c:pt idx="0">
                  <c:v>营收增速前10</c:v>
                </c:pt>
                <c:pt idx="1">
                  <c:v>营收增速前100</c:v>
                </c:pt>
                <c:pt idx="2">
                  <c:v>营收增速前200</c:v>
                </c:pt>
              </c:strCache>
            </c:strRef>
          </c:cat>
          <c:val>
            <c:numRef>
              <c:f>作图!$B$54:$D$54</c:f>
              <c:numCache>
                <c:formatCode>General</c:formatCode>
                <c:ptCount val="3"/>
                <c:pt idx="0">
                  <c:v>5</c:v>
                </c:pt>
                <c:pt idx="1">
                  <c:v>40</c:v>
                </c:pt>
                <c:pt idx="2">
                  <c:v>98</c:v>
                </c:pt>
              </c:numCache>
            </c:numRef>
          </c:val>
        </c:ser>
        <c:ser>
          <c:idx val="1"/>
          <c:order val="1"/>
          <c:tx>
            <c:strRef>
              <c:f>作图!$A$55</c:f>
              <c:strCache>
                <c:ptCount val="1"/>
                <c:pt idx="0">
                  <c:v>其他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5.5555555555555558E-3"/>
                  <c:y val="-5.27009222661396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作图!$B$53:$D$53</c:f>
              <c:strCache>
                <c:ptCount val="3"/>
                <c:pt idx="0">
                  <c:v>营收增速前10</c:v>
                </c:pt>
                <c:pt idx="1">
                  <c:v>营收增速前100</c:v>
                </c:pt>
                <c:pt idx="2">
                  <c:v>营收增速前200</c:v>
                </c:pt>
              </c:strCache>
            </c:strRef>
          </c:cat>
          <c:val>
            <c:numRef>
              <c:f>作图!$B$55:$D$55</c:f>
              <c:numCache>
                <c:formatCode>General</c:formatCode>
                <c:ptCount val="3"/>
                <c:pt idx="0">
                  <c:v>5</c:v>
                </c:pt>
                <c:pt idx="1">
                  <c:v>60</c:v>
                </c:pt>
                <c:pt idx="2">
                  <c:v>102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47260096"/>
        <c:axId val="547260488"/>
      </c:barChart>
      <c:catAx>
        <c:axId val="547260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47260488"/>
        <c:crosses val="autoZero"/>
        <c:auto val="1"/>
        <c:lblAlgn val="ctr"/>
        <c:lblOffset val="100"/>
        <c:noMultiLvlLbl val="0"/>
      </c:catAx>
      <c:valAx>
        <c:axId val="54726048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47260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Sheet1!$A$8</c:f>
              <c:strCache>
                <c:ptCount val="1"/>
                <c:pt idx="0">
                  <c:v>战略性新兴产业利润增速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Sheet1!$B$7:$E$7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Sheet1!$B$8:$E$8</c:f>
              <c:numCache>
                <c:formatCode>0.0%</c:formatCode>
                <c:ptCount val="4"/>
                <c:pt idx="0">
                  <c:v>0.20799999999999999</c:v>
                </c:pt>
                <c:pt idx="1">
                  <c:v>0.2866767678324762</c:v>
                </c:pt>
                <c:pt idx="2">
                  <c:v>0.13775504812392958</c:v>
                </c:pt>
                <c:pt idx="3">
                  <c:v>0.22266908812254083</c:v>
                </c:pt>
              </c:numCache>
            </c:numRef>
          </c:val>
        </c:ser>
        <c:ser>
          <c:idx val="1"/>
          <c:order val="1"/>
          <c:tx>
            <c:strRef>
              <c:f>Sheet1!$A$9</c:f>
              <c:strCache>
                <c:ptCount val="1"/>
                <c:pt idx="0">
                  <c:v>A股上市公司利润增速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Sheet1!$B$7:$E$7</c:f>
              <c:numCache>
                <c:formatCode>General</c:formatCod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numCache>
            </c:numRef>
          </c:cat>
          <c:val>
            <c:numRef>
              <c:f>Sheet1!$B$9:$E$9</c:f>
              <c:numCache>
                <c:formatCode>0.0%</c:formatCode>
                <c:ptCount val="4"/>
                <c:pt idx="0">
                  <c:v>0.14299999999999999</c:v>
                </c:pt>
                <c:pt idx="1">
                  <c:v>7.2056802463087877E-2</c:v>
                </c:pt>
                <c:pt idx="2">
                  <c:v>3.0578060202669732E-2</c:v>
                </c:pt>
                <c:pt idx="3">
                  <c:v>6.1385123591531476E-2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7261272"/>
        <c:axId val="547261664"/>
      </c:barChart>
      <c:catAx>
        <c:axId val="547261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47261664"/>
        <c:crosses val="autoZero"/>
        <c:auto val="1"/>
        <c:lblAlgn val="ctr"/>
        <c:lblOffset val="100"/>
        <c:noMultiLvlLbl val="0"/>
      </c:catAx>
      <c:valAx>
        <c:axId val="547261664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extTo"/>
        <c:crossAx val="547261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6111111111111108E-2"/>
          <c:y val="5.9607028288130651E-2"/>
          <c:w val="0.93888888888888888"/>
          <c:h val="0.665794692330125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分行业营收透视!$G$1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分行业营收透视!$F$2:$F$11</c:f>
              <c:strCache>
                <c:ptCount val="10"/>
                <c:pt idx="0">
                  <c:v>节能环保</c:v>
                </c:pt>
                <c:pt idx="1">
                  <c:v>新材料</c:v>
                </c:pt>
                <c:pt idx="2">
                  <c:v>新一代
信息技术</c:v>
                </c:pt>
                <c:pt idx="3">
                  <c:v>生物</c:v>
                </c:pt>
                <c:pt idx="4">
                  <c:v>数字创意</c:v>
                </c:pt>
                <c:pt idx="5">
                  <c:v>新能源
汽车</c:v>
                </c:pt>
                <c:pt idx="6">
                  <c:v>新能源</c:v>
                </c:pt>
                <c:pt idx="7">
                  <c:v>高端装备</c:v>
                </c:pt>
                <c:pt idx="9">
                  <c:v>战新总体</c:v>
                </c:pt>
              </c:strCache>
            </c:strRef>
          </c:cat>
          <c:val>
            <c:numRef>
              <c:f>分行业营收透视!$G$2:$G$11</c:f>
              <c:numCache>
                <c:formatCode>0.0%</c:formatCode>
                <c:ptCount val="10"/>
                <c:pt idx="0">
                  <c:v>0.23276309136833051</c:v>
                </c:pt>
                <c:pt idx="1">
                  <c:v>1.4853963589192443E-2</c:v>
                </c:pt>
                <c:pt idx="2">
                  <c:v>0.15831121754361166</c:v>
                </c:pt>
                <c:pt idx="3">
                  <c:v>0.12425500527918176</c:v>
                </c:pt>
                <c:pt idx="4">
                  <c:v>0.27701509588210094</c:v>
                </c:pt>
                <c:pt idx="5">
                  <c:v>0.29191240608199287</c:v>
                </c:pt>
                <c:pt idx="6">
                  <c:v>0.19838939298255154</c:v>
                </c:pt>
                <c:pt idx="7">
                  <c:v>0.19059090948743185</c:v>
                </c:pt>
                <c:pt idx="9">
                  <c:v>0.15541743390581964</c:v>
                </c:pt>
              </c:numCache>
            </c:numRef>
          </c:val>
        </c:ser>
        <c:ser>
          <c:idx val="1"/>
          <c:order val="1"/>
          <c:tx>
            <c:strRef>
              <c:f>分行业营收透视!$H$1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分行业营收透视!$F$2:$F$11</c:f>
              <c:strCache>
                <c:ptCount val="10"/>
                <c:pt idx="0">
                  <c:v>节能环保</c:v>
                </c:pt>
                <c:pt idx="1">
                  <c:v>新材料</c:v>
                </c:pt>
                <c:pt idx="2">
                  <c:v>新一代
信息技术</c:v>
                </c:pt>
                <c:pt idx="3">
                  <c:v>生物</c:v>
                </c:pt>
                <c:pt idx="4">
                  <c:v>数字创意</c:v>
                </c:pt>
                <c:pt idx="5">
                  <c:v>新能源
汽车</c:v>
                </c:pt>
                <c:pt idx="6">
                  <c:v>新能源</c:v>
                </c:pt>
                <c:pt idx="7">
                  <c:v>高端装备</c:v>
                </c:pt>
                <c:pt idx="9">
                  <c:v>战新总体</c:v>
                </c:pt>
              </c:strCache>
            </c:strRef>
          </c:cat>
          <c:val>
            <c:numRef>
              <c:f>分行业营收透视!$H$2:$H$11</c:f>
              <c:numCache>
                <c:formatCode>0.0%</c:formatCode>
                <c:ptCount val="10"/>
                <c:pt idx="0">
                  <c:v>0.23372918974250489</c:v>
                </c:pt>
                <c:pt idx="1">
                  <c:v>3.3151311607415579E-3</c:v>
                </c:pt>
                <c:pt idx="2">
                  <c:v>0.20340013047975725</c:v>
                </c:pt>
                <c:pt idx="3">
                  <c:v>0.14024233255674323</c:v>
                </c:pt>
                <c:pt idx="4">
                  <c:v>0.45078286396518452</c:v>
                </c:pt>
                <c:pt idx="5">
                  <c:v>0.54599851281763634</c:v>
                </c:pt>
                <c:pt idx="6">
                  <c:v>0.25288502614811081</c:v>
                </c:pt>
                <c:pt idx="7">
                  <c:v>4.6713083861266824E-2</c:v>
                </c:pt>
                <c:pt idx="9">
                  <c:v>0.16491162059989684</c:v>
                </c:pt>
              </c:numCache>
            </c:numRef>
          </c:val>
        </c:ser>
        <c:ser>
          <c:idx val="2"/>
          <c:order val="2"/>
          <c:tx>
            <c:strRef>
              <c:f>分行业营收透视!$I$1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1.342281879194630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948545861297539E-3"/>
                  <c:y val="-5.66171645410710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3422818791946227E-2"/>
                  <c:y val="-1.297461699011281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分行业营收透视!$F$2:$F$11</c:f>
              <c:strCache>
                <c:ptCount val="10"/>
                <c:pt idx="0">
                  <c:v>节能环保</c:v>
                </c:pt>
                <c:pt idx="1">
                  <c:v>新材料</c:v>
                </c:pt>
                <c:pt idx="2">
                  <c:v>新一代
信息技术</c:v>
                </c:pt>
                <c:pt idx="3">
                  <c:v>生物</c:v>
                </c:pt>
                <c:pt idx="4">
                  <c:v>数字创意</c:v>
                </c:pt>
                <c:pt idx="5">
                  <c:v>新能源
汽车</c:v>
                </c:pt>
                <c:pt idx="6">
                  <c:v>新能源</c:v>
                </c:pt>
                <c:pt idx="7">
                  <c:v>高端装备</c:v>
                </c:pt>
                <c:pt idx="9">
                  <c:v>战新总体</c:v>
                </c:pt>
              </c:strCache>
            </c:strRef>
          </c:cat>
          <c:val>
            <c:numRef>
              <c:f>分行业营收透视!$I$2:$I$11</c:f>
              <c:numCache>
                <c:formatCode>0.0%</c:formatCode>
                <c:ptCount val="10"/>
                <c:pt idx="0">
                  <c:v>0.33744874319846652</c:v>
                </c:pt>
                <c:pt idx="1">
                  <c:v>0.1767574611381213</c:v>
                </c:pt>
                <c:pt idx="2">
                  <c:v>0.2095517906608606</c:v>
                </c:pt>
                <c:pt idx="3">
                  <c:v>0.16457361881262056</c:v>
                </c:pt>
                <c:pt idx="4">
                  <c:v>0.3308608979440224</c:v>
                </c:pt>
                <c:pt idx="5">
                  <c:v>0.47214950020333091</c:v>
                </c:pt>
                <c:pt idx="6">
                  <c:v>0.13716650274053399</c:v>
                </c:pt>
                <c:pt idx="7">
                  <c:v>8.4104001627296476E-3</c:v>
                </c:pt>
                <c:pt idx="9">
                  <c:v>0.17662683516736011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7262448"/>
        <c:axId val="547262840"/>
      </c:barChart>
      <c:catAx>
        <c:axId val="547262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47262840"/>
        <c:crosses val="autoZero"/>
        <c:auto val="1"/>
        <c:lblAlgn val="ctr"/>
        <c:lblOffset val="100"/>
        <c:noMultiLvlLbl val="0"/>
      </c:catAx>
      <c:valAx>
        <c:axId val="547262840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extTo"/>
        <c:crossAx val="547262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800"/>
              <a:t>单位：家</a:t>
            </a:r>
          </a:p>
        </c:rich>
      </c:tx>
      <c:layout>
        <c:manualLayout>
          <c:xMode val="edge"/>
          <c:yMode val="edge"/>
          <c:x val="3.0555555555555555E-2"/>
          <c:y val="3.2679738562091505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Sheet4!$C$1:$C$8</c:f>
              <c:strCache>
                <c:ptCount val="8"/>
                <c:pt idx="0">
                  <c:v>新一代
信息技术</c:v>
                </c:pt>
                <c:pt idx="1">
                  <c:v>数字创意</c:v>
                </c:pt>
                <c:pt idx="2">
                  <c:v>生物</c:v>
                </c:pt>
                <c:pt idx="3">
                  <c:v>节能环保</c:v>
                </c:pt>
                <c:pt idx="4">
                  <c:v>新材料</c:v>
                </c:pt>
                <c:pt idx="5">
                  <c:v>高端装备</c:v>
                </c:pt>
                <c:pt idx="6">
                  <c:v>新能源</c:v>
                </c:pt>
                <c:pt idx="7">
                  <c:v>新能源
汽车</c:v>
                </c:pt>
              </c:strCache>
            </c:strRef>
          </c:cat>
          <c:val>
            <c:numRef>
              <c:f>Sheet4!$D$1:$D$8</c:f>
              <c:numCache>
                <c:formatCode>General</c:formatCode>
                <c:ptCount val="8"/>
                <c:pt idx="0">
                  <c:v>21</c:v>
                </c:pt>
                <c:pt idx="1">
                  <c:v>17</c:v>
                </c:pt>
                <c:pt idx="2">
                  <c:v>12</c:v>
                </c:pt>
                <c:pt idx="3">
                  <c:v>10</c:v>
                </c:pt>
                <c:pt idx="4">
                  <c:v>7</c:v>
                </c:pt>
                <c:pt idx="5">
                  <c:v>5</c:v>
                </c:pt>
                <c:pt idx="6">
                  <c:v>3</c:v>
                </c:pt>
                <c:pt idx="7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9"/>
        <c:overlap val="-27"/>
        <c:axId val="546429608"/>
        <c:axId val="546429216"/>
      </c:barChart>
      <c:catAx>
        <c:axId val="546429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46429216"/>
        <c:crosses val="autoZero"/>
        <c:auto val="1"/>
        <c:lblAlgn val="ctr"/>
        <c:lblOffset val="100"/>
        <c:noMultiLvlLbl val="0"/>
      </c:catAx>
      <c:valAx>
        <c:axId val="5464292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46429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Sheet3!$D$1:$D$8</c:f>
              <c:strCache>
                <c:ptCount val="8"/>
                <c:pt idx="0">
                  <c:v>新一代
信息技术</c:v>
                </c:pt>
                <c:pt idx="1">
                  <c:v>数字创意</c:v>
                </c:pt>
                <c:pt idx="2">
                  <c:v>节能环保</c:v>
                </c:pt>
                <c:pt idx="3">
                  <c:v>生物</c:v>
                </c:pt>
                <c:pt idx="4">
                  <c:v>高端装备</c:v>
                </c:pt>
                <c:pt idx="5">
                  <c:v>新能源</c:v>
                </c:pt>
                <c:pt idx="6">
                  <c:v>新材料</c:v>
                </c:pt>
                <c:pt idx="7">
                  <c:v>新能源汽
车</c:v>
                </c:pt>
              </c:strCache>
            </c:strRef>
          </c:cat>
          <c:val>
            <c:numRef>
              <c:f>Sheet3!$E$1:$E$8</c:f>
              <c:numCache>
                <c:formatCode>General</c:formatCode>
                <c:ptCount val="8"/>
                <c:pt idx="0">
                  <c:v>78</c:v>
                </c:pt>
                <c:pt idx="1">
                  <c:v>38</c:v>
                </c:pt>
                <c:pt idx="2">
                  <c:v>30</c:v>
                </c:pt>
                <c:pt idx="3">
                  <c:v>26</c:v>
                </c:pt>
                <c:pt idx="4">
                  <c:v>18</c:v>
                </c:pt>
                <c:pt idx="5">
                  <c:v>14</c:v>
                </c:pt>
                <c:pt idx="6">
                  <c:v>11</c:v>
                </c:pt>
                <c:pt idx="7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9"/>
        <c:overlap val="-27"/>
        <c:axId val="546428432"/>
        <c:axId val="546428040"/>
      </c:barChart>
      <c:catAx>
        <c:axId val="546428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46428040"/>
        <c:crosses val="autoZero"/>
        <c:auto val="1"/>
        <c:lblAlgn val="ctr"/>
        <c:lblOffset val="100"/>
        <c:noMultiLvlLbl val="0"/>
      </c:catAx>
      <c:valAx>
        <c:axId val="54642804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46428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分区域营收透视!$C$36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分区域营收透视!$B$37:$B$42</c:f>
              <c:strCache>
                <c:ptCount val="6"/>
                <c:pt idx="0">
                  <c:v>中部</c:v>
                </c:pt>
                <c:pt idx="1">
                  <c:v>东部</c:v>
                </c:pt>
                <c:pt idx="2">
                  <c:v>西部</c:v>
                </c:pt>
                <c:pt idx="3">
                  <c:v>东北</c:v>
                </c:pt>
                <c:pt idx="5">
                  <c:v>全国</c:v>
                </c:pt>
              </c:strCache>
            </c:strRef>
          </c:cat>
          <c:val>
            <c:numRef>
              <c:f>分区域营收透视!$C$37:$C$42</c:f>
              <c:numCache>
                <c:formatCode>0.0%</c:formatCode>
                <c:ptCount val="6"/>
                <c:pt idx="0">
                  <c:v>0.14547072996895971</c:v>
                </c:pt>
                <c:pt idx="1">
                  <c:v>0.15484556201269184</c:v>
                </c:pt>
                <c:pt idx="2">
                  <c:v>0.21702874454207333</c:v>
                </c:pt>
                <c:pt idx="3">
                  <c:v>4.2848935113242836E-2</c:v>
                </c:pt>
                <c:pt idx="5">
                  <c:v>0.15541743390582075</c:v>
                </c:pt>
              </c:numCache>
            </c:numRef>
          </c:val>
        </c:ser>
        <c:ser>
          <c:idx val="1"/>
          <c:order val="1"/>
          <c:tx>
            <c:strRef>
              <c:f>分区域营收透视!$D$36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分区域营收透视!$B$37:$B$42</c:f>
              <c:strCache>
                <c:ptCount val="6"/>
                <c:pt idx="0">
                  <c:v>中部</c:v>
                </c:pt>
                <c:pt idx="1">
                  <c:v>东部</c:v>
                </c:pt>
                <c:pt idx="2">
                  <c:v>西部</c:v>
                </c:pt>
                <c:pt idx="3">
                  <c:v>东北</c:v>
                </c:pt>
                <c:pt idx="5">
                  <c:v>全国</c:v>
                </c:pt>
              </c:strCache>
            </c:strRef>
          </c:cat>
          <c:val>
            <c:numRef>
              <c:f>分区域营收透视!$D$37:$D$42</c:f>
              <c:numCache>
                <c:formatCode>0.0%</c:formatCode>
                <c:ptCount val="6"/>
                <c:pt idx="0">
                  <c:v>0.19617360485006641</c:v>
                </c:pt>
                <c:pt idx="1">
                  <c:v>0.16563503754045561</c:v>
                </c:pt>
                <c:pt idx="2">
                  <c:v>0.19061618879223641</c:v>
                </c:pt>
                <c:pt idx="3">
                  <c:v>8.2552706519520846E-3</c:v>
                </c:pt>
                <c:pt idx="5">
                  <c:v>0.16491162059989706</c:v>
                </c:pt>
              </c:numCache>
            </c:numRef>
          </c:val>
        </c:ser>
        <c:ser>
          <c:idx val="2"/>
          <c:order val="2"/>
          <c:tx>
            <c:strRef>
              <c:f>分区域营收透视!$E$36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分区域营收透视!$B$37:$B$42</c:f>
              <c:strCache>
                <c:ptCount val="6"/>
                <c:pt idx="0">
                  <c:v>中部</c:v>
                </c:pt>
                <c:pt idx="1">
                  <c:v>东部</c:v>
                </c:pt>
                <c:pt idx="2">
                  <c:v>西部</c:v>
                </c:pt>
                <c:pt idx="3">
                  <c:v>东北</c:v>
                </c:pt>
                <c:pt idx="5">
                  <c:v>全国</c:v>
                </c:pt>
              </c:strCache>
            </c:strRef>
          </c:cat>
          <c:val>
            <c:numRef>
              <c:f>分区域营收透视!$E$37:$E$42</c:f>
              <c:numCache>
                <c:formatCode>0.0%</c:formatCode>
                <c:ptCount val="6"/>
                <c:pt idx="0">
                  <c:v>0.24137660339473466</c:v>
                </c:pt>
                <c:pt idx="1">
                  <c:v>0.18181320221100639</c:v>
                </c:pt>
                <c:pt idx="2">
                  <c:v>0.11447659198704585</c:v>
                </c:pt>
                <c:pt idx="3">
                  <c:v>7.3443862065576848E-2</c:v>
                </c:pt>
                <c:pt idx="5">
                  <c:v>0.17662683516735944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6427256"/>
        <c:axId val="546424512"/>
      </c:barChart>
      <c:catAx>
        <c:axId val="546427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46424512"/>
        <c:crosses val="autoZero"/>
        <c:auto val="1"/>
        <c:lblAlgn val="ctr"/>
        <c:lblOffset val="100"/>
        <c:noMultiLvlLbl val="0"/>
      </c:catAx>
      <c:valAx>
        <c:axId val="546424512"/>
        <c:scaling>
          <c:orientation val="minMax"/>
        </c:scaling>
        <c:delete val="1"/>
        <c:axPos val="l"/>
        <c:numFmt formatCode="0.0%" sourceLinked="1"/>
        <c:majorTickMark val="none"/>
        <c:minorTickMark val="none"/>
        <c:tickLblPos val="nextTo"/>
        <c:crossAx val="546427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800"/>
              <a:t>单位：</a:t>
            </a:r>
            <a:r>
              <a:rPr lang="zh-CN" altLang="zh-CN" sz="800" b="0" i="0" u="none" strike="noStrike" baseline="0">
                <a:effectLst/>
              </a:rPr>
              <a:t>亿元</a:t>
            </a:r>
            <a:endParaRPr lang="zh-CN" altLang="en-US" sz="800"/>
          </a:p>
        </c:rich>
      </c:tx>
      <c:layout>
        <c:manualLayout>
          <c:xMode val="edge"/>
          <c:yMode val="edge"/>
          <c:x val="4.1642508972092776E-2"/>
          <c:y val="4.4630404463040445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作图!$A$19</c:f>
              <c:strCache>
                <c:ptCount val="1"/>
                <c:pt idx="0">
                  <c:v>战略性新兴产业上市公司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作图!$B$18:$D$18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作图!$B$19:$D$19</c:f>
              <c:numCache>
                <c:formatCode>0</c:formatCode>
                <c:ptCount val="3"/>
                <c:pt idx="0">
                  <c:v>638.05810000000019</c:v>
                </c:pt>
                <c:pt idx="1">
                  <c:v>1502.7060999999994</c:v>
                </c:pt>
                <c:pt idx="2">
                  <c:v>2143.8414000000002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9"/>
        <c:overlap val="-27"/>
        <c:axId val="546425296"/>
        <c:axId val="546425688"/>
      </c:barChart>
      <c:catAx>
        <c:axId val="546425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46425688"/>
        <c:crosses val="autoZero"/>
        <c:auto val="1"/>
        <c:lblAlgn val="ctr"/>
        <c:lblOffset val="100"/>
        <c:noMultiLvlLbl val="0"/>
      </c:catAx>
      <c:valAx>
        <c:axId val="546425688"/>
        <c:scaling>
          <c:orientation val="minMax"/>
        </c:scaling>
        <c:delete val="0"/>
        <c:axPos val="l"/>
        <c:numFmt formatCode="0" sourceLinked="1"/>
        <c:majorTickMark val="out"/>
        <c:minorTickMark val="none"/>
        <c:tickLblPos val="nextTo"/>
        <c:crossAx val="546425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800"/>
              <a:t>单位：</a:t>
            </a:r>
            <a:r>
              <a:rPr lang="zh-CN" altLang="zh-CN" sz="800" b="0" i="0" u="none" strike="noStrike" baseline="0">
                <a:effectLst/>
              </a:rPr>
              <a:t>亿元</a:t>
            </a:r>
            <a:endParaRPr lang="zh-CN" altLang="en-US" sz="800"/>
          </a:p>
        </c:rich>
      </c:tx>
      <c:layout>
        <c:manualLayout>
          <c:xMode val="edge"/>
          <c:yMode val="edge"/>
          <c:x val="6.2400000000000011E-2"/>
          <c:y val="6.188466947960619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作图!$A$24</c:f>
              <c:strCache>
                <c:ptCount val="1"/>
                <c:pt idx="0">
                  <c:v>A股上市公司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作图!$B$23:$D$23</c:f>
              <c:numCache>
                <c:formatCode>General</c:formatCode>
                <c:ptCount val="3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</c:numCache>
            </c:numRef>
          </c:cat>
          <c:val>
            <c:numRef>
              <c:f>作图!$B$24:$D$24</c:f>
              <c:numCache>
                <c:formatCode>0</c:formatCode>
                <c:ptCount val="3"/>
                <c:pt idx="0">
                  <c:v>8760.2123999999967</c:v>
                </c:pt>
                <c:pt idx="1">
                  <c:v>41747.564199999993</c:v>
                </c:pt>
                <c:pt idx="2">
                  <c:v>-9306.9925999999978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9"/>
        <c:overlap val="-27"/>
        <c:axId val="546426472"/>
        <c:axId val="546426864"/>
      </c:barChart>
      <c:catAx>
        <c:axId val="546426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46426864"/>
        <c:crosses val="autoZero"/>
        <c:auto val="1"/>
        <c:lblAlgn val="ctr"/>
        <c:lblOffset val="100"/>
        <c:noMultiLvlLbl val="0"/>
      </c:catAx>
      <c:valAx>
        <c:axId val="546426864"/>
        <c:scaling>
          <c:orientation val="minMax"/>
        </c:scaling>
        <c:delete val="0"/>
        <c:axPos val="l"/>
        <c:numFmt formatCode="0" sourceLinked="1"/>
        <c:majorTickMark val="out"/>
        <c:minorTickMark val="none"/>
        <c:tickLblPos val="nextTo"/>
        <c:crossAx val="546426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0.2331</cdr:x>
      <cdr:y>0.53635</cdr:y>
    </cdr:from>
    <cdr:to>
      <cdr:x>0.33726</cdr:x>
      <cdr:y>0.67524</cdr:y>
    </cdr:to>
    <cdr:cxnSp macro="">
      <cdr:nvCxnSpPr>
        <cdr:cNvPr id="3" name="直接箭头连接符 2"/>
        <cdr:cNvCxnSpPr/>
      </cdr:nvCxnSpPr>
      <cdr:spPr>
        <a:xfrm xmlns:a="http://schemas.openxmlformats.org/drawingml/2006/main" flipV="1">
          <a:off x="979125" y="1169903"/>
          <a:ext cx="437526" cy="302949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0.68397</cdr:x>
      <cdr:y>0.03419</cdr:y>
    </cdr:from>
    <cdr:to>
      <cdr:x>0.78813</cdr:x>
      <cdr:y>0.17308</cdr:y>
    </cdr:to>
    <cdr:cxnSp macro="">
      <cdr:nvCxnSpPr>
        <cdr:cNvPr id="4" name="直接箭头连接符 3"/>
        <cdr:cNvCxnSpPr/>
      </cdr:nvCxnSpPr>
      <cdr:spPr>
        <a:xfrm xmlns:a="http://schemas.openxmlformats.org/drawingml/2006/main" flipV="1">
          <a:off x="2873047" y="74584"/>
          <a:ext cx="437527" cy="302950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0.20134</cdr:x>
      <cdr:y>0.51052</cdr:y>
    </cdr:from>
    <cdr:to>
      <cdr:x>0.38287</cdr:x>
      <cdr:y>0.63475</cdr:y>
    </cdr:to>
    <cdr:sp macro="" textlink="">
      <cdr:nvSpPr>
        <cdr:cNvPr id="5" name="文本框 4"/>
        <cdr:cNvSpPr txBox="1"/>
      </cdr:nvSpPr>
      <cdr:spPr>
        <a:xfrm xmlns:a="http://schemas.openxmlformats.org/drawingml/2006/main">
          <a:off x="845748" y="1113567"/>
          <a:ext cx="762515" cy="2709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altLang="zh-CN" sz="1000"/>
            <a:t>16.4%</a:t>
          </a:r>
          <a:endParaRPr lang="zh-CN" altLang="en-US" sz="1000"/>
        </a:p>
      </cdr:txBody>
    </cdr:sp>
  </cdr:relSizeAnchor>
  <cdr:relSizeAnchor xmlns:cdr="http://schemas.openxmlformats.org/drawingml/2006/chartDrawing">
    <cdr:from>
      <cdr:x>0.65124</cdr:x>
      <cdr:y>0.03057</cdr:y>
    </cdr:from>
    <cdr:to>
      <cdr:x>0.79217</cdr:x>
      <cdr:y>0.16327</cdr:y>
    </cdr:to>
    <cdr:sp macro="" textlink="">
      <cdr:nvSpPr>
        <cdr:cNvPr id="6" name="文本框 1"/>
        <cdr:cNvSpPr txBox="1"/>
      </cdr:nvSpPr>
      <cdr:spPr>
        <a:xfrm xmlns:a="http://schemas.openxmlformats.org/drawingml/2006/main">
          <a:off x="2735562" y="66675"/>
          <a:ext cx="591951" cy="2894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altLang="zh-CN" sz="900"/>
            <a:t>9.6%</a:t>
          </a:r>
          <a:endParaRPr lang="zh-CN" altLang="en-US" sz="900"/>
        </a:p>
      </cdr:txBody>
    </cdr:sp>
  </cdr:relSizeAnchor>
</c:userShap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34034-E459-4B7E-81C4-710CCEDF7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620</Words>
  <Characters>3538</Characters>
  <Application>Microsoft Office Word</Application>
  <DocSecurity>0</DocSecurity>
  <Lines>29</Lines>
  <Paragraphs>8</Paragraphs>
  <ScaleCrop>false</ScaleCrop>
  <Company>Lenovo</Company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2017-05-19T03:25:00Z</cp:lastPrinted>
  <dcterms:created xsi:type="dcterms:W3CDTF">2017-05-19T01:33:00Z</dcterms:created>
  <dcterms:modified xsi:type="dcterms:W3CDTF">2017-05-19T03:26:00Z</dcterms:modified>
</cp:coreProperties>
</file>