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DC" w:rsidRPr="006674CC" w:rsidRDefault="00F461BA" w:rsidP="00AC73DC">
      <w:pPr>
        <w:jc w:val="center"/>
        <w:rPr>
          <w:b/>
          <w:sz w:val="36"/>
          <w:szCs w:val="36"/>
        </w:rPr>
      </w:pPr>
      <w:r w:rsidRPr="006674CC">
        <w:rPr>
          <w:rFonts w:hint="eastAsia"/>
          <w:b/>
          <w:sz w:val="36"/>
          <w:szCs w:val="36"/>
        </w:rPr>
        <w:t>自主乘用车</w:t>
      </w:r>
      <w:r w:rsidR="001B5C21" w:rsidRPr="006674CC">
        <w:rPr>
          <w:rFonts w:hint="eastAsia"/>
          <w:b/>
          <w:sz w:val="36"/>
          <w:szCs w:val="36"/>
        </w:rPr>
        <w:t>发展历程及</w:t>
      </w:r>
      <w:r w:rsidR="00031A79" w:rsidRPr="006674CC">
        <w:rPr>
          <w:rFonts w:hint="eastAsia"/>
          <w:b/>
          <w:sz w:val="36"/>
          <w:szCs w:val="36"/>
        </w:rPr>
        <w:t>未来</w:t>
      </w:r>
      <w:r w:rsidR="00CB222E" w:rsidRPr="006674CC">
        <w:rPr>
          <w:rFonts w:hint="eastAsia"/>
          <w:b/>
          <w:sz w:val="36"/>
          <w:szCs w:val="36"/>
        </w:rPr>
        <w:t>面临的困境和机遇</w:t>
      </w:r>
    </w:p>
    <w:p w:rsidR="006674CC" w:rsidRDefault="006674CC" w:rsidP="00AC73DC">
      <w:pPr>
        <w:jc w:val="center"/>
        <w:rPr>
          <w:rFonts w:hint="eastAsia"/>
          <w:sz w:val="28"/>
          <w:szCs w:val="21"/>
        </w:rPr>
      </w:pPr>
    </w:p>
    <w:p w:rsidR="00D00748" w:rsidRPr="00D00748" w:rsidRDefault="00D00748" w:rsidP="00AC73DC">
      <w:pPr>
        <w:jc w:val="center"/>
        <w:rPr>
          <w:b/>
          <w:sz w:val="40"/>
          <w:szCs w:val="21"/>
        </w:rPr>
      </w:pPr>
      <w:r w:rsidRPr="00D00748">
        <w:rPr>
          <w:rFonts w:hint="eastAsia"/>
          <w:sz w:val="28"/>
          <w:szCs w:val="21"/>
        </w:rPr>
        <w:t>张桐山、阮祥双、路遥</w:t>
      </w:r>
    </w:p>
    <w:p w:rsidR="006674CC" w:rsidRDefault="006674CC" w:rsidP="00915C0A">
      <w:pPr>
        <w:rPr>
          <w:rFonts w:hint="eastAsia"/>
          <w:b/>
          <w:sz w:val="28"/>
          <w:szCs w:val="21"/>
        </w:rPr>
      </w:pPr>
    </w:p>
    <w:p w:rsidR="0052366E" w:rsidRPr="003B74D2" w:rsidRDefault="00031A79" w:rsidP="00915C0A">
      <w:pPr>
        <w:rPr>
          <w:b/>
          <w:sz w:val="28"/>
          <w:szCs w:val="21"/>
        </w:rPr>
      </w:pPr>
      <w:r w:rsidRPr="003B74D2">
        <w:rPr>
          <w:rFonts w:hint="eastAsia"/>
          <w:b/>
          <w:sz w:val="28"/>
          <w:szCs w:val="21"/>
        </w:rPr>
        <w:t>一、</w:t>
      </w:r>
      <w:r w:rsidR="0052366E" w:rsidRPr="003B74D2">
        <w:rPr>
          <w:rFonts w:hint="eastAsia"/>
          <w:b/>
          <w:sz w:val="28"/>
          <w:szCs w:val="21"/>
        </w:rPr>
        <w:t>引言</w:t>
      </w:r>
    </w:p>
    <w:p w:rsidR="00AF20C1" w:rsidRDefault="003121F8" w:rsidP="00AF20C1">
      <w:pPr>
        <w:ind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2014年中国</w:t>
      </w:r>
      <w:r w:rsidR="007D7FEA" w:rsidRPr="00C4200C">
        <w:rPr>
          <w:rFonts w:hint="eastAsia"/>
          <w:sz w:val="21"/>
          <w:szCs w:val="21"/>
        </w:rPr>
        <w:t>汽车产销均超过2300万辆，连续六年位居世界第一，其中</w:t>
      </w:r>
      <w:r w:rsidR="007F184C" w:rsidRPr="00C4200C">
        <w:rPr>
          <w:rFonts w:hint="eastAsia"/>
          <w:sz w:val="21"/>
          <w:szCs w:val="21"/>
        </w:rPr>
        <w:t>狭义</w:t>
      </w:r>
      <w:r w:rsidRPr="00C4200C">
        <w:rPr>
          <w:rFonts w:hint="eastAsia"/>
          <w:sz w:val="21"/>
          <w:szCs w:val="21"/>
        </w:rPr>
        <w:t>乘用车</w:t>
      </w:r>
      <w:r w:rsidR="007D7FEA" w:rsidRPr="00C4200C">
        <w:rPr>
          <w:rFonts w:hint="eastAsia"/>
          <w:sz w:val="21"/>
          <w:szCs w:val="21"/>
        </w:rPr>
        <w:t>产销</w:t>
      </w:r>
      <w:r w:rsidR="007F184C" w:rsidRPr="00C4200C">
        <w:rPr>
          <w:rFonts w:hint="eastAsia"/>
          <w:sz w:val="21"/>
          <w:szCs w:val="21"/>
        </w:rPr>
        <w:t>超过1650万辆</w:t>
      </w:r>
      <w:r w:rsidRPr="00C4200C">
        <w:rPr>
          <w:rFonts w:hint="eastAsia"/>
          <w:sz w:val="21"/>
          <w:szCs w:val="21"/>
        </w:rPr>
        <w:t>，</w:t>
      </w:r>
      <w:r w:rsidR="007210AA" w:rsidRPr="00C4200C">
        <w:rPr>
          <w:rFonts w:hint="eastAsia"/>
          <w:sz w:val="21"/>
          <w:szCs w:val="21"/>
        </w:rPr>
        <w:t>在千万辆级的基数下</w:t>
      </w:r>
      <w:r w:rsidR="007F184C" w:rsidRPr="00C4200C">
        <w:rPr>
          <w:rFonts w:hint="eastAsia"/>
          <w:sz w:val="21"/>
          <w:szCs w:val="21"/>
        </w:rPr>
        <w:t>同比</w:t>
      </w:r>
      <w:r w:rsidR="00CC2775" w:rsidRPr="00C4200C">
        <w:rPr>
          <w:rFonts w:hint="eastAsia"/>
          <w:sz w:val="21"/>
          <w:szCs w:val="21"/>
        </w:rPr>
        <w:t>增长</w:t>
      </w:r>
      <w:r w:rsidR="007F184C" w:rsidRPr="00C4200C">
        <w:rPr>
          <w:rFonts w:hint="eastAsia"/>
          <w:sz w:val="21"/>
          <w:szCs w:val="21"/>
        </w:rPr>
        <w:t>近12%</w:t>
      </w:r>
      <w:r w:rsidRPr="00C4200C">
        <w:rPr>
          <w:rFonts w:hint="eastAsia"/>
          <w:sz w:val="21"/>
          <w:szCs w:val="21"/>
        </w:rPr>
        <w:t>，</w:t>
      </w:r>
      <w:r w:rsidR="007210AA" w:rsidRPr="00C4200C">
        <w:rPr>
          <w:rFonts w:hint="eastAsia"/>
          <w:sz w:val="21"/>
          <w:szCs w:val="21"/>
        </w:rPr>
        <w:t>市场显示出巨大活力和广阔前景。</w:t>
      </w:r>
      <w:r w:rsidR="00B90080" w:rsidRPr="00C4200C">
        <w:rPr>
          <w:rFonts w:hint="eastAsia"/>
          <w:sz w:val="21"/>
          <w:szCs w:val="21"/>
        </w:rPr>
        <w:t>但</w:t>
      </w:r>
      <w:r w:rsidR="00DC6094" w:rsidRPr="00C4200C">
        <w:rPr>
          <w:rFonts w:hint="eastAsia"/>
          <w:sz w:val="21"/>
          <w:szCs w:val="21"/>
        </w:rPr>
        <w:t>与此同时，自主品牌</w:t>
      </w:r>
      <w:r w:rsidR="00343DEE" w:rsidRPr="00C4200C">
        <w:rPr>
          <w:rFonts w:hint="eastAsia"/>
          <w:sz w:val="21"/>
          <w:szCs w:val="21"/>
        </w:rPr>
        <w:t>表现持续低迷，</w:t>
      </w:r>
      <w:r w:rsidR="00AF20C1" w:rsidRPr="00C4200C">
        <w:rPr>
          <w:rFonts w:hint="eastAsia"/>
          <w:sz w:val="21"/>
          <w:szCs w:val="21"/>
        </w:rPr>
        <w:t>在狭义乘用车中的份额</w:t>
      </w:r>
      <w:r w:rsidR="00035DED">
        <w:rPr>
          <w:rFonts w:hint="eastAsia"/>
          <w:sz w:val="21"/>
          <w:szCs w:val="21"/>
        </w:rPr>
        <w:t>连续</w:t>
      </w:r>
      <w:r w:rsidR="00AF20C1" w:rsidRPr="00C4200C">
        <w:rPr>
          <w:rFonts w:hint="eastAsia"/>
          <w:sz w:val="21"/>
          <w:szCs w:val="21"/>
        </w:rPr>
        <w:t>大幅下滑</w:t>
      </w:r>
      <w:r w:rsidR="007D7FEA" w:rsidRPr="00C4200C">
        <w:rPr>
          <w:rFonts w:hint="eastAsia"/>
          <w:sz w:val="21"/>
          <w:szCs w:val="21"/>
        </w:rPr>
        <w:t>，</w:t>
      </w:r>
      <w:r w:rsidR="00A07096" w:rsidRPr="00C4200C">
        <w:rPr>
          <w:rFonts w:hint="eastAsia"/>
          <w:sz w:val="21"/>
          <w:szCs w:val="21"/>
        </w:rPr>
        <w:t>其中轿车份额</w:t>
      </w:r>
      <w:r w:rsidR="00B1478E" w:rsidRPr="00C4200C">
        <w:rPr>
          <w:rFonts w:hint="eastAsia"/>
          <w:sz w:val="21"/>
          <w:szCs w:val="21"/>
        </w:rPr>
        <w:t>创2001年以来年度历史新低，</w:t>
      </w:r>
      <w:r w:rsidR="007B3F64" w:rsidRPr="00C4200C">
        <w:rPr>
          <w:rFonts w:hint="eastAsia"/>
          <w:sz w:val="21"/>
          <w:szCs w:val="21"/>
        </w:rPr>
        <w:t>仅为20.8%，</w:t>
      </w:r>
      <w:r w:rsidR="007B2D2A" w:rsidRPr="00C4200C">
        <w:rPr>
          <w:rFonts w:hint="eastAsia"/>
          <w:sz w:val="21"/>
          <w:szCs w:val="21"/>
        </w:rPr>
        <w:t>较2010</w:t>
      </w:r>
      <w:r w:rsidR="00AF20C1" w:rsidRPr="00C4200C">
        <w:rPr>
          <w:rFonts w:hint="eastAsia"/>
          <w:sz w:val="21"/>
          <w:szCs w:val="21"/>
        </w:rPr>
        <w:t>年顶峰时下跌</w:t>
      </w:r>
      <w:r w:rsidR="00DD7553">
        <w:rPr>
          <w:rFonts w:hint="eastAsia"/>
          <w:sz w:val="21"/>
          <w:szCs w:val="21"/>
        </w:rPr>
        <w:t>9.7</w:t>
      </w:r>
      <w:r w:rsidR="007B2D2A" w:rsidRPr="00C4200C">
        <w:rPr>
          <w:rFonts w:hint="eastAsia"/>
          <w:sz w:val="21"/>
          <w:szCs w:val="21"/>
        </w:rPr>
        <w:t>个百分点</w:t>
      </w:r>
      <w:r w:rsidR="004E1E67">
        <w:rPr>
          <w:rFonts w:hint="eastAsia"/>
          <w:sz w:val="21"/>
          <w:szCs w:val="21"/>
        </w:rPr>
        <w:t>(图1)</w:t>
      </w:r>
      <w:r w:rsidR="007B2D2A" w:rsidRPr="00C4200C">
        <w:rPr>
          <w:rFonts w:hint="eastAsia"/>
          <w:sz w:val="21"/>
          <w:szCs w:val="21"/>
        </w:rPr>
        <w:t>。</w:t>
      </w:r>
      <w:r w:rsidR="004C2C52" w:rsidRPr="00C4200C">
        <w:rPr>
          <w:rFonts w:hint="eastAsia"/>
          <w:sz w:val="21"/>
          <w:szCs w:val="21"/>
        </w:rPr>
        <w:t>自主</w:t>
      </w:r>
      <w:r w:rsidR="00F461BA" w:rsidRPr="00C4200C">
        <w:rPr>
          <w:rFonts w:hint="eastAsia"/>
          <w:sz w:val="21"/>
          <w:szCs w:val="21"/>
        </w:rPr>
        <w:t>乘用车</w:t>
      </w:r>
      <w:r w:rsidR="004C2C52" w:rsidRPr="00C4200C">
        <w:rPr>
          <w:rFonts w:hint="eastAsia"/>
          <w:sz w:val="21"/>
          <w:szCs w:val="21"/>
        </w:rPr>
        <w:t>作为中国汽车产业</w:t>
      </w:r>
      <w:r w:rsidR="00307402" w:rsidRPr="00C4200C">
        <w:rPr>
          <w:rFonts w:hint="eastAsia"/>
          <w:sz w:val="21"/>
          <w:szCs w:val="21"/>
        </w:rPr>
        <w:t>由大变强的</w:t>
      </w:r>
      <w:r w:rsidR="00E46D86" w:rsidRPr="00C4200C">
        <w:rPr>
          <w:rFonts w:hint="eastAsia"/>
          <w:sz w:val="21"/>
          <w:szCs w:val="21"/>
        </w:rPr>
        <w:t>核心</w:t>
      </w:r>
      <w:r w:rsidR="00307402" w:rsidRPr="00C4200C">
        <w:rPr>
          <w:rFonts w:hint="eastAsia"/>
          <w:sz w:val="21"/>
          <w:szCs w:val="21"/>
        </w:rPr>
        <w:t>力量</w:t>
      </w:r>
      <w:r w:rsidR="00E25D6E" w:rsidRPr="00C4200C">
        <w:rPr>
          <w:rFonts w:hint="eastAsia"/>
          <w:sz w:val="21"/>
          <w:szCs w:val="21"/>
        </w:rPr>
        <w:t>，</w:t>
      </w:r>
      <w:r w:rsidR="002B141D" w:rsidRPr="00C4200C">
        <w:rPr>
          <w:rFonts w:hint="eastAsia"/>
          <w:sz w:val="21"/>
          <w:szCs w:val="21"/>
        </w:rPr>
        <w:t>其命运与整个汽车产业发展息息相关，在当前持续低迷的阶段，</w:t>
      </w:r>
      <w:r w:rsidR="00E25D6E" w:rsidRPr="00C4200C">
        <w:rPr>
          <w:rFonts w:hint="eastAsia"/>
          <w:sz w:val="21"/>
          <w:szCs w:val="21"/>
        </w:rPr>
        <w:t>有必要</w:t>
      </w:r>
      <w:r w:rsidR="002B141D" w:rsidRPr="00C4200C">
        <w:rPr>
          <w:rFonts w:hint="eastAsia"/>
          <w:sz w:val="21"/>
          <w:szCs w:val="21"/>
        </w:rPr>
        <w:t>认真梳理其</w:t>
      </w:r>
      <w:r w:rsidR="00E25D6E" w:rsidRPr="00C4200C">
        <w:rPr>
          <w:rFonts w:hint="eastAsia"/>
          <w:sz w:val="21"/>
          <w:szCs w:val="21"/>
        </w:rPr>
        <w:t>发展历程，</w:t>
      </w:r>
      <w:r w:rsidR="0052366E" w:rsidRPr="00C4200C">
        <w:rPr>
          <w:rFonts w:hint="eastAsia"/>
          <w:sz w:val="21"/>
          <w:szCs w:val="21"/>
        </w:rPr>
        <w:t>结合企业战略、市场需求和外部环境判断未来面临的困境和机遇</w:t>
      </w:r>
      <w:r w:rsidR="003D37BA" w:rsidRPr="00C4200C">
        <w:rPr>
          <w:rFonts w:hint="eastAsia"/>
          <w:sz w:val="21"/>
          <w:szCs w:val="21"/>
        </w:rPr>
        <w:t>，只有充分总结历史、</w:t>
      </w:r>
      <w:r w:rsidR="00031A79" w:rsidRPr="00C4200C">
        <w:rPr>
          <w:rFonts w:hint="eastAsia"/>
          <w:sz w:val="21"/>
          <w:szCs w:val="21"/>
        </w:rPr>
        <w:t>洞察未来</w:t>
      </w:r>
      <w:r w:rsidR="003D37BA" w:rsidRPr="00C4200C">
        <w:rPr>
          <w:rFonts w:hint="eastAsia"/>
          <w:sz w:val="21"/>
          <w:szCs w:val="21"/>
        </w:rPr>
        <w:t>，才能在激烈的竞争中找到自己的一席之地</w:t>
      </w:r>
      <w:r w:rsidR="00E46D86" w:rsidRPr="00C4200C">
        <w:rPr>
          <w:rFonts w:hint="eastAsia"/>
          <w:sz w:val="21"/>
          <w:szCs w:val="21"/>
        </w:rPr>
        <w:t>。</w:t>
      </w:r>
    </w:p>
    <w:p w:rsidR="001C26CC" w:rsidRPr="001C26CC" w:rsidRDefault="001C26CC" w:rsidP="001C26CC">
      <w:pPr>
        <w:jc w:val="center"/>
        <w:rPr>
          <w:b/>
          <w:sz w:val="21"/>
          <w:szCs w:val="21"/>
        </w:rPr>
      </w:pPr>
      <w:r w:rsidRPr="001C26CC">
        <w:rPr>
          <w:rFonts w:hint="eastAsia"/>
          <w:b/>
          <w:sz w:val="21"/>
          <w:szCs w:val="21"/>
        </w:rPr>
        <w:t>图1自主品牌国产轿车市场份额变化</w:t>
      </w:r>
    </w:p>
    <w:p w:rsidR="00AF20C1" w:rsidRDefault="00AF20C1" w:rsidP="001978A8">
      <w:pPr>
        <w:rPr>
          <w:sz w:val="21"/>
          <w:szCs w:val="21"/>
        </w:rPr>
      </w:pPr>
      <w:r w:rsidRPr="00C4200C">
        <w:rPr>
          <w:noProof/>
          <w:sz w:val="21"/>
          <w:szCs w:val="21"/>
        </w:rPr>
        <w:drawing>
          <wp:inline distT="0" distB="0" distL="0" distR="0" wp14:anchorId="1A6CB998" wp14:editId="5818CDD1">
            <wp:extent cx="5295900" cy="1495425"/>
            <wp:effectExtent l="0" t="0" r="19050" b="952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13C0" w:rsidRPr="001A1F4B" w:rsidRDefault="002813C0" w:rsidP="002813C0">
      <w:pPr>
        <w:rPr>
          <w:sz w:val="20"/>
        </w:rPr>
      </w:pPr>
      <w:r w:rsidRPr="001A1F4B">
        <w:rPr>
          <w:rFonts w:hint="eastAsia"/>
          <w:sz w:val="20"/>
        </w:rPr>
        <w:t>注：</w:t>
      </w:r>
      <w:r w:rsidR="0029275E">
        <w:rPr>
          <w:rFonts w:hint="eastAsia"/>
          <w:sz w:val="20"/>
        </w:rPr>
        <w:t>本文</w:t>
      </w:r>
      <w:r w:rsidRPr="001A1F4B">
        <w:rPr>
          <w:rFonts w:hint="eastAsia"/>
          <w:sz w:val="20"/>
        </w:rPr>
        <w:t>数据来源为</w:t>
      </w:r>
      <w:r w:rsidR="00FC1BC1">
        <w:rPr>
          <w:rFonts w:hint="eastAsia"/>
          <w:sz w:val="20"/>
        </w:rPr>
        <w:t>国家信息中心乘用车数据库，不含五菱宏观、欧诺等</w:t>
      </w:r>
      <w:proofErr w:type="gramStart"/>
      <w:r w:rsidR="005D4D7E">
        <w:rPr>
          <w:rFonts w:hint="eastAsia"/>
          <w:sz w:val="20"/>
        </w:rPr>
        <w:t>微客型</w:t>
      </w:r>
      <w:proofErr w:type="gramEnd"/>
      <w:r w:rsidR="005D4D7E">
        <w:rPr>
          <w:rFonts w:hint="eastAsia"/>
          <w:sz w:val="20"/>
        </w:rPr>
        <w:t>MPV,</w:t>
      </w:r>
      <w:r w:rsidRPr="001A1F4B">
        <w:rPr>
          <w:rFonts w:hint="eastAsia"/>
          <w:sz w:val="20"/>
        </w:rPr>
        <w:t>数据口径为国内批发量</w:t>
      </w:r>
      <w:r w:rsidR="00D8084B">
        <w:rPr>
          <w:rFonts w:hint="eastAsia"/>
          <w:sz w:val="20"/>
        </w:rPr>
        <w:t>，</w:t>
      </w:r>
      <w:r>
        <w:rPr>
          <w:rFonts w:hint="eastAsia"/>
          <w:sz w:val="20"/>
        </w:rPr>
        <w:t>下同。</w:t>
      </w:r>
    </w:p>
    <w:p w:rsidR="006674CC" w:rsidRDefault="006674CC" w:rsidP="0052366E">
      <w:pPr>
        <w:rPr>
          <w:rFonts w:hint="eastAsia"/>
          <w:b/>
          <w:sz w:val="28"/>
          <w:szCs w:val="21"/>
        </w:rPr>
      </w:pPr>
    </w:p>
    <w:p w:rsidR="004C2C52" w:rsidRPr="003B74D2" w:rsidRDefault="00031A79" w:rsidP="0052366E">
      <w:pPr>
        <w:rPr>
          <w:b/>
          <w:sz w:val="28"/>
          <w:szCs w:val="21"/>
        </w:rPr>
      </w:pPr>
      <w:r w:rsidRPr="003B74D2">
        <w:rPr>
          <w:rFonts w:hint="eastAsia"/>
          <w:b/>
          <w:sz w:val="28"/>
          <w:szCs w:val="21"/>
        </w:rPr>
        <w:t>二、</w:t>
      </w:r>
      <w:r w:rsidR="004C2C52" w:rsidRPr="003B74D2">
        <w:rPr>
          <w:rFonts w:hint="eastAsia"/>
          <w:b/>
          <w:sz w:val="28"/>
          <w:szCs w:val="21"/>
        </w:rPr>
        <w:t>自主</w:t>
      </w:r>
      <w:r w:rsidR="00F461BA" w:rsidRPr="003B74D2">
        <w:rPr>
          <w:rFonts w:hint="eastAsia"/>
          <w:b/>
          <w:sz w:val="28"/>
          <w:szCs w:val="21"/>
        </w:rPr>
        <w:t>乘用车</w:t>
      </w:r>
      <w:r w:rsidR="004C2C52" w:rsidRPr="003B74D2">
        <w:rPr>
          <w:rFonts w:hint="eastAsia"/>
          <w:b/>
          <w:sz w:val="28"/>
          <w:szCs w:val="21"/>
        </w:rPr>
        <w:t>发展历程</w:t>
      </w:r>
      <w:r w:rsidR="00BE2E0B" w:rsidRPr="003B74D2">
        <w:rPr>
          <w:rFonts w:hint="eastAsia"/>
          <w:b/>
          <w:sz w:val="28"/>
          <w:szCs w:val="21"/>
        </w:rPr>
        <w:t>回顾</w:t>
      </w:r>
    </w:p>
    <w:p w:rsidR="00215E0A" w:rsidRDefault="00F461BA" w:rsidP="00EE68C5">
      <w:pPr>
        <w:ind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细数历史，</w:t>
      </w:r>
      <w:r w:rsidR="00EE68C5" w:rsidRPr="00C4200C">
        <w:rPr>
          <w:rFonts w:hint="eastAsia"/>
          <w:sz w:val="21"/>
          <w:szCs w:val="21"/>
        </w:rPr>
        <w:t>自主乘用车的诞生</w:t>
      </w:r>
      <w:r w:rsidRPr="00C4200C">
        <w:rPr>
          <w:rFonts w:hint="eastAsia"/>
          <w:sz w:val="21"/>
          <w:szCs w:val="21"/>
        </w:rPr>
        <w:t>可以追溯到上世纪80年代末</w:t>
      </w:r>
      <w:r w:rsidR="00FD1910" w:rsidRPr="00C4200C">
        <w:rPr>
          <w:rFonts w:hint="eastAsia"/>
          <w:sz w:val="21"/>
          <w:szCs w:val="21"/>
        </w:rPr>
        <w:t>，</w:t>
      </w:r>
      <w:r w:rsidRPr="00C4200C">
        <w:rPr>
          <w:rFonts w:hint="eastAsia"/>
          <w:sz w:val="21"/>
          <w:szCs w:val="21"/>
        </w:rPr>
        <w:t>是伴随着整个汽车工业</w:t>
      </w:r>
      <w:r w:rsidR="001C5E80" w:rsidRPr="00C4200C">
        <w:rPr>
          <w:rFonts w:hint="eastAsia"/>
          <w:sz w:val="21"/>
          <w:szCs w:val="21"/>
        </w:rPr>
        <w:t>管理体制改革、</w:t>
      </w:r>
      <w:r w:rsidR="00EE68C5" w:rsidRPr="00C4200C">
        <w:rPr>
          <w:rFonts w:hint="eastAsia"/>
          <w:sz w:val="21"/>
          <w:szCs w:val="21"/>
        </w:rPr>
        <w:t>逐步</w:t>
      </w:r>
      <w:r w:rsidRPr="00C4200C">
        <w:rPr>
          <w:rFonts w:hint="eastAsia"/>
          <w:sz w:val="21"/>
          <w:szCs w:val="21"/>
        </w:rPr>
        <w:t>向</w:t>
      </w:r>
      <w:r w:rsidR="001C5E80" w:rsidRPr="00C4200C">
        <w:rPr>
          <w:rFonts w:hint="eastAsia"/>
          <w:sz w:val="21"/>
          <w:szCs w:val="21"/>
        </w:rPr>
        <w:t>市场经济体制转轨的过程</w:t>
      </w:r>
      <w:r w:rsidRPr="00C4200C">
        <w:rPr>
          <w:rFonts w:hint="eastAsia"/>
          <w:sz w:val="21"/>
          <w:szCs w:val="21"/>
        </w:rPr>
        <w:t>中产生并发展起来的</w:t>
      </w:r>
      <w:r w:rsidR="001C5E80" w:rsidRPr="00C4200C">
        <w:rPr>
          <w:rFonts w:hint="eastAsia"/>
          <w:sz w:val="21"/>
          <w:szCs w:val="21"/>
        </w:rPr>
        <w:t>。</w:t>
      </w:r>
      <w:r w:rsidR="00EE68C5" w:rsidRPr="00C4200C">
        <w:rPr>
          <w:rFonts w:hint="eastAsia"/>
          <w:sz w:val="21"/>
          <w:szCs w:val="21"/>
        </w:rPr>
        <w:t>从</w:t>
      </w:r>
      <w:r w:rsidR="00EE68C5" w:rsidRPr="00C4200C">
        <w:rPr>
          <w:rStyle w:val="apple-converted-space"/>
          <w:rFonts w:ascii="Simsun" w:hAnsi="Simsun"/>
          <w:color w:val="000000"/>
          <w:sz w:val="21"/>
          <w:szCs w:val="21"/>
          <w:shd w:val="clear" w:color="auto" w:fill="FFFFFF"/>
        </w:rPr>
        <w:t> </w:t>
      </w:r>
      <w:r w:rsidR="00EE68C5" w:rsidRPr="00C4200C">
        <w:rPr>
          <w:rFonts w:ascii="Simsun" w:hAnsi="Simsun"/>
          <w:color w:val="000000"/>
          <w:sz w:val="21"/>
          <w:szCs w:val="21"/>
          <w:shd w:val="clear" w:color="auto" w:fill="FFFFFF"/>
        </w:rPr>
        <w:t>1987</w:t>
      </w:r>
      <w:r w:rsidR="00EE68C5" w:rsidRPr="00C4200C">
        <w:rPr>
          <w:rFonts w:ascii="Simsun" w:hAnsi="Simsun"/>
          <w:color w:val="000000"/>
          <w:sz w:val="21"/>
          <w:szCs w:val="21"/>
          <w:shd w:val="clear" w:color="auto" w:fill="FFFFFF"/>
        </w:rPr>
        <w:t>年</w:t>
      </w:r>
      <w:r w:rsidR="00EE68C5" w:rsidRPr="00C4200C">
        <w:rPr>
          <w:rFonts w:ascii="Simsun" w:hAnsi="Simsun"/>
          <w:color w:val="000000"/>
          <w:sz w:val="21"/>
          <w:szCs w:val="21"/>
          <w:shd w:val="clear" w:color="auto" w:fill="FFFFFF"/>
        </w:rPr>
        <w:t>8</w:t>
      </w:r>
      <w:r w:rsidR="00EE68C5" w:rsidRPr="00C4200C">
        <w:rPr>
          <w:rFonts w:ascii="Simsun" w:hAnsi="Simsun"/>
          <w:color w:val="000000"/>
          <w:sz w:val="21"/>
          <w:szCs w:val="21"/>
          <w:shd w:val="clear" w:color="auto" w:fill="FFFFFF"/>
        </w:rPr>
        <w:t>月国务院北戴河会议</w:t>
      </w:r>
      <w:r w:rsidR="007A78F2">
        <w:rPr>
          <w:rFonts w:ascii="Simsun" w:hAnsi="Simsun" w:hint="eastAsia"/>
          <w:color w:val="000000"/>
          <w:sz w:val="21"/>
          <w:szCs w:val="21"/>
          <w:shd w:val="clear" w:color="auto" w:fill="FFFFFF"/>
        </w:rPr>
        <w:t>明确</w:t>
      </w:r>
      <w:r w:rsidR="00EE68C5" w:rsidRPr="00C4200C">
        <w:rPr>
          <w:rFonts w:ascii="Simsun" w:hAnsi="Simsun"/>
          <w:color w:val="000000"/>
          <w:sz w:val="21"/>
          <w:szCs w:val="21"/>
          <w:shd w:val="clear" w:color="auto" w:fill="FFFFFF"/>
        </w:rPr>
        <w:t>建设</w:t>
      </w:r>
      <w:proofErr w:type="gramStart"/>
      <w:r w:rsidR="00EE68C5" w:rsidRPr="00C4200C">
        <w:rPr>
          <w:rFonts w:ascii="Simsun" w:hAnsi="Simsun"/>
          <w:color w:val="000000"/>
          <w:sz w:val="21"/>
          <w:szCs w:val="21"/>
          <w:shd w:val="clear" w:color="auto" w:fill="FFFFFF"/>
        </w:rPr>
        <w:t>一</w:t>
      </w:r>
      <w:proofErr w:type="gramEnd"/>
      <w:r w:rsidR="00EE68C5" w:rsidRPr="00C4200C">
        <w:rPr>
          <w:rFonts w:ascii="Simsun" w:hAnsi="Simsun"/>
          <w:color w:val="000000"/>
          <w:sz w:val="21"/>
          <w:szCs w:val="21"/>
          <w:shd w:val="clear" w:color="auto" w:fill="FFFFFF"/>
        </w:rPr>
        <w:t>汽、二汽、上海</w:t>
      </w:r>
      <w:r w:rsidR="00EE68C5" w:rsidRPr="00C4200C">
        <w:rPr>
          <w:rFonts w:ascii="Simsun" w:hAnsi="Simsun"/>
          <w:color w:val="000000"/>
          <w:sz w:val="21"/>
          <w:szCs w:val="21"/>
          <w:shd w:val="clear" w:color="auto" w:fill="FFFFFF"/>
        </w:rPr>
        <w:t>3</w:t>
      </w:r>
      <w:r w:rsidR="00EE68C5" w:rsidRPr="00C4200C">
        <w:rPr>
          <w:rFonts w:ascii="Simsun" w:hAnsi="Simsun"/>
          <w:color w:val="000000"/>
          <w:sz w:val="21"/>
          <w:szCs w:val="21"/>
          <w:shd w:val="clear" w:color="auto" w:fill="FFFFFF"/>
        </w:rPr>
        <w:t>个轿车生产点</w:t>
      </w:r>
      <w:r w:rsidR="00EE68C5" w:rsidRPr="00C4200C">
        <w:rPr>
          <w:rFonts w:ascii="Simsun" w:hAnsi="Simsun" w:hint="eastAsia"/>
          <w:color w:val="000000"/>
          <w:sz w:val="21"/>
          <w:szCs w:val="21"/>
          <w:shd w:val="clear" w:color="auto" w:fill="FFFFFF"/>
        </w:rPr>
        <w:t>，到</w:t>
      </w:r>
      <w:r w:rsidR="00EE68C5" w:rsidRPr="00C4200C">
        <w:rPr>
          <w:rFonts w:ascii="Simsun" w:hAnsi="Simsun" w:hint="eastAsia"/>
          <w:color w:val="000000"/>
          <w:sz w:val="21"/>
          <w:szCs w:val="21"/>
          <w:shd w:val="clear" w:color="auto" w:fill="FFFFFF"/>
        </w:rPr>
        <w:t>2000</w:t>
      </w:r>
      <w:r w:rsidR="00EE68C5" w:rsidRPr="00C4200C">
        <w:rPr>
          <w:rFonts w:ascii="Simsun" w:hAnsi="Simsun" w:hint="eastAsia"/>
          <w:color w:val="000000"/>
          <w:sz w:val="21"/>
          <w:szCs w:val="21"/>
          <w:shd w:val="clear" w:color="auto" w:fill="FFFFFF"/>
        </w:rPr>
        <w:t>年</w:t>
      </w:r>
      <w:r w:rsidR="00786FBD" w:rsidRPr="00C4200C">
        <w:rPr>
          <w:rFonts w:ascii="Simsun" w:hAnsi="Simsun" w:hint="eastAsia"/>
          <w:color w:val="000000"/>
          <w:sz w:val="21"/>
          <w:szCs w:val="21"/>
          <w:shd w:val="clear" w:color="auto" w:fill="FFFFFF"/>
        </w:rPr>
        <w:t>市场初具规模，自主乘用车渡过了诞生和孵化期</w:t>
      </w:r>
      <w:r w:rsidR="00EE68C5" w:rsidRPr="00C4200C">
        <w:rPr>
          <w:rFonts w:ascii="Simsun" w:hAnsi="Simsun" w:hint="eastAsia"/>
          <w:color w:val="000000"/>
          <w:sz w:val="21"/>
          <w:szCs w:val="21"/>
          <w:shd w:val="clear" w:color="auto" w:fill="FFFFFF"/>
        </w:rPr>
        <w:t>，</w:t>
      </w:r>
      <w:r w:rsidR="00786FBD" w:rsidRPr="00C4200C">
        <w:rPr>
          <w:rFonts w:ascii="Simsun" w:hAnsi="Simsun" w:hint="eastAsia"/>
          <w:color w:val="000000"/>
          <w:sz w:val="21"/>
          <w:szCs w:val="21"/>
          <w:shd w:val="clear" w:color="auto" w:fill="FFFFFF"/>
        </w:rPr>
        <w:t>而</w:t>
      </w:r>
      <w:r w:rsidR="00EE68C5" w:rsidRPr="00C4200C">
        <w:rPr>
          <w:rStyle w:val="a7"/>
          <w:rFonts w:ascii="Simsun" w:hAnsi="Simsun" w:hint="eastAsia"/>
          <w:b w:val="0"/>
          <w:sz w:val="21"/>
          <w:szCs w:val="21"/>
          <w:shd w:val="clear" w:color="auto" w:fill="FFFFFF"/>
        </w:rPr>
        <w:t>2000</w:t>
      </w:r>
      <w:r w:rsidR="00EE68C5" w:rsidRPr="00C4200C">
        <w:rPr>
          <w:rStyle w:val="a7"/>
          <w:rFonts w:ascii="Simsun" w:hAnsi="Simsun" w:hint="eastAsia"/>
          <w:b w:val="0"/>
          <w:sz w:val="21"/>
          <w:szCs w:val="21"/>
          <w:shd w:val="clear" w:color="auto" w:fill="FFFFFF"/>
        </w:rPr>
        <w:t>年开始特别是加入</w:t>
      </w:r>
      <w:r w:rsidR="00EE68C5" w:rsidRPr="00C4200C">
        <w:rPr>
          <w:rStyle w:val="a7"/>
          <w:rFonts w:ascii="Simsun" w:hAnsi="Simsun" w:hint="eastAsia"/>
          <w:b w:val="0"/>
          <w:sz w:val="21"/>
          <w:szCs w:val="21"/>
          <w:shd w:val="clear" w:color="auto" w:fill="FFFFFF"/>
        </w:rPr>
        <w:t>WTO</w:t>
      </w:r>
      <w:r w:rsidR="00EE68C5" w:rsidRPr="00C4200C">
        <w:rPr>
          <w:rStyle w:val="a7"/>
          <w:rFonts w:ascii="Simsun" w:hAnsi="Simsun" w:hint="eastAsia"/>
          <w:b w:val="0"/>
          <w:sz w:val="21"/>
          <w:szCs w:val="21"/>
          <w:shd w:val="clear" w:color="auto" w:fill="FFFFFF"/>
        </w:rPr>
        <w:t>后</w:t>
      </w:r>
      <w:r w:rsidR="001C5E80" w:rsidRPr="00C4200C">
        <w:rPr>
          <w:rStyle w:val="a7"/>
          <w:rFonts w:ascii="Simsun" w:hAnsi="Simsun" w:hint="eastAsia"/>
          <w:b w:val="0"/>
          <w:sz w:val="21"/>
          <w:szCs w:val="21"/>
          <w:shd w:val="clear" w:color="auto" w:fill="FFFFFF"/>
        </w:rPr>
        <w:t>，中国汽车</w:t>
      </w:r>
      <w:r w:rsidR="000F5506">
        <w:rPr>
          <w:rStyle w:val="a7"/>
          <w:rFonts w:ascii="Simsun" w:hAnsi="Simsun" w:hint="eastAsia"/>
          <w:b w:val="0"/>
          <w:sz w:val="21"/>
          <w:szCs w:val="21"/>
          <w:shd w:val="clear" w:color="auto" w:fill="FFFFFF"/>
        </w:rPr>
        <w:t>工业</w:t>
      </w:r>
      <w:r w:rsidR="001C5E80" w:rsidRPr="00C4200C">
        <w:rPr>
          <w:rStyle w:val="a7"/>
          <w:rFonts w:ascii="Simsun" w:hAnsi="Simsun" w:hint="eastAsia"/>
          <w:b w:val="0"/>
          <w:sz w:val="21"/>
          <w:szCs w:val="21"/>
          <w:shd w:val="clear" w:color="auto" w:fill="FFFFFF"/>
        </w:rPr>
        <w:t>加速融入世界体系</w:t>
      </w:r>
      <w:r w:rsidR="00EE68C5" w:rsidRPr="00C4200C">
        <w:rPr>
          <w:rStyle w:val="a7"/>
          <w:rFonts w:ascii="Simsun" w:hAnsi="Simsun" w:hint="eastAsia"/>
          <w:b w:val="0"/>
          <w:sz w:val="21"/>
          <w:szCs w:val="21"/>
          <w:shd w:val="clear" w:color="auto" w:fill="FFFFFF"/>
        </w:rPr>
        <w:t>，自主乘用车也</w:t>
      </w:r>
      <w:proofErr w:type="gramStart"/>
      <w:r w:rsidR="000752E9">
        <w:rPr>
          <w:rStyle w:val="a7"/>
          <w:rFonts w:ascii="Simsun" w:hAnsi="Simsun" w:hint="eastAsia"/>
          <w:b w:val="0"/>
          <w:sz w:val="21"/>
          <w:szCs w:val="21"/>
          <w:shd w:val="clear" w:color="auto" w:fill="FFFFFF"/>
        </w:rPr>
        <w:t>在此</w:t>
      </w:r>
      <w:r w:rsidR="00EE68C5" w:rsidRPr="00C4200C">
        <w:rPr>
          <w:rStyle w:val="a7"/>
          <w:rFonts w:ascii="Simsun" w:hAnsi="Simsun" w:hint="eastAsia"/>
          <w:b w:val="0"/>
          <w:sz w:val="21"/>
          <w:szCs w:val="21"/>
          <w:shd w:val="clear" w:color="auto" w:fill="FFFFFF"/>
        </w:rPr>
        <w:t>进程</w:t>
      </w:r>
      <w:proofErr w:type="gramEnd"/>
      <w:r w:rsidR="00EE68C5" w:rsidRPr="00C4200C">
        <w:rPr>
          <w:rStyle w:val="a7"/>
          <w:rFonts w:ascii="Simsun" w:hAnsi="Simsun" w:hint="eastAsia"/>
          <w:b w:val="0"/>
          <w:sz w:val="21"/>
          <w:szCs w:val="21"/>
          <w:shd w:val="clear" w:color="auto" w:fill="FFFFFF"/>
        </w:rPr>
        <w:t>中获得了跨越式发展</w:t>
      </w:r>
      <w:r w:rsidR="00065E1D" w:rsidRPr="00065E1D">
        <w:rPr>
          <w:rFonts w:hint="eastAsia"/>
          <w:sz w:val="20"/>
          <w:vertAlign w:val="superscript"/>
        </w:rPr>
        <w:t>【1】</w:t>
      </w:r>
      <w:r w:rsidRPr="00C4200C">
        <w:rPr>
          <w:rStyle w:val="a7"/>
          <w:rFonts w:ascii="Simsun" w:hAnsi="Simsun" w:hint="eastAsia"/>
          <w:b w:val="0"/>
          <w:sz w:val="21"/>
          <w:szCs w:val="21"/>
          <w:shd w:val="clear" w:color="auto" w:fill="FFFFFF"/>
        </w:rPr>
        <w:t>。</w:t>
      </w:r>
      <w:r w:rsidR="00EE68C5" w:rsidRPr="00C4200C">
        <w:rPr>
          <w:rFonts w:hint="eastAsia"/>
          <w:sz w:val="21"/>
          <w:szCs w:val="21"/>
        </w:rPr>
        <w:t>聚焦2000年以后的自主乘用车市场</w:t>
      </w:r>
      <w:r w:rsidR="00BA3D59" w:rsidRPr="00C4200C">
        <w:rPr>
          <w:rFonts w:hint="eastAsia"/>
          <w:sz w:val="21"/>
          <w:szCs w:val="21"/>
        </w:rPr>
        <w:t>，</w:t>
      </w:r>
      <w:r w:rsidR="0074734F" w:rsidRPr="00C4200C">
        <w:rPr>
          <w:rFonts w:hint="eastAsia"/>
          <w:sz w:val="21"/>
          <w:szCs w:val="21"/>
        </w:rPr>
        <w:t>大致经历了四</w:t>
      </w:r>
      <w:r w:rsidR="00215E0A" w:rsidRPr="00C4200C">
        <w:rPr>
          <w:rFonts w:hint="eastAsia"/>
          <w:sz w:val="21"/>
          <w:szCs w:val="21"/>
        </w:rPr>
        <w:t>个发展阶段</w:t>
      </w:r>
      <w:r w:rsidR="004E1E67">
        <w:rPr>
          <w:rFonts w:hint="eastAsia"/>
          <w:sz w:val="21"/>
          <w:szCs w:val="21"/>
        </w:rPr>
        <w:t>(图2)</w:t>
      </w:r>
      <w:r w:rsidR="00215E0A" w:rsidRPr="00C4200C">
        <w:rPr>
          <w:rFonts w:hint="eastAsia"/>
          <w:sz w:val="21"/>
          <w:szCs w:val="21"/>
        </w:rPr>
        <w:t>。</w:t>
      </w:r>
    </w:p>
    <w:p w:rsidR="006674CC" w:rsidRDefault="006674CC" w:rsidP="00047608">
      <w:pPr>
        <w:jc w:val="center"/>
        <w:rPr>
          <w:rFonts w:hint="eastAsia"/>
          <w:b/>
          <w:sz w:val="21"/>
          <w:szCs w:val="21"/>
        </w:rPr>
      </w:pPr>
    </w:p>
    <w:p w:rsidR="00047608" w:rsidRPr="00C016F1" w:rsidRDefault="00047608" w:rsidP="00047608">
      <w:pPr>
        <w:jc w:val="center"/>
        <w:rPr>
          <w:b/>
          <w:sz w:val="21"/>
          <w:szCs w:val="21"/>
        </w:rPr>
      </w:pPr>
      <w:r w:rsidRPr="00C016F1">
        <w:rPr>
          <w:rFonts w:hint="eastAsia"/>
          <w:b/>
          <w:sz w:val="21"/>
          <w:szCs w:val="21"/>
        </w:rPr>
        <w:t>图2自主品牌国产狭义乘用车销量及市场份额变化</w:t>
      </w:r>
    </w:p>
    <w:p w:rsidR="00035DED" w:rsidRDefault="00F21D02" w:rsidP="00C62CBF">
      <w:pPr>
        <w:rPr>
          <w:sz w:val="21"/>
          <w:szCs w:val="21"/>
        </w:rPr>
      </w:pPr>
      <w:r w:rsidRPr="008B7BF2">
        <w:rPr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2E5EDC6" wp14:editId="09DFA97D">
                <wp:simplePos x="0" y="0"/>
                <wp:positionH relativeFrom="column">
                  <wp:posOffset>3818890</wp:posOffset>
                </wp:positionH>
                <wp:positionV relativeFrom="paragraph">
                  <wp:posOffset>148590</wp:posOffset>
                </wp:positionV>
                <wp:extent cx="828675" cy="298450"/>
                <wp:effectExtent l="0" t="0" r="0" b="635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BF2" w:rsidRPr="008B7BF2" w:rsidRDefault="008B7BF2" w:rsidP="008B7BF2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8B7BF2">
                              <w:rPr>
                                <w:rFonts w:hint="eastAsia"/>
                                <w:b/>
                                <w:sz w:val="22"/>
                              </w:rPr>
                              <w:t>阶段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00.7pt;margin-top:11.7pt;width:65.25pt;height:23.5pt;z-index:25165721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" filled="f" stroked="f">
                <v:textbox style="mso-fit-shape-to-text:t">
                  <w:txbxContent>
                    <w:p w:rsidR="008B7BF2" w:rsidRPr="008B7BF2" w:rsidRDefault="008B7BF2" w:rsidP="008B7BF2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8B7BF2">
                        <w:rPr>
                          <w:rFonts w:hint="eastAsia"/>
                          <w:b/>
                          <w:sz w:val="22"/>
                        </w:rPr>
                        <w:t>阶段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8B7BF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CB165CA" wp14:editId="0C9AB63A">
                <wp:simplePos x="0" y="0"/>
                <wp:positionH relativeFrom="column">
                  <wp:posOffset>3162300</wp:posOffset>
                </wp:positionH>
                <wp:positionV relativeFrom="paragraph">
                  <wp:posOffset>148590</wp:posOffset>
                </wp:positionV>
                <wp:extent cx="666750" cy="298450"/>
                <wp:effectExtent l="0" t="0" r="0" b="6350"/>
                <wp:wrapNone/>
                <wp:docPr id="1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BF2" w:rsidRPr="008B7BF2" w:rsidRDefault="008B7BF2" w:rsidP="008B7BF2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8B7BF2">
                              <w:rPr>
                                <w:rFonts w:hint="eastAsia"/>
                                <w:b/>
                                <w:sz w:val="22"/>
                              </w:rPr>
                              <w:t>阶段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9pt;margin-top:11.7pt;width:52.5pt;height:23.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" stroked="f">
                <v:textbox style="mso-fit-shape-to-text:t">
                  <w:txbxContent>
                    <w:p w:rsidR="008B7BF2" w:rsidRPr="008B7BF2" w:rsidRDefault="008B7BF2" w:rsidP="008B7BF2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8B7BF2">
                        <w:rPr>
                          <w:rFonts w:hint="eastAsia"/>
                          <w:b/>
                          <w:sz w:val="22"/>
                        </w:rPr>
                        <w:t>阶段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Pr="008B7BF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D7942" wp14:editId="05319692">
                <wp:simplePos x="0" y="0"/>
                <wp:positionH relativeFrom="column">
                  <wp:posOffset>1932940</wp:posOffset>
                </wp:positionH>
                <wp:positionV relativeFrom="paragraph">
                  <wp:posOffset>148590</wp:posOffset>
                </wp:positionV>
                <wp:extent cx="828675" cy="298450"/>
                <wp:effectExtent l="0" t="0" r="9525" b="6350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BF2" w:rsidRPr="008B7BF2" w:rsidRDefault="008B7BF2" w:rsidP="008B7BF2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8B7BF2">
                              <w:rPr>
                                <w:rFonts w:hint="eastAsia"/>
                                <w:b/>
                                <w:sz w:val="22"/>
                              </w:rPr>
                              <w:t>阶段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52.2pt;margin-top:11.7pt;width:65.25pt;height:23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" stroked="f">
                <v:textbox style="mso-fit-shape-to-text:t">
                  <w:txbxContent>
                    <w:p w:rsidR="008B7BF2" w:rsidRPr="008B7BF2" w:rsidRDefault="008B7BF2" w:rsidP="008B7BF2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8B7BF2">
                        <w:rPr>
                          <w:rFonts w:hint="eastAsia"/>
                          <w:b/>
                          <w:sz w:val="22"/>
                        </w:rPr>
                        <w:t>阶段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8B7BF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A1E5A" wp14:editId="341B4F31">
                <wp:simplePos x="0" y="0"/>
                <wp:positionH relativeFrom="column">
                  <wp:posOffset>332740</wp:posOffset>
                </wp:positionH>
                <wp:positionV relativeFrom="paragraph">
                  <wp:posOffset>148590</wp:posOffset>
                </wp:positionV>
                <wp:extent cx="828675" cy="298450"/>
                <wp:effectExtent l="0" t="0" r="9525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BF2" w:rsidRPr="008B7BF2" w:rsidRDefault="008B7BF2" w:rsidP="008B7BF2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8B7BF2">
                              <w:rPr>
                                <w:rFonts w:hint="eastAsia"/>
                                <w:b/>
                                <w:sz w:val="22"/>
                              </w:rPr>
                              <w:t>阶段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6.2pt;margin-top:11.7pt;width:65.25pt;height:23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" stroked="f">
                <v:textbox style="mso-fit-shape-to-text:t">
                  <w:txbxContent>
                    <w:p w:rsidR="008B7BF2" w:rsidRPr="008B7BF2" w:rsidRDefault="008B7BF2" w:rsidP="008B7BF2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8B7BF2">
                        <w:rPr>
                          <w:rFonts w:hint="eastAsia"/>
                          <w:b/>
                          <w:sz w:val="22"/>
                        </w:rPr>
                        <w:t>阶段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9E53E" wp14:editId="749C3836">
                <wp:simplePos x="0" y="0"/>
                <wp:positionH relativeFrom="column">
                  <wp:posOffset>3810000</wp:posOffset>
                </wp:positionH>
                <wp:positionV relativeFrom="paragraph">
                  <wp:posOffset>177165</wp:posOffset>
                </wp:positionV>
                <wp:extent cx="9525" cy="1781175"/>
                <wp:effectExtent l="19050" t="19050" r="28575" b="9525"/>
                <wp:wrapNone/>
                <wp:docPr id="1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811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pt,13.95pt" to="300.75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" strokecolor="#c00000" strokeweight="2.5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574C4" wp14:editId="3FFD5480">
                <wp:simplePos x="0" y="0"/>
                <wp:positionH relativeFrom="column">
                  <wp:posOffset>3124200</wp:posOffset>
                </wp:positionH>
                <wp:positionV relativeFrom="paragraph">
                  <wp:posOffset>177165</wp:posOffset>
                </wp:positionV>
                <wp:extent cx="9525" cy="1781175"/>
                <wp:effectExtent l="19050" t="19050" r="28575" b="9525"/>
                <wp:wrapNone/>
                <wp:docPr id="1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811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pt,13.95pt" to="246.75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" strokecolor="#c00000" strokeweight="2.5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F8F68" wp14:editId="284D91FA">
                <wp:simplePos x="0" y="0"/>
                <wp:positionH relativeFrom="column">
                  <wp:posOffset>1476375</wp:posOffset>
                </wp:positionH>
                <wp:positionV relativeFrom="paragraph">
                  <wp:posOffset>177165</wp:posOffset>
                </wp:positionV>
                <wp:extent cx="9525" cy="1781175"/>
                <wp:effectExtent l="19050" t="19050" r="28575" b="9525"/>
                <wp:wrapNone/>
                <wp:docPr id="1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8117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6.25pt,13.95pt" to="117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" strokecolor="#c00000" strokeweight="2.5pt">
                <v:stroke dashstyle="3 1"/>
              </v:line>
            </w:pict>
          </mc:Fallback>
        </mc:AlternateContent>
      </w:r>
      <w:r w:rsidR="00035DED" w:rsidRPr="00C4200C">
        <w:rPr>
          <w:noProof/>
        </w:rPr>
        <w:drawing>
          <wp:inline distT="0" distB="0" distL="0" distR="0" wp14:anchorId="36504A55" wp14:editId="414079FE">
            <wp:extent cx="5276850" cy="2057400"/>
            <wp:effectExtent l="0" t="0" r="19050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5E0A" w:rsidRPr="00C4200C" w:rsidRDefault="00F60429" w:rsidP="00C97CF0">
      <w:pPr>
        <w:ind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第一阶段是</w:t>
      </w:r>
      <w:r w:rsidR="00EE68C5" w:rsidRPr="00C4200C">
        <w:rPr>
          <w:rFonts w:hint="eastAsia"/>
          <w:sz w:val="21"/>
          <w:szCs w:val="21"/>
        </w:rPr>
        <w:t>2000</w:t>
      </w:r>
      <w:r w:rsidRPr="00C4200C">
        <w:rPr>
          <w:rFonts w:hint="eastAsia"/>
          <w:sz w:val="21"/>
          <w:szCs w:val="21"/>
        </w:rPr>
        <w:t>-2003年</w:t>
      </w:r>
      <w:r w:rsidR="002E6911" w:rsidRPr="00C4200C">
        <w:rPr>
          <w:rFonts w:hint="eastAsia"/>
          <w:sz w:val="21"/>
          <w:szCs w:val="21"/>
        </w:rPr>
        <w:t>，</w:t>
      </w:r>
      <w:r w:rsidRPr="00C4200C">
        <w:rPr>
          <w:rFonts w:hint="eastAsia"/>
          <w:sz w:val="21"/>
          <w:szCs w:val="21"/>
        </w:rPr>
        <w:t>为快速发展阶段，</w:t>
      </w:r>
      <w:r w:rsidR="0074734F" w:rsidRPr="00C4200C">
        <w:rPr>
          <w:rFonts w:hint="eastAsia"/>
          <w:sz w:val="21"/>
          <w:szCs w:val="21"/>
        </w:rPr>
        <w:t>自主通过切入低价市场解决供需矛盾获得发展</w:t>
      </w:r>
      <w:r w:rsidR="00C97CF0" w:rsidRPr="00C4200C">
        <w:rPr>
          <w:rFonts w:hint="eastAsia"/>
          <w:sz w:val="21"/>
          <w:szCs w:val="21"/>
        </w:rPr>
        <w:t>。</w:t>
      </w:r>
      <w:r w:rsidR="00095B0B" w:rsidRPr="00C4200C">
        <w:rPr>
          <w:rFonts w:hint="eastAsia"/>
          <w:sz w:val="21"/>
          <w:szCs w:val="21"/>
        </w:rPr>
        <w:t>这个阶段市场上产品少、价格高</w:t>
      </w:r>
      <w:r w:rsidR="00C97CF0" w:rsidRPr="00C4200C">
        <w:rPr>
          <w:rFonts w:hint="eastAsia"/>
          <w:sz w:val="21"/>
          <w:szCs w:val="21"/>
        </w:rPr>
        <w:t>，</w:t>
      </w:r>
      <w:r w:rsidR="00095B0B" w:rsidRPr="00C4200C">
        <w:rPr>
          <w:rFonts w:hint="eastAsia"/>
          <w:sz w:val="21"/>
          <w:szCs w:val="21"/>
        </w:rPr>
        <w:t>具有购车能力的</w:t>
      </w:r>
      <w:r w:rsidR="00C97CF0" w:rsidRPr="00C4200C">
        <w:rPr>
          <w:rFonts w:hint="eastAsia"/>
          <w:sz w:val="21"/>
          <w:szCs w:val="21"/>
        </w:rPr>
        <w:t>消费者屈指可数，在这种情况下，自主品牌</w:t>
      </w:r>
      <w:r w:rsidR="00B01DDB" w:rsidRPr="00C4200C">
        <w:rPr>
          <w:rFonts w:hint="eastAsia"/>
          <w:sz w:val="21"/>
          <w:szCs w:val="21"/>
        </w:rPr>
        <w:t>切入低价市场</w:t>
      </w:r>
      <w:r w:rsidR="00C97CF0" w:rsidRPr="00C4200C">
        <w:rPr>
          <w:rFonts w:hint="eastAsia"/>
          <w:sz w:val="21"/>
          <w:szCs w:val="21"/>
        </w:rPr>
        <w:t>，</w:t>
      </w:r>
      <w:r w:rsidR="00095B0B" w:rsidRPr="00C4200C">
        <w:rPr>
          <w:rFonts w:hint="eastAsia"/>
          <w:sz w:val="21"/>
          <w:szCs w:val="21"/>
        </w:rPr>
        <w:t>聚焦于打造“</w:t>
      </w:r>
      <w:r w:rsidR="002C3470" w:rsidRPr="00C4200C">
        <w:rPr>
          <w:rFonts w:hint="eastAsia"/>
          <w:sz w:val="21"/>
          <w:szCs w:val="21"/>
        </w:rPr>
        <w:t>国人</w:t>
      </w:r>
      <w:r w:rsidR="00095B0B" w:rsidRPr="00C4200C">
        <w:rPr>
          <w:rFonts w:hint="eastAsia"/>
          <w:sz w:val="21"/>
          <w:szCs w:val="21"/>
        </w:rPr>
        <w:t>买的起的</w:t>
      </w:r>
      <w:r w:rsidR="002C3470" w:rsidRPr="00C4200C">
        <w:rPr>
          <w:rFonts w:ascii="Simsun" w:hAnsi="Simsun"/>
          <w:color w:val="333333"/>
          <w:sz w:val="21"/>
          <w:szCs w:val="21"/>
          <w:shd w:val="clear" w:color="auto" w:fill="F5F8FD"/>
        </w:rPr>
        <w:t>具有世界品质的轿车</w:t>
      </w:r>
      <w:r w:rsidR="00095B0B" w:rsidRPr="00C4200C">
        <w:rPr>
          <w:rFonts w:hint="eastAsia"/>
          <w:sz w:val="21"/>
          <w:szCs w:val="21"/>
        </w:rPr>
        <w:t>”，由于在价格上与合资产品拉开差距</w:t>
      </w:r>
      <w:r w:rsidR="005240E3" w:rsidRPr="00C4200C">
        <w:rPr>
          <w:rFonts w:hint="eastAsia"/>
          <w:sz w:val="21"/>
          <w:szCs w:val="21"/>
        </w:rPr>
        <w:t>，</w:t>
      </w:r>
      <w:r w:rsidR="00414558" w:rsidRPr="00C4200C">
        <w:rPr>
          <w:rFonts w:hint="eastAsia"/>
          <w:sz w:val="21"/>
          <w:szCs w:val="21"/>
        </w:rPr>
        <w:t>市场</w:t>
      </w:r>
      <w:r w:rsidR="00B9351B" w:rsidRPr="00C4200C">
        <w:rPr>
          <w:rFonts w:hint="eastAsia"/>
          <w:sz w:val="21"/>
          <w:szCs w:val="21"/>
        </w:rPr>
        <w:t>销量、份额</w:t>
      </w:r>
      <w:r w:rsidR="00414558" w:rsidRPr="00C4200C">
        <w:rPr>
          <w:rFonts w:hint="eastAsia"/>
          <w:sz w:val="21"/>
          <w:szCs w:val="21"/>
        </w:rPr>
        <w:t>迅速</w:t>
      </w:r>
      <w:r w:rsidR="00B9351B" w:rsidRPr="00C4200C">
        <w:rPr>
          <w:rFonts w:hint="eastAsia"/>
          <w:sz w:val="21"/>
          <w:szCs w:val="21"/>
        </w:rPr>
        <w:t>增加，</w:t>
      </w:r>
      <w:r w:rsidR="001639AA" w:rsidRPr="00C4200C">
        <w:rPr>
          <w:rFonts w:hint="eastAsia"/>
          <w:sz w:val="21"/>
          <w:szCs w:val="21"/>
        </w:rPr>
        <w:t>并</w:t>
      </w:r>
      <w:r w:rsidR="00095B0B" w:rsidRPr="00C4200C">
        <w:rPr>
          <w:rFonts w:hint="eastAsia"/>
          <w:sz w:val="21"/>
          <w:szCs w:val="21"/>
        </w:rPr>
        <w:t>诞生了一批</w:t>
      </w:r>
      <w:r w:rsidR="002C3470" w:rsidRPr="00C4200C">
        <w:rPr>
          <w:rFonts w:hint="eastAsia"/>
          <w:sz w:val="21"/>
          <w:szCs w:val="21"/>
        </w:rPr>
        <w:t>耳熟能详的</w:t>
      </w:r>
      <w:r w:rsidR="00095B0B" w:rsidRPr="00C4200C">
        <w:rPr>
          <w:rFonts w:hint="eastAsia"/>
          <w:sz w:val="21"/>
          <w:szCs w:val="21"/>
        </w:rPr>
        <w:t>明星</w:t>
      </w:r>
      <w:r w:rsidR="002C3470" w:rsidRPr="00C4200C">
        <w:rPr>
          <w:rFonts w:hint="eastAsia"/>
          <w:sz w:val="21"/>
          <w:szCs w:val="21"/>
        </w:rPr>
        <w:t>产品如夏利、QQ、风云</w:t>
      </w:r>
      <w:r w:rsidR="00B9351B" w:rsidRPr="00C4200C">
        <w:rPr>
          <w:rFonts w:hint="eastAsia"/>
          <w:sz w:val="21"/>
          <w:szCs w:val="21"/>
        </w:rPr>
        <w:t>、福美来等</w:t>
      </w:r>
      <w:r w:rsidR="009F7F4F" w:rsidRPr="00C4200C">
        <w:rPr>
          <w:rFonts w:hint="eastAsia"/>
          <w:sz w:val="21"/>
          <w:szCs w:val="21"/>
        </w:rPr>
        <w:t>。</w:t>
      </w:r>
    </w:p>
    <w:p w:rsidR="00215E0A" w:rsidRPr="00C4200C" w:rsidRDefault="0074734F" w:rsidP="00AF20C1">
      <w:pPr>
        <w:ind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第二个阶段是2004-2008</w:t>
      </w:r>
      <w:r w:rsidR="00414558" w:rsidRPr="00C4200C">
        <w:rPr>
          <w:rFonts w:hint="eastAsia"/>
          <w:sz w:val="21"/>
          <w:szCs w:val="21"/>
        </w:rPr>
        <w:t>年，</w:t>
      </w:r>
      <w:r w:rsidR="006641D9">
        <w:rPr>
          <w:rFonts w:hint="eastAsia"/>
          <w:sz w:val="21"/>
          <w:szCs w:val="21"/>
        </w:rPr>
        <w:t>销量仍保持快速增长，但市场份额维持相对平稳</w:t>
      </w:r>
      <w:r w:rsidR="001639AA" w:rsidRPr="00C4200C">
        <w:rPr>
          <w:rFonts w:hint="eastAsia"/>
          <w:sz w:val="21"/>
          <w:szCs w:val="21"/>
        </w:rPr>
        <w:t>态势。该阶段越来越多的自主、合资企业参与市场竞争，不断完善市场布局</w:t>
      </w:r>
      <w:r w:rsidR="00414558" w:rsidRPr="00C4200C">
        <w:rPr>
          <w:rFonts w:hint="eastAsia"/>
          <w:sz w:val="21"/>
          <w:szCs w:val="21"/>
        </w:rPr>
        <w:t>，</w:t>
      </w:r>
      <w:r w:rsidR="001639AA" w:rsidRPr="00C4200C">
        <w:rPr>
          <w:rFonts w:hint="eastAsia"/>
          <w:sz w:val="21"/>
          <w:szCs w:val="21"/>
        </w:rPr>
        <w:t>均获得了良好的发展</w:t>
      </w:r>
      <w:r w:rsidR="002C3470" w:rsidRPr="00C4200C">
        <w:rPr>
          <w:rFonts w:hint="eastAsia"/>
          <w:sz w:val="21"/>
          <w:szCs w:val="21"/>
        </w:rPr>
        <w:t>。</w:t>
      </w:r>
    </w:p>
    <w:p w:rsidR="0044265E" w:rsidRPr="00C4200C" w:rsidRDefault="0074734F" w:rsidP="00C97CF0">
      <w:pPr>
        <w:ind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第三个阶段为2009-2010年，为高速</w:t>
      </w:r>
      <w:r w:rsidR="001639AA" w:rsidRPr="00C4200C">
        <w:rPr>
          <w:rFonts w:hint="eastAsia"/>
          <w:sz w:val="21"/>
          <w:szCs w:val="21"/>
        </w:rPr>
        <w:t>增长</w:t>
      </w:r>
      <w:r w:rsidRPr="00C4200C">
        <w:rPr>
          <w:rFonts w:hint="eastAsia"/>
          <w:sz w:val="21"/>
          <w:szCs w:val="21"/>
        </w:rPr>
        <w:t>阶段，</w:t>
      </w:r>
      <w:r w:rsidR="007B3F64" w:rsidRPr="00C4200C">
        <w:rPr>
          <w:rFonts w:hint="eastAsia"/>
          <w:sz w:val="21"/>
          <w:szCs w:val="21"/>
        </w:rPr>
        <w:t>产业起飞期叠加</w:t>
      </w:r>
      <w:r w:rsidR="00BA3D59" w:rsidRPr="00C4200C">
        <w:rPr>
          <w:rFonts w:hint="eastAsia"/>
          <w:sz w:val="21"/>
          <w:szCs w:val="21"/>
        </w:rPr>
        <w:t>振兴政策落</w:t>
      </w:r>
      <w:r w:rsidR="007B3F64" w:rsidRPr="00C4200C">
        <w:rPr>
          <w:rFonts w:hint="eastAsia"/>
          <w:sz w:val="21"/>
          <w:szCs w:val="21"/>
        </w:rPr>
        <w:t>地，</w:t>
      </w:r>
      <w:r w:rsidR="001D445B" w:rsidRPr="00C4200C">
        <w:rPr>
          <w:rFonts w:hint="eastAsia"/>
          <w:sz w:val="21"/>
          <w:szCs w:val="21"/>
        </w:rPr>
        <w:t>带来</w:t>
      </w:r>
      <w:r w:rsidR="001639AA" w:rsidRPr="00C4200C">
        <w:rPr>
          <w:rFonts w:hint="eastAsia"/>
          <w:sz w:val="21"/>
          <w:szCs w:val="21"/>
        </w:rPr>
        <w:t>自主乘用车</w:t>
      </w:r>
      <w:r w:rsidR="00F60429" w:rsidRPr="00C4200C">
        <w:rPr>
          <w:rFonts w:hint="eastAsia"/>
          <w:sz w:val="21"/>
          <w:szCs w:val="21"/>
        </w:rPr>
        <w:t>销量、份额</w:t>
      </w:r>
      <w:r w:rsidR="007B3F64" w:rsidRPr="00C4200C">
        <w:rPr>
          <w:rFonts w:hint="eastAsia"/>
          <w:sz w:val="21"/>
          <w:szCs w:val="21"/>
        </w:rPr>
        <w:t>的</w:t>
      </w:r>
      <w:r w:rsidR="00F60429" w:rsidRPr="00C4200C">
        <w:rPr>
          <w:rFonts w:hint="eastAsia"/>
          <w:sz w:val="21"/>
          <w:szCs w:val="21"/>
        </w:rPr>
        <w:t>井喷</w:t>
      </w:r>
      <w:r w:rsidR="005240E3" w:rsidRPr="00C4200C">
        <w:rPr>
          <w:rFonts w:hint="eastAsia"/>
          <w:sz w:val="21"/>
          <w:szCs w:val="21"/>
        </w:rPr>
        <w:t>式增长</w:t>
      </w:r>
      <w:r w:rsidR="00F60429" w:rsidRPr="00C4200C">
        <w:rPr>
          <w:rFonts w:hint="eastAsia"/>
          <w:sz w:val="21"/>
          <w:szCs w:val="21"/>
        </w:rPr>
        <w:t>，</w:t>
      </w:r>
      <w:r w:rsidR="001639AA" w:rsidRPr="00C4200C">
        <w:rPr>
          <w:rFonts w:hint="eastAsia"/>
          <w:sz w:val="21"/>
          <w:szCs w:val="21"/>
        </w:rPr>
        <w:t>销量从2008年的133万辆跃升至2010年的352万辆，</w:t>
      </w:r>
      <w:r w:rsidR="008118EB" w:rsidRPr="00C4200C">
        <w:rPr>
          <w:rFonts w:hint="eastAsia"/>
          <w:sz w:val="21"/>
          <w:szCs w:val="21"/>
        </w:rPr>
        <w:t>份额一度</w:t>
      </w:r>
      <w:r w:rsidR="00B9351B" w:rsidRPr="00C4200C">
        <w:rPr>
          <w:rFonts w:hint="eastAsia"/>
          <w:sz w:val="21"/>
          <w:szCs w:val="21"/>
        </w:rPr>
        <w:t>高达31.7</w:t>
      </w:r>
      <w:r w:rsidR="008118EB" w:rsidRPr="00C4200C">
        <w:rPr>
          <w:rFonts w:hint="eastAsia"/>
          <w:sz w:val="21"/>
          <w:szCs w:val="21"/>
        </w:rPr>
        <w:t>%。</w:t>
      </w:r>
    </w:p>
    <w:p w:rsidR="00BA3D59" w:rsidRPr="00C4200C" w:rsidRDefault="001D445B" w:rsidP="00C97CF0">
      <w:pPr>
        <w:ind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第四个阶段是2011</w:t>
      </w:r>
      <w:r w:rsidR="00AF20C1" w:rsidRPr="00C4200C">
        <w:rPr>
          <w:rFonts w:hint="eastAsia"/>
          <w:sz w:val="21"/>
          <w:szCs w:val="21"/>
        </w:rPr>
        <w:t>至</w:t>
      </w:r>
      <w:r w:rsidRPr="00C4200C">
        <w:rPr>
          <w:rFonts w:hint="eastAsia"/>
          <w:sz w:val="21"/>
          <w:szCs w:val="21"/>
        </w:rPr>
        <w:t>今，为深度调整阶段，多数自主品牌经历了急速扩张后销量、增速的大幅下滑，</w:t>
      </w:r>
      <w:r w:rsidR="00DB6E54" w:rsidRPr="00C4200C">
        <w:rPr>
          <w:rFonts w:hint="eastAsia"/>
          <w:sz w:val="21"/>
          <w:szCs w:val="21"/>
        </w:rPr>
        <w:t>造成这种局面的原因来自多方，而外围环境变化、集体</w:t>
      </w:r>
      <w:r w:rsidRPr="00C4200C">
        <w:rPr>
          <w:rFonts w:hint="eastAsia"/>
          <w:sz w:val="21"/>
          <w:szCs w:val="21"/>
        </w:rPr>
        <w:t>战略失误导致的</w:t>
      </w:r>
      <w:r w:rsidR="00DB6E54" w:rsidRPr="00C4200C">
        <w:rPr>
          <w:rFonts w:hint="eastAsia"/>
          <w:sz w:val="21"/>
          <w:szCs w:val="21"/>
        </w:rPr>
        <w:t>产品</w:t>
      </w:r>
      <w:r w:rsidRPr="00C4200C">
        <w:rPr>
          <w:rFonts w:hint="eastAsia"/>
          <w:sz w:val="21"/>
          <w:szCs w:val="21"/>
        </w:rPr>
        <w:t>竞争力</w:t>
      </w:r>
      <w:r w:rsidR="00DB6E54" w:rsidRPr="00C4200C">
        <w:rPr>
          <w:rFonts w:hint="eastAsia"/>
          <w:sz w:val="21"/>
          <w:szCs w:val="21"/>
        </w:rPr>
        <w:t>不足是主因。</w:t>
      </w:r>
    </w:p>
    <w:p w:rsidR="00DB6E54" w:rsidRPr="00C4200C" w:rsidRDefault="00277153" w:rsidP="002E6911">
      <w:pPr>
        <w:ind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首先</w:t>
      </w:r>
      <w:r w:rsidR="00DB6E54" w:rsidRPr="00C4200C">
        <w:rPr>
          <w:rFonts w:hint="eastAsia"/>
          <w:sz w:val="21"/>
          <w:szCs w:val="21"/>
        </w:rPr>
        <w:t>，外围环境发生了重大变化。</w:t>
      </w:r>
    </w:p>
    <w:p w:rsidR="00EE0332" w:rsidRPr="00C4200C" w:rsidRDefault="00927A40" w:rsidP="00580CA0">
      <w:pPr>
        <w:pStyle w:val="a4"/>
        <w:ind w:firstLineChars="202" w:firstLine="424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1)</w:t>
      </w:r>
      <w:r w:rsidR="00DB6E54" w:rsidRPr="00C4200C">
        <w:rPr>
          <w:rFonts w:hint="eastAsia"/>
          <w:sz w:val="21"/>
          <w:szCs w:val="21"/>
        </w:rPr>
        <w:t>产业政策</w:t>
      </w:r>
      <w:r w:rsidR="00D30297" w:rsidRPr="00C4200C">
        <w:rPr>
          <w:rFonts w:hint="eastAsia"/>
          <w:sz w:val="21"/>
          <w:szCs w:val="21"/>
        </w:rPr>
        <w:t>调整</w:t>
      </w:r>
      <w:r w:rsidRPr="00C4200C">
        <w:rPr>
          <w:rFonts w:hint="eastAsia"/>
          <w:sz w:val="21"/>
          <w:szCs w:val="21"/>
        </w:rPr>
        <w:t>，自主品牌利好出尽</w:t>
      </w:r>
      <w:r w:rsidR="0095429B" w:rsidRPr="00C4200C">
        <w:rPr>
          <w:rFonts w:hint="eastAsia"/>
          <w:sz w:val="21"/>
          <w:szCs w:val="21"/>
        </w:rPr>
        <w:t>：</w:t>
      </w:r>
      <w:r w:rsidR="00DB6E54" w:rsidRPr="00C4200C">
        <w:rPr>
          <w:rFonts w:hint="eastAsia"/>
          <w:sz w:val="21"/>
          <w:szCs w:val="21"/>
        </w:rPr>
        <w:t>2010年以来</w:t>
      </w:r>
      <w:r w:rsidR="009B5284" w:rsidRPr="00C4200C">
        <w:rPr>
          <w:rFonts w:hint="eastAsia"/>
          <w:sz w:val="21"/>
          <w:szCs w:val="21"/>
        </w:rPr>
        <w:t>迎来</w:t>
      </w:r>
      <w:r w:rsidR="0095429B" w:rsidRPr="00C4200C">
        <w:rPr>
          <w:rFonts w:hint="eastAsia"/>
          <w:sz w:val="21"/>
          <w:szCs w:val="21"/>
        </w:rPr>
        <w:t>汽车产业</w:t>
      </w:r>
      <w:r w:rsidR="009B5284" w:rsidRPr="00C4200C">
        <w:rPr>
          <w:rFonts w:hint="eastAsia"/>
          <w:sz w:val="21"/>
          <w:szCs w:val="21"/>
        </w:rPr>
        <w:t>振兴</w:t>
      </w:r>
      <w:r w:rsidR="0095429B" w:rsidRPr="00C4200C">
        <w:rPr>
          <w:rFonts w:hint="eastAsia"/>
          <w:sz w:val="21"/>
          <w:szCs w:val="21"/>
        </w:rPr>
        <w:t>的后</w:t>
      </w:r>
      <w:r w:rsidR="009B5284" w:rsidRPr="00C4200C">
        <w:rPr>
          <w:rFonts w:hint="eastAsia"/>
          <w:sz w:val="21"/>
          <w:szCs w:val="21"/>
        </w:rPr>
        <w:t>时代</w:t>
      </w:r>
      <w:r w:rsidR="00EE0332" w:rsidRPr="00C4200C">
        <w:rPr>
          <w:rFonts w:hint="eastAsia"/>
          <w:sz w:val="21"/>
          <w:szCs w:val="21"/>
        </w:rPr>
        <w:t>，</w:t>
      </w:r>
      <w:r w:rsidR="00DB6E54" w:rsidRPr="00C4200C">
        <w:rPr>
          <w:rFonts w:hint="eastAsia"/>
          <w:sz w:val="21"/>
          <w:szCs w:val="21"/>
        </w:rPr>
        <w:t>利好自主品牌的</w:t>
      </w:r>
      <w:r w:rsidR="00EE0332" w:rsidRPr="00C4200C">
        <w:rPr>
          <w:rFonts w:hint="eastAsia"/>
          <w:sz w:val="21"/>
          <w:szCs w:val="21"/>
        </w:rPr>
        <w:t>免购置税、节能惠民补贴、汽车下乡等政策相继退出，</w:t>
      </w:r>
      <w:r w:rsidR="009B5284" w:rsidRPr="00C4200C">
        <w:rPr>
          <w:rFonts w:hint="eastAsia"/>
          <w:sz w:val="21"/>
          <w:szCs w:val="21"/>
        </w:rPr>
        <w:t>自主</w:t>
      </w:r>
      <w:r w:rsidRPr="00C4200C">
        <w:rPr>
          <w:rFonts w:hint="eastAsia"/>
          <w:sz w:val="21"/>
          <w:szCs w:val="21"/>
        </w:rPr>
        <w:t>市场</w:t>
      </w:r>
      <w:r w:rsidR="00762BB0" w:rsidRPr="00C4200C">
        <w:rPr>
          <w:rFonts w:hint="eastAsia"/>
          <w:sz w:val="21"/>
          <w:szCs w:val="21"/>
        </w:rPr>
        <w:t>不再具备优越的政策环境，叠加政策进入时的销量透支，对</w:t>
      </w:r>
      <w:r w:rsidR="0095429B" w:rsidRPr="00C4200C">
        <w:rPr>
          <w:rFonts w:hint="eastAsia"/>
          <w:sz w:val="21"/>
          <w:szCs w:val="21"/>
        </w:rPr>
        <w:t>自主</w:t>
      </w:r>
      <w:r w:rsidRPr="00C4200C">
        <w:rPr>
          <w:rFonts w:hint="eastAsia"/>
          <w:sz w:val="21"/>
          <w:szCs w:val="21"/>
        </w:rPr>
        <w:t>品牌</w:t>
      </w:r>
      <w:r w:rsidR="00EE0332" w:rsidRPr="00C4200C">
        <w:rPr>
          <w:rFonts w:hint="eastAsia"/>
          <w:sz w:val="21"/>
          <w:szCs w:val="21"/>
        </w:rPr>
        <w:t>形成巨大打击。</w:t>
      </w:r>
    </w:p>
    <w:p w:rsidR="009166E4" w:rsidRDefault="00927A40" w:rsidP="00580CA0">
      <w:pPr>
        <w:pStyle w:val="a4"/>
        <w:ind w:firstLineChars="202" w:firstLine="424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2)</w:t>
      </w:r>
      <w:r w:rsidR="002A35AA" w:rsidRPr="00C4200C">
        <w:rPr>
          <w:rFonts w:hint="eastAsia"/>
          <w:sz w:val="21"/>
          <w:szCs w:val="21"/>
        </w:rPr>
        <w:t>购买力</w:t>
      </w:r>
      <w:r w:rsidR="00D30297" w:rsidRPr="00C4200C">
        <w:rPr>
          <w:rFonts w:hint="eastAsia"/>
          <w:sz w:val="21"/>
          <w:szCs w:val="21"/>
        </w:rPr>
        <w:t>提高</w:t>
      </w:r>
      <w:r w:rsidRPr="00C4200C">
        <w:rPr>
          <w:rFonts w:hint="eastAsia"/>
          <w:sz w:val="21"/>
          <w:szCs w:val="21"/>
        </w:rPr>
        <w:t>促使自主品牌偏好度不断下降</w:t>
      </w:r>
      <w:r w:rsidR="0095429B" w:rsidRPr="00C4200C">
        <w:rPr>
          <w:rFonts w:hint="eastAsia"/>
          <w:sz w:val="21"/>
          <w:szCs w:val="21"/>
        </w:rPr>
        <w:t>：伴随</w:t>
      </w:r>
      <w:r w:rsidR="00015859" w:rsidRPr="00C4200C">
        <w:rPr>
          <w:rFonts w:hint="eastAsia"/>
          <w:sz w:val="21"/>
          <w:szCs w:val="21"/>
        </w:rPr>
        <w:t>国内</w:t>
      </w:r>
      <w:r w:rsidR="00723422" w:rsidRPr="00C4200C">
        <w:rPr>
          <w:rFonts w:hint="eastAsia"/>
          <w:sz w:val="21"/>
          <w:szCs w:val="21"/>
        </w:rPr>
        <w:t>经济</w:t>
      </w:r>
      <w:r w:rsidR="00E86527" w:rsidRPr="00C4200C">
        <w:rPr>
          <w:rFonts w:hint="eastAsia"/>
          <w:sz w:val="21"/>
          <w:szCs w:val="21"/>
        </w:rPr>
        <w:t>的快速发展</w:t>
      </w:r>
      <w:r w:rsidR="00015859" w:rsidRPr="00C4200C">
        <w:rPr>
          <w:rFonts w:hint="eastAsia"/>
          <w:sz w:val="21"/>
          <w:szCs w:val="21"/>
        </w:rPr>
        <w:t>，</w:t>
      </w:r>
      <w:r w:rsidR="00E86527" w:rsidRPr="00C4200C">
        <w:rPr>
          <w:rFonts w:hint="eastAsia"/>
          <w:sz w:val="21"/>
          <w:szCs w:val="21"/>
        </w:rPr>
        <w:t>人民</w:t>
      </w:r>
      <w:r w:rsidR="0095429B" w:rsidRPr="00C4200C">
        <w:rPr>
          <w:rFonts w:hint="eastAsia"/>
          <w:sz w:val="21"/>
          <w:szCs w:val="21"/>
        </w:rPr>
        <w:t>收入水平</w:t>
      </w:r>
      <w:r w:rsidR="00DD1819" w:rsidRPr="00C4200C">
        <w:rPr>
          <w:rFonts w:hint="eastAsia"/>
          <w:sz w:val="21"/>
          <w:szCs w:val="21"/>
        </w:rPr>
        <w:t>和</w:t>
      </w:r>
      <w:r w:rsidR="0095429B" w:rsidRPr="00C4200C">
        <w:rPr>
          <w:rFonts w:hint="eastAsia"/>
          <w:sz w:val="21"/>
          <w:szCs w:val="21"/>
        </w:rPr>
        <w:t>消费</w:t>
      </w:r>
      <w:r w:rsidR="00E86527" w:rsidRPr="00C4200C">
        <w:rPr>
          <w:rFonts w:hint="eastAsia"/>
          <w:sz w:val="21"/>
          <w:szCs w:val="21"/>
        </w:rPr>
        <w:t>能力显著</w:t>
      </w:r>
      <w:r w:rsidR="0095429B" w:rsidRPr="00C4200C">
        <w:rPr>
          <w:rFonts w:hint="eastAsia"/>
          <w:sz w:val="21"/>
          <w:szCs w:val="21"/>
        </w:rPr>
        <w:t>提升，</w:t>
      </w:r>
      <w:r w:rsidRPr="00C4200C">
        <w:rPr>
          <w:rFonts w:hint="eastAsia"/>
          <w:sz w:val="21"/>
          <w:szCs w:val="21"/>
        </w:rPr>
        <w:t>对于重视面子消费的中国消费者来说，相对高档的合资产品持续受到追捧</w:t>
      </w:r>
      <w:r w:rsidR="004E1E67">
        <w:rPr>
          <w:rFonts w:hint="eastAsia"/>
          <w:sz w:val="21"/>
          <w:szCs w:val="21"/>
        </w:rPr>
        <w:t>，而自主品牌的偏好度不断下降(图3)</w:t>
      </w:r>
      <w:r w:rsidRPr="00C4200C">
        <w:rPr>
          <w:rFonts w:hint="eastAsia"/>
          <w:sz w:val="21"/>
          <w:szCs w:val="21"/>
        </w:rPr>
        <w:t>。</w:t>
      </w:r>
      <w:r w:rsidR="00E04581" w:rsidRPr="00C4200C">
        <w:rPr>
          <w:rFonts w:hint="eastAsia"/>
          <w:sz w:val="21"/>
          <w:szCs w:val="21"/>
        </w:rPr>
        <w:t>此外</w:t>
      </w:r>
      <w:r w:rsidRPr="00C4200C">
        <w:rPr>
          <w:rFonts w:hint="eastAsia"/>
          <w:sz w:val="21"/>
          <w:szCs w:val="21"/>
        </w:rPr>
        <w:t>，</w:t>
      </w:r>
      <w:r w:rsidR="00DD1819" w:rsidRPr="00C4200C">
        <w:rPr>
          <w:rFonts w:hint="eastAsia"/>
          <w:sz w:val="21"/>
          <w:szCs w:val="21"/>
        </w:rPr>
        <w:t>汽</w:t>
      </w:r>
      <w:r w:rsidR="00D30297" w:rsidRPr="00C4200C">
        <w:rPr>
          <w:rFonts w:hint="eastAsia"/>
          <w:sz w:val="21"/>
          <w:szCs w:val="21"/>
        </w:rPr>
        <w:t>车消费信贷</w:t>
      </w:r>
      <w:r w:rsidR="00DD1819" w:rsidRPr="00C4200C">
        <w:rPr>
          <w:rFonts w:hint="eastAsia"/>
          <w:sz w:val="21"/>
          <w:szCs w:val="21"/>
        </w:rPr>
        <w:t>成为</w:t>
      </w:r>
      <w:proofErr w:type="gramStart"/>
      <w:r w:rsidRPr="00C4200C">
        <w:rPr>
          <w:rFonts w:hint="eastAsia"/>
          <w:sz w:val="21"/>
          <w:szCs w:val="21"/>
        </w:rPr>
        <w:t>产业链</w:t>
      </w:r>
      <w:r w:rsidR="0032502E" w:rsidRPr="00C4200C">
        <w:rPr>
          <w:rFonts w:hint="eastAsia"/>
          <w:sz w:val="21"/>
          <w:szCs w:val="21"/>
        </w:rPr>
        <w:t>新的</w:t>
      </w:r>
      <w:proofErr w:type="gramEnd"/>
      <w:r w:rsidR="0032502E" w:rsidRPr="00C4200C">
        <w:rPr>
          <w:rFonts w:hint="eastAsia"/>
          <w:sz w:val="21"/>
          <w:szCs w:val="21"/>
        </w:rPr>
        <w:t>盈利点，各方推动下迅速</w:t>
      </w:r>
      <w:r w:rsidR="00E27DDA" w:rsidRPr="00C4200C">
        <w:rPr>
          <w:rFonts w:hint="eastAsia"/>
          <w:sz w:val="21"/>
          <w:szCs w:val="21"/>
        </w:rPr>
        <w:t>普及</w:t>
      </w:r>
      <w:r w:rsidR="00D30297" w:rsidRPr="00C4200C">
        <w:rPr>
          <w:rFonts w:hint="eastAsia"/>
          <w:sz w:val="21"/>
          <w:szCs w:val="21"/>
        </w:rPr>
        <w:t>，</w:t>
      </w:r>
      <w:r w:rsidRPr="00C4200C">
        <w:rPr>
          <w:rFonts w:hint="eastAsia"/>
          <w:sz w:val="21"/>
          <w:szCs w:val="21"/>
        </w:rPr>
        <w:t>也</w:t>
      </w:r>
      <w:r w:rsidR="00015859" w:rsidRPr="00C4200C">
        <w:rPr>
          <w:rFonts w:hint="eastAsia"/>
          <w:sz w:val="21"/>
          <w:szCs w:val="21"/>
        </w:rPr>
        <w:t>极大促进</w:t>
      </w:r>
      <w:r w:rsidRPr="00C4200C">
        <w:rPr>
          <w:rFonts w:hint="eastAsia"/>
          <w:sz w:val="21"/>
          <w:szCs w:val="21"/>
        </w:rPr>
        <w:t>了</w:t>
      </w:r>
      <w:r w:rsidR="00723422" w:rsidRPr="00C4200C">
        <w:rPr>
          <w:rFonts w:hint="eastAsia"/>
          <w:sz w:val="21"/>
          <w:szCs w:val="21"/>
        </w:rPr>
        <w:t>消费升级</w:t>
      </w:r>
      <w:r w:rsidR="001006F3">
        <w:rPr>
          <w:rFonts w:hint="eastAsia"/>
          <w:sz w:val="21"/>
          <w:szCs w:val="21"/>
        </w:rPr>
        <w:t>，</w:t>
      </w:r>
      <w:r w:rsidR="00D805A1" w:rsidRPr="00C4200C">
        <w:rPr>
          <w:rFonts w:hint="eastAsia"/>
          <w:sz w:val="21"/>
          <w:szCs w:val="21"/>
        </w:rPr>
        <w:t>根据</w:t>
      </w:r>
      <w:r w:rsidR="008A3C64">
        <w:rPr>
          <w:rFonts w:hint="eastAsia"/>
          <w:sz w:val="21"/>
          <w:szCs w:val="21"/>
        </w:rPr>
        <w:t>国家信息中心</w:t>
      </w:r>
      <w:r w:rsidR="00D805A1" w:rsidRPr="00C4200C">
        <w:rPr>
          <w:rFonts w:hint="eastAsia"/>
          <w:sz w:val="21"/>
          <w:szCs w:val="21"/>
        </w:rPr>
        <w:t>调研，汽车消费信贷的比例逐年提升，至2014年整体市场已达到</w:t>
      </w:r>
      <w:r w:rsidR="007D1002" w:rsidRPr="006E7326">
        <w:rPr>
          <w:rFonts w:hint="eastAsia"/>
          <w:color w:val="000000" w:themeColor="text1"/>
          <w:sz w:val="21"/>
          <w:szCs w:val="21"/>
        </w:rPr>
        <w:t>14%</w:t>
      </w:r>
      <w:r w:rsidR="004E1E67" w:rsidRPr="006E7326">
        <w:rPr>
          <w:rFonts w:hint="eastAsia"/>
          <w:color w:val="000000" w:themeColor="text1"/>
          <w:sz w:val="21"/>
          <w:szCs w:val="21"/>
        </w:rPr>
        <w:t>(图4)</w:t>
      </w:r>
      <w:r w:rsidRPr="006E7326">
        <w:rPr>
          <w:rFonts w:hint="eastAsia"/>
          <w:color w:val="000000" w:themeColor="text1"/>
          <w:sz w:val="21"/>
          <w:szCs w:val="21"/>
        </w:rPr>
        <w:t>。</w:t>
      </w:r>
      <w:r w:rsidR="002B5F3D" w:rsidRPr="006E7326">
        <w:rPr>
          <w:rFonts w:hint="eastAsia"/>
          <w:color w:val="000000" w:themeColor="text1"/>
          <w:sz w:val="21"/>
          <w:szCs w:val="21"/>
        </w:rPr>
        <w:t>而</w:t>
      </w:r>
      <w:r w:rsidR="00406B36" w:rsidRPr="006E7326">
        <w:rPr>
          <w:rFonts w:hint="eastAsia"/>
          <w:color w:val="000000" w:themeColor="text1"/>
          <w:sz w:val="21"/>
          <w:szCs w:val="21"/>
        </w:rPr>
        <w:t>20</w:t>
      </w:r>
      <w:r w:rsidR="00406B36" w:rsidRPr="00C4200C">
        <w:rPr>
          <w:rFonts w:hint="eastAsia"/>
          <w:sz w:val="21"/>
          <w:szCs w:val="21"/>
        </w:rPr>
        <w:t>10年开始的各地限购政策</w:t>
      </w:r>
      <w:r w:rsidRPr="00C4200C">
        <w:rPr>
          <w:rFonts w:hint="eastAsia"/>
          <w:sz w:val="21"/>
          <w:szCs w:val="21"/>
        </w:rPr>
        <w:t>、养车成本的提升</w:t>
      </w:r>
      <w:r w:rsidR="00406B36" w:rsidRPr="00C4200C">
        <w:rPr>
          <w:rFonts w:hint="eastAsia"/>
          <w:sz w:val="21"/>
          <w:szCs w:val="21"/>
        </w:rPr>
        <w:t>也成为汽车消费高端化的重要推手，促使自主品牌偏好度加速下降，传统优势市场快速萎缩</w:t>
      </w:r>
      <w:r w:rsidR="00A93536" w:rsidRPr="00C4200C">
        <w:rPr>
          <w:rFonts w:hint="eastAsia"/>
          <w:sz w:val="21"/>
          <w:szCs w:val="21"/>
        </w:rPr>
        <w:t>。以北京为例，2010年限购以来，自主品牌份额从</w:t>
      </w:r>
      <w:r w:rsidR="007D1002" w:rsidRPr="006E7326">
        <w:rPr>
          <w:rFonts w:hint="eastAsia"/>
          <w:color w:val="000000" w:themeColor="text1"/>
          <w:sz w:val="21"/>
          <w:szCs w:val="21"/>
        </w:rPr>
        <w:t>23%</w:t>
      </w:r>
      <w:r w:rsidR="00A93536" w:rsidRPr="006E7326">
        <w:rPr>
          <w:rFonts w:hint="eastAsia"/>
          <w:color w:val="000000" w:themeColor="text1"/>
          <w:sz w:val="21"/>
          <w:szCs w:val="21"/>
        </w:rPr>
        <w:t>下</w:t>
      </w:r>
      <w:r w:rsidR="00A93536" w:rsidRPr="00C4200C">
        <w:rPr>
          <w:rFonts w:hint="eastAsia"/>
          <w:sz w:val="21"/>
          <w:szCs w:val="21"/>
        </w:rPr>
        <w:t>降到目前的</w:t>
      </w:r>
      <w:r w:rsidR="007D1002" w:rsidRPr="00C4200C">
        <w:rPr>
          <w:rFonts w:hint="eastAsia"/>
          <w:sz w:val="21"/>
          <w:szCs w:val="21"/>
        </w:rPr>
        <w:t>18%</w:t>
      </w:r>
      <w:r w:rsidR="004E1E67">
        <w:rPr>
          <w:rFonts w:hint="eastAsia"/>
          <w:sz w:val="21"/>
          <w:szCs w:val="21"/>
        </w:rPr>
        <w:t>(图5)</w:t>
      </w:r>
      <w:r w:rsidR="00D50DCB" w:rsidRPr="00C4200C">
        <w:rPr>
          <w:rFonts w:hint="eastAsia"/>
          <w:sz w:val="21"/>
          <w:szCs w:val="21"/>
        </w:rPr>
        <w:t>。</w:t>
      </w:r>
    </w:p>
    <w:p w:rsidR="009B53A7" w:rsidRPr="00C016F1" w:rsidRDefault="009B53A7" w:rsidP="00C016F1">
      <w:pPr>
        <w:jc w:val="center"/>
        <w:rPr>
          <w:b/>
          <w:sz w:val="21"/>
          <w:szCs w:val="21"/>
        </w:rPr>
      </w:pPr>
      <w:r w:rsidRPr="00C016F1">
        <w:rPr>
          <w:rFonts w:hint="eastAsia"/>
          <w:b/>
          <w:sz w:val="21"/>
          <w:szCs w:val="21"/>
        </w:rPr>
        <w:t>图3自主品牌偏好变化</w:t>
      </w:r>
    </w:p>
    <w:p w:rsidR="009D45E3" w:rsidRDefault="00F36EEA" w:rsidP="00F36EEA">
      <w:pPr>
        <w:rPr>
          <w:sz w:val="21"/>
          <w:szCs w:val="21"/>
        </w:rPr>
      </w:pPr>
      <w:r w:rsidRPr="00C4200C">
        <w:rPr>
          <w:rFonts w:hint="eastAsia"/>
          <w:noProof/>
          <w:sz w:val="21"/>
          <w:szCs w:val="21"/>
        </w:rPr>
        <w:lastRenderedPageBreak/>
        <w:drawing>
          <wp:inline distT="0" distB="0" distL="0" distR="0" wp14:anchorId="4A9C9D59" wp14:editId="754D31AD">
            <wp:extent cx="5267325" cy="1724025"/>
            <wp:effectExtent l="0" t="0" r="9525" b="28575"/>
            <wp:docPr id="17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639F" w:rsidRPr="00C016F1" w:rsidRDefault="004A639F" w:rsidP="00C016F1">
      <w:pPr>
        <w:jc w:val="center"/>
        <w:rPr>
          <w:b/>
          <w:sz w:val="21"/>
          <w:szCs w:val="21"/>
        </w:rPr>
      </w:pPr>
      <w:r w:rsidRPr="00C016F1">
        <w:rPr>
          <w:rFonts w:hint="eastAsia"/>
          <w:b/>
          <w:sz w:val="21"/>
          <w:szCs w:val="21"/>
        </w:rPr>
        <w:t>图4 汽车消费信贷比例变化</w:t>
      </w:r>
    </w:p>
    <w:p w:rsidR="007D1002" w:rsidRDefault="007D1002" w:rsidP="009A1BB2">
      <w:pPr>
        <w:pStyle w:val="a4"/>
        <w:ind w:firstLineChars="0" w:firstLine="0"/>
        <w:rPr>
          <w:sz w:val="21"/>
          <w:szCs w:val="21"/>
        </w:rPr>
      </w:pPr>
      <w:r w:rsidRPr="00C4200C">
        <w:rPr>
          <w:noProof/>
          <w:sz w:val="21"/>
          <w:szCs w:val="21"/>
        </w:rPr>
        <w:drawing>
          <wp:inline distT="0" distB="0" distL="0" distR="0" wp14:anchorId="2D77AB97" wp14:editId="62FE8F5A">
            <wp:extent cx="5270740" cy="1802921"/>
            <wp:effectExtent l="0" t="0" r="25400" b="26035"/>
            <wp:docPr id="15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639F" w:rsidRPr="00C016F1" w:rsidRDefault="004A639F" w:rsidP="00C016F1">
      <w:pPr>
        <w:jc w:val="center"/>
        <w:rPr>
          <w:b/>
          <w:sz w:val="21"/>
          <w:szCs w:val="21"/>
        </w:rPr>
      </w:pPr>
      <w:r w:rsidRPr="00C016F1">
        <w:rPr>
          <w:rFonts w:hint="eastAsia"/>
          <w:b/>
          <w:sz w:val="21"/>
          <w:szCs w:val="21"/>
        </w:rPr>
        <w:t>图5北京限购前后自主品牌占比变化</w:t>
      </w:r>
    </w:p>
    <w:p w:rsidR="007D1002" w:rsidRPr="00C4200C" w:rsidRDefault="007D1002" w:rsidP="007D1002">
      <w:pPr>
        <w:rPr>
          <w:sz w:val="21"/>
          <w:szCs w:val="21"/>
        </w:rPr>
      </w:pPr>
      <w:r w:rsidRPr="00C4200C">
        <w:rPr>
          <w:noProof/>
          <w:sz w:val="21"/>
          <w:szCs w:val="21"/>
        </w:rPr>
        <w:drawing>
          <wp:inline distT="0" distB="0" distL="0" distR="0" wp14:anchorId="5ACE652E" wp14:editId="3B0C8EB9">
            <wp:extent cx="5270740" cy="1699404"/>
            <wp:effectExtent l="0" t="0" r="25400" b="1524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6B36" w:rsidRPr="00C4200C" w:rsidRDefault="00D805A1" w:rsidP="000E7823">
      <w:pPr>
        <w:pStyle w:val="a4"/>
        <w:ind w:firstLineChars="202" w:firstLine="424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3)</w:t>
      </w:r>
      <w:r w:rsidR="003932E7" w:rsidRPr="00C4200C">
        <w:rPr>
          <w:rFonts w:hint="eastAsia"/>
          <w:sz w:val="21"/>
          <w:szCs w:val="21"/>
        </w:rPr>
        <w:t>合资品牌在多代同堂、</w:t>
      </w:r>
      <w:r w:rsidR="00015859" w:rsidRPr="00C4200C">
        <w:rPr>
          <w:rFonts w:hint="eastAsia"/>
          <w:sz w:val="21"/>
          <w:szCs w:val="21"/>
        </w:rPr>
        <w:t>产品</w:t>
      </w:r>
      <w:proofErr w:type="gramStart"/>
      <w:r w:rsidR="00015859" w:rsidRPr="00C4200C">
        <w:rPr>
          <w:rFonts w:hint="eastAsia"/>
          <w:sz w:val="21"/>
          <w:szCs w:val="21"/>
        </w:rPr>
        <w:t>简配战略</w:t>
      </w:r>
      <w:proofErr w:type="gramEnd"/>
      <w:r w:rsidR="00015859" w:rsidRPr="00C4200C">
        <w:rPr>
          <w:rFonts w:hint="eastAsia"/>
          <w:sz w:val="21"/>
          <w:szCs w:val="21"/>
        </w:rPr>
        <w:t>下，不断降低</w:t>
      </w:r>
      <w:r w:rsidR="00F1785F" w:rsidRPr="00C4200C">
        <w:rPr>
          <w:rFonts w:hint="eastAsia"/>
          <w:sz w:val="21"/>
          <w:szCs w:val="21"/>
        </w:rPr>
        <w:t>产品</w:t>
      </w:r>
      <w:r w:rsidR="00A56F88" w:rsidRPr="00C4200C">
        <w:rPr>
          <w:rFonts w:hint="eastAsia"/>
          <w:sz w:val="21"/>
          <w:szCs w:val="21"/>
        </w:rPr>
        <w:t>价格挤压自主的生存空间，特别是</w:t>
      </w:r>
      <w:r w:rsidR="003932E7" w:rsidRPr="00C4200C">
        <w:rPr>
          <w:rFonts w:hint="eastAsia"/>
          <w:sz w:val="21"/>
          <w:szCs w:val="21"/>
        </w:rPr>
        <w:t>在</w:t>
      </w:r>
      <w:r w:rsidR="00A56F88" w:rsidRPr="00C4200C">
        <w:rPr>
          <w:rFonts w:hint="eastAsia"/>
          <w:sz w:val="21"/>
          <w:szCs w:val="21"/>
        </w:rPr>
        <w:t>轿车市场</w:t>
      </w:r>
      <w:r w:rsidR="003932E7" w:rsidRPr="00C4200C">
        <w:rPr>
          <w:rFonts w:hint="eastAsia"/>
          <w:sz w:val="21"/>
          <w:szCs w:val="21"/>
        </w:rPr>
        <w:t>，许多产品已经与自主</w:t>
      </w:r>
      <w:r w:rsidR="005822CA" w:rsidRPr="00C4200C">
        <w:rPr>
          <w:rFonts w:hint="eastAsia"/>
          <w:sz w:val="21"/>
          <w:szCs w:val="21"/>
        </w:rPr>
        <w:t>价位</w:t>
      </w:r>
      <w:r w:rsidR="003932E7" w:rsidRPr="00C4200C">
        <w:rPr>
          <w:rFonts w:hint="eastAsia"/>
          <w:sz w:val="21"/>
          <w:szCs w:val="21"/>
        </w:rPr>
        <w:t>看齐</w:t>
      </w:r>
      <w:r w:rsidR="005240E3" w:rsidRPr="00C4200C">
        <w:rPr>
          <w:rFonts w:hint="eastAsia"/>
          <w:sz w:val="21"/>
          <w:szCs w:val="21"/>
        </w:rPr>
        <w:t>，</w:t>
      </w:r>
      <w:r w:rsidR="005822CA" w:rsidRPr="00C4200C">
        <w:rPr>
          <w:rFonts w:hint="eastAsia"/>
          <w:sz w:val="21"/>
          <w:szCs w:val="21"/>
        </w:rPr>
        <w:t>如A级入门市场，</w:t>
      </w:r>
      <w:r w:rsidR="00EC2142" w:rsidRPr="00C4200C">
        <w:rPr>
          <w:rFonts w:hint="eastAsia"/>
          <w:sz w:val="21"/>
          <w:szCs w:val="21"/>
        </w:rPr>
        <w:t>2013年开始</w:t>
      </w:r>
      <w:r w:rsidR="005822CA" w:rsidRPr="00C4200C">
        <w:rPr>
          <w:rFonts w:hint="eastAsia"/>
          <w:sz w:val="21"/>
          <w:szCs w:val="21"/>
        </w:rPr>
        <w:t>以新捷达为代表合资产品</w:t>
      </w:r>
      <w:r w:rsidR="00F602CD">
        <w:rPr>
          <w:rFonts w:hint="eastAsia"/>
          <w:sz w:val="21"/>
          <w:szCs w:val="21"/>
        </w:rPr>
        <w:t>主销型号</w:t>
      </w:r>
      <w:r w:rsidR="005822CA" w:rsidRPr="00C4200C">
        <w:rPr>
          <w:rFonts w:hint="eastAsia"/>
          <w:sz w:val="21"/>
          <w:szCs w:val="21"/>
        </w:rPr>
        <w:t>已经下探至</w:t>
      </w:r>
      <w:r w:rsidR="005B68E4">
        <w:rPr>
          <w:rFonts w:hint="eastAsia"/>
          <w:sz w:val="21"/>
          <w:szCs w:val="21"/>
        </w:rPr>
        <w:t>8</w:t>
      </w:r>
      <w:r w:rsidR="005822CA" w:rsidRPr="00C4200C">
        <w:rPr>
          <w:rFonts w:hint="eastAsia"/>
          <w:sz w:val="21"/>
          <w:szCs w:val="21"/>
        </w:rPr>
        <w:t>万左右</w:t>
      </w:r>
      <w:r w:rsidR="004E1E67">
        <w:rPr>
          <w:rFonts w:hint="eastAsia"/>
          <w:sz w:val="21"/>
          <w:szCs w:val="21"/>
        </w:rPr>
        <w:t>(图6)</w:t>
      </w:r>
      <w:r w:rsidR="005822CA" w:rsidRPr="00C4200C">
        <w:rPr>
          <w:rFonts w:hint="eastAsia"/>
          <w:sz w:val="21"/>
          <w:szCs w:val="21"/>
        </w:rPr>
        <w:t>，与</w:t>
      </w:r>
      <w:r w:rsidR="003932E7" w:rsidRPr="00C4200C">
        <w:rPr>
          <w:rFonts w:hint="eastAsia"/>
          <w:sz w:val="21"/>
          <w:szCs w:val="21"/>
        </w:rPr>
        <w:t>自主</w:t>
      </w:r>
      <w:r w:rsidR="005822CA" w:rsidRPr="00C4200C">
        <w:rPr>
          <w:rFonts w:hint="eastAsia"/>
          <w:sz w:val="21"/>
          <w:szCs w:val="21"/>
        </w:rPr>
        <w:t>主力车型价位重叠，对其形成明显打压。</w:t>
      </w:r>
    </w:p>
    <w:p w:rsidR="005D5578" w:rsidRPr="00C016F1" w:rsidRDefault="004E1E67" w:rsidP="00C016F1">
      <w:pPr>
        <w:jc w:val="center"/>
        <w:rPr>
          <w:b/>
          <w:sz w:val="21"/>
          <w:szCs w:val="21"/>
        </w:rPr>
      </w:pPr>
      <w:r w:rsidRPr="00C016F1">
        <w:rPr>
          <w:rFonts w:hint="eastAsia"/>
          <w:b/>
          <w:sz w:val="21"/>
          <w:szCs w:val="21"/>
        </w:rPr>
        <w:t>图6</w:t>
      </w:r>
      <w:r w:rsidR="007C4AC6">
        <w:rPr>
          <w:rFonts w:hint="eastAsia"/>
          <w:b/>
          <w:sz w:val="21"/>
          <w:szCs w:val="21"/>
        </w:rPr>
        <w:t xml:space="preserve"> 合资A级轿车</w:t>
      </w:r>
      <w:r w:rsidR="005D5578" w:rsidRPr="00C016F1">
        <w:rPr>
          <w:rFonts w:hint="eastAsia"/>
          <w:b/>
          <w:sz w:val="21"/>
          <w:szCs w:val="21"/>
        </w:rPr>
        <w:t>销量加权市场价格</w:t>
      </w:r>
    </w:p>
    <w:p w:rsidR="00F732EC" w:rsidRDefault="00F732EC" w:rsidP="00F732EC">
      <w:pPr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 wp14:anchorId="15A9A7CA" wp14:editId="2896B026">
            <wp:extent cx="5270740" cy="1992702"/>
            <wp:effectExtent l="0" t="0" r="25400" b="26670"/>
            <wp:docPr id="1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15859" w:rsidRPr="00C4200C" w:rsidRDefault="00277153" w:rsidP="00015859">
      <w:pPr>
        <w:ind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其次</w:t>
      </w:r>
      <w:r w:rsidR="00015859" w:rsidRPr="00C4200C">
        <w:rPr>
          <w:rFonts w:hint="eastAsia"/>
          <w:sz w:val="21"/>
          <w:szCs w:val="21"/>
        </w:rPr>
        <w:t>，集体战略失误导致产品竞争力不足</w:t>
      </w:r>
      <w:r w:rsidR="008F1835" w:rsidRPr="00C4200C">
        <w:rPr>
          <w:rFonts w:hint="eastAsia"/>
          <w:sz w:val="21"/>
          <w:szCs w:val="21"/>
        </w:rPr>
        <w:t>.</w:t>
      </w:r>
    </w:p>
    <w:p w:rsidR="005A00AD" w:rsidRPr="00C4200C" w:rsidRDefault="00157DE4" w:rsidP="00580CA0">
      <w:pPr>
        <w:pStyle w:val="a4"/>
        <w:ind w:firstLineChars="202" w:firstLine="424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2008-2009年，面对良好的市场发展前景</w:t>
      </w:r>
      <w:r w:rsidR="002B5F3D" w:rsidRPr="00C4200C">
        <w:rPr>
          <w:rFonts w:hint="eastAsia"/>
          <w:sz w:val="21"/>
          <w:szCs w:val="21"/>
        </w:rPr>
        <w:t>、</w:t>
      </w:r>
      <w:r w:rsidRPr="00C4200C">
        <w:rPr>
          <w:rFonts w:hint="eastAsia"/>
          <w:sz w:val="21"/>
          <w:szCs w:val="21"/>
        </w:rPr>
        <w:t>国家产业振兴政策落地</w:t>
      </w:r>
      <w:r w:rsidR="00015859" w:rsidRPr="00C4200C">
        <w:rPr>
          <w:rFonts w:hint="eastAsia"/>
          <w:sz w:val="21"/>
          <w:szCs w:val="21"/>
        </w:rPr>
        <w:t>，自主</w:t>
      </w:r>
      <w:r w:rsidR="002B5F3D" w:rsidRPr="00C4200C">
        <w:rPr>
          <w:rFonts w:hint="eastAsia"/>
          <w:sz w:val="21"/>
          <w:szCs w:val="21"/>
        </w:rPr>
        <w:t>企业</w:t>
      </w:r>
      <w:r w:rsidR="00015859" w:rsidRPr="00C4200C">
        <w:rPr>
          <w:rFonts w:hint="eastAsia"/>
          <w:sz w:val="21"/>
          <w:szCs w:val="21"/>
        </w:rPr>
        <w:t>普遍制定了</w:t>
      </w:r>
      <w:r w:rsidR="00406B36" w:rsidRPr="00C4200C">
        <w:rPr>
          <w:rFonts w:hint="eastAsia"/>
          <w:sz w:val="21"/>
          <w:szCs w:val="21"/>
        </w:rPr>
        <w:t>品牌、产品</w:t>
      </w:r>
      <w:r w:rsidRPr="00C4200C">
        <w:rPr>
          <w:rFonts w:hint="eastAsia"/>
          <w:sz w:val="21"/>
          <w:szCs w:val="21"/>
        </w:rPr>
        <w:t>急速</w:t>
      </w:r>
      <w:r w:rsidR="00015859" w:rsidRPr="00C4200C">
        <w:rPr>
          <w:rFonts w:hint="eastAsia"/>
          <w:sz w:val="21"/>
          <w:szCs w:val="21"/>
        </w:rPr>
        <w:t>扩张</w:t>
      </w:r>
      <w:r w:rsidR="00406B36" w:rsidRPr="00C4200C">
        <w:rPr>
          <w:rFonts w:hint="eastAsia"/>
          <w:sz w:val="21"/>
          <w:szCs w:val="21"/>
        </w:rPr>
        <w:t>战略</w:t>
      </w:r>
      <w:r w:rsidRPr="00C4200C">
        <w:rPr>
          <w:rFonts w:hint="eastAsia"/>
          <w:sz w:val="21"/>
          <w:szCs w:val="21"/>
        </w:rPr>
        <w:t>，</w:t>
      </w:r>
      <w:r w:rsidR="00346E8A" w:rsidRPr="00C4200C">
        <w:rPr>
          <w:rFonts w:hint="eastAsia"/>
          <w:sz w:val="21"/>
          <w:szCs w:val="21"/>
        </w:rPr>
        <w:t>一种是以奇瑞</w:t>
      </w:r>
      <w:r w:rsidR="005822CA" w:rsidRPr="00C4200C">
        <w:rPr>
          <w:rFonts w:hint="eastAsia"/>
          <w:sz w:val="21"/>
          <w:szCs w:val="21"/>
        </w:rPr>
        <w:t>、</w:t>
      </w:r>
      <w:r w:rsidR="00346E8A" w:rsidRPr="00C4200C">
        <w:rPr>
          <w:rFonts w:hint="eastAsia"/>
          <w:sz w:val="21"/>
          <w:szCs w:val="21"/>
        </w:rPr>
        <w:t>吉利为代表的多品牌战略，另一种是以比亚</w:t>
      </w:r>
      <w:proofErr w:type="gramStart"/>
      <w:r w:rsidR="00346E8A" w:rsidRPr="00C4200C">
        <w:rPr>
          <w:rFonts w:hint="eastAsia"/>
          <w:sz w:val="21"/>
          <w:szCs w:val="21"/>
        </w:rPr>
        <w:t>迪</w:t>
      </w:r>
      <w:proofErr w:type="gramEnd"/>
      <w:r w:rsidR="00346E8A" w:rsidRPr="00C4200C">
        <w:rPr>
          <w:rFonts w:hint="eastAsia"/>
          <w:sz w:val="21"/>
          <w:szCs w:val="21"/>
        </w:rPr>
        <w:t>为代表的分网战略，</w:t>
      </w:r>
      <w:r w:rsidR="00AE6356" w:rsidRPr="00C4200C">
        <w:rPr>
          <w:rFonts w:hint="eastAsia"/>
          <w:sz w:val="21"/>
          <w:szCs w:val="21"/>
        </w:rPr>
        <w:t>其目的都是希望通过“车海战术”占据更多市场份额。这种</w:t>
      </w:r>
      <w:r w:rsidR="005240E3" w:rsidRPr="00C4200C">
        <w:rPr>
          <w:rFonts w:hint="eastAsia"/>
          <w:sz w:val="21"/>
          <w:szCs w:val="21"/>
        </w:rPr>
        <w:t>外延式</w:t>
      </w:r>
      <w:r w:rsidR="00AE6356" w:rsidRPr="00C4200C">
        <w:rPr>
          <w:rFonts w:hint="eastAsia"/>
          <w:sz w:val="21"/>
          <w:szCs w:val="21"/>
        </w:rPr>
        <w:t>发展模式过分高估了自主的市场潜力和自身实力，同时脱离了消费者真实需求，市场上一时间出现了许多毫无根基的品牌和大量逆向开发、无显著差异的产品，或品牌、产品间定位重叠、</w:t>
      </w:r>
      <w:r w:rsidR="002A35AA" w:rsidRPr="00C4200C">
        <w:rPr>
          <w:rFonts w:hint="eastAsia"/>
          <w:sz w:val="21"/>
          <w:szCs w:val="21"/>
        </w:rPr>
        <w:t>严重内耗，或品牌定位过高脱离</w:t>
      </w:r>
      <w:r w:rsidR="00D02005" w:rsidRPr="00C4200C">
        <w:rPr>
          <w:rFonts w:hint="eastAsia"/>
          <w:sz w:val="21"/>
          <w:szCs w:val="21"/>
        </w:rPr>
        <w:t>市场需求</w:t>
      </w:r>
      <w:r w:rsidR="005240E3" w:rsidRPr="00C4200C">
        <w:rPr>
          <w:rFonts w:hint="eastAsia"/>
          <w:sz w:val="21"/>
          <w:szCs w:val="21"/>
        </w:rPr>
        <w:t>，</w:t>
      </w:r>
      <w:r w:rsidR="00D02005" w:rsidRPr="00C4200C">
        <w:rPr>
          <w:rFonts w:hint="eastAsia"/>
          <w:sz w:val="21"/>
          <w:szCs w:val="21"/>
        </w:rPr>
        <w:t>因此纷纷以失败告终。最令人惋惜的是，</w:t>
      </w:r>
      <w:r w:rsidR="00F07279" w:rsidRPr="00C4200C">
        <w:rPr>
          <w:rFonts w:hint="eastAsia"/>
          <w:sz w:val="21"/>
          <w:szCs w:val="21"/>
        </w:rPr>
        <w:t>过多的产品序列透支研发、生产、营销等资源</w:t>
      </w:r>
      <w:r w:rsidR="002A35AA" w:rsidRPr="00C4200C">
        <w:rPr>
          <w:rFonts w:hint="eastAsia"/>
          <w:sz w:val="21"/>
          <w:szCs w:val="21"/>
        </w:rPr>
        <w:t>，</w:t>
      </w:r>
      <w:r w:rsidR="00B83E90" w:rsidRPr="00C4200C">
        <w:rPr>
          <w:rFonts w:hint="eastAsia"/>
          <w:sz w:val="21"/>
          <w:szCs w:val="21"/>
        </w:rPr>
        <w:t>使</w:t>
      </w:r>
      <w:r w:rsidR="00370B4C" w:rsidRPr="00C4200C">
        <w:rPr>
          <w:rFonts w:hint="eastAsia"/>
          <w:sz w:val="21"/>
          <w:szCs w:val="21"/>
        </w:rPr>
        <w:t>受消费者追捧的经典车型</w:t>
      </w:r>
      <w:r w:rsidR="00F1785F" w:rsidRPr="00C4200C">
        <w:rPr>
          <w:rFonts w:hint="eastAsia"/>
          <w:sz w:val="21"/>
          <w:szCs w:val="21"/>
        </w:rPr>
        <w:t>不能及时改进</w:t>
      </w:r>
      <w:r w:rsidR="00370B4C" w:rsidRPr="00C4200C">
        <w:rPr>
          <w:rFonts w:hint="eastAsia"/>
          <w:sz w:val="21"/>
          <w:szCs w:val="21"/>
        </w:rPr>
        <w:t>，</w:t>
      </w:r>
      <w:r w:rsidR="00F1785F" w:rsidRPr="00C4200C">
        <w:rPr>
          <w:rFonts w:hint="eastAsia"/>
          <w:sz w:val="21"/>
          <w:szCs w:val="21"/>
        </w:rPr>
        <w:t>而</w:t>
      </w:r>
      <w:r w:rsidR="00370B4C" w:rsidRPr="00C4200C">
        <w:rPr>
          <w:rFonts w:hint="eastAsia"/>
          <w:sz w:val="21"/>
          <w:szCs w:val="21"/>
        </w:rPr>
        <w:t>全新开发的大量车型又得不到认可，</w:t>
      </w:r>
      <w:r w:rsidR="00015859" w:rsidRPr="00C4200C">
        <w:rPr>
          <w:rFonts w:hint="eastAsia"/>
          <w:sz w:val="21"/>
          <w:szCs w:val="21"/>
        </w:rPr>
        <w:t>最终既失掉了</w:t>
      </w:r>
      <w:r w:rsidRPr="00C4200C">
        <w:rPr>
          <w:rFonts w:hint="eastAsia"/>
          <w:sz w:val="21"/>
          <w:szCs w:val="21"/>
        </w:rPr>
        <w:t>传统</w:t>
      </w:r>
      <w:r w:rsidR="007D37BD" w:rsidRPr="00C4200C">
        <w:rPr>
          <w:rFonts w:hint="eastAsia"/>
          <w:sz w:val="21"/>
          <w:szCs w:val="21"/>
        </w:rPr>
        <w:t>优势市场，</w:t>
      </w:r>
      <w:r w:rsidR="00D02005" w:rsidRPr="00C4200C">
        <w:rPr>
          <w:rFonts w:hint="eastAsia"/>
          <w:sz w:val="21"/>
          <w:szCs w:val="21"/>
        </w:rPr>
        <w:t>也没有带来份额和品牌</w:t>
      </w:r>
      <w:r w:rsidR="00370B4C" w:rsidRPr="00C4200C">
        <w:rPr>
          <w:rFonts w:hint="eastAsia"/>
          <w:sz w:val="21"/>
          <w:szCs w:val="21"/>
        </w:rPr>
        <w:t>的提升。</w:t>
      </w:r>
    </w:p>
    <w:p w:rsidR="006674CC" w:rsidRDefault="006674CC" w:rsidP="003B74D2">
      <w:pPr>
        <w:rPr>
          <w:rFonts w:hint="eastAsia"/>
          <w:b/>
          <w:sz w:val="28"/>
          <w:szCs w:val="21"/>
        </w:rPr>
      </w:pPr>
    </w:p>
    <w:p w:rsidR="007C37B3" w:rsidRPr="003B74D2" w:rsidRDefault="003B74D2" w:rsidP="003B74D2">
      <w:pPr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三、</w:t>
      </w:r>
      <w:r w:rsidR="001B5C21" w:rsidRPr="003B74D2">
        <w:rPr>
          <w:rFonts w:hint="eastAsia"/>
          <w:b/>
          <w:sz w:val="28"/>
          <w:szCs w:val="21"/>
        </w:rPr>
        <w:t>自主品牌</w:t>
      </w:r>
      <w:r w:rsidR="00031A79" w:rsidRPr="003B74D2">
        <w:rPr>
          <w:rFonts w:hint="eastAsia"/>
          <w:b/>
          <w:sz w:val="28"/>
          <w:szCs w:val="21"/>
        </w:rPr>
        <w:t>未来</w:t>
      </w:r>
      <w:r w:rsidR="001B5C21" w:rsidRPr="003B74D2">
        <w:rPr>
          <w:rFonts w:hint="eastAsia"/>
          <w:b/>
          <w:sz w:val="28"/>
          <w:szCs w:val="21"/>
        </w:rPr>
        <w:t>的市场</w:t>
      </w:r>
      <w:r w:rsidR="00D02005" w:rsidRPr="003B74D2">
        <w:rPr>
          <w:rFonts w:hint="eastAsia"/>
          <w:b/>
          <w:sz w:val="28"/>
          <w:szCs w:val="21"/>
        </w:rPr>
        <w:t>困境</w:t>
      </w:r>
    </w:p>
    <w:p w:rsidR="008B5907" w:rsidRPr="00C4200C" w:rsidRDefault="008B5907" w:rsidP="008B5907">
      <w:pPr>
        <w:ind w:firstLineChars="200"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第一，国内</w:t>
      </w:r>
      <w:r w:rsidR="00365F20">
        <w:rPr>
          <w:rFonts w:hint="eastAsia"/>
          <w:sz w:val="21"/>
          <w:szCs w:val="21"/>
        </w:rPr>
        <w:t>乘用车市场</w:t>
      </w:r>
      <w:r w:rsidRPr="00C4200C">
        <w:rPr>
          <w:rFonts w:hint="eastAsia"/>
          <w:sz w:val="21"/>
          <w:szCs w:val="21"/>
        </w:rPr>
        <w:t>已经由高速增长发展到平稳快速增长，并正在逐渐向低速增长过渡。根据成熟市场规律，</w:t>
      </w:r>
      <w:r w:rsidR="00BF2A6F">
        <w:rPr>
          <w:rFonts w:hint="eastAsia"/>
          <w:sz w:val="21"/>
          <w:szCs w:val="21"/>
        </w:rPr>
        <w:t>乘用车保有量随时间变化呈“S”</w:t>
      </w:r>
      <w:r w:rsidR="00C512E0">
        <w:rPr>
          <w:rFonts w:hint="eastAsia"/>
          <w:sz w:val="21"/>
          <w:szCs w:val="21"/>
        </w:rPr>
        <w:t>型</w:t>
      </w:r>
      <w:r w:rsidR="00BF2A6F">
        <w:rPr>
          <w:rFonts w:hint="eastAsia"/>
          <w:sz w:val="21"/>
          <w:szCs w:val="21"/>
        </w:rPr>
        <w:t>曲线，2008年我国</w:t>
      </w:r>
      <w:r w:rsidR="00365F20">
        <w:rPr>
          <w:rFonts w:hint="eastAsia"/>
          <w:sz w:val="21"/>
          <w:szCs w:val="21"/>
        </w:rPr>
        <w:t>乘用车</w:t>
      </w:r>
      <w:r w:rsidR="00BF2A6F">
        <w:rPr>
          <w:rFonts w:hint="eastAsia"/>
          <w:sz w:val="21"/>
          <w:szCs w:val="21"/>
        </w:rPr>
        <w:t>千人保有量突破20</w:t>
      </w:r>
      <w:r w:rsidR="008A2D98">
        <w:rPr>
          <w:rFonts w:hint="eastAsia"/>
          <w:sz w:val="21"/>
          <w:szCs w:val="21"/>
        </w:rPr>
        <w:t>辆</w:t>
      </w:r>
      <w:r w:rsidR="00365F20">
        <w:rPr>
          <w:rFonts w:hint="eastAsia"/>
          <w:sz w:val="21"/>
          <w:szCs w:val="21"/>
        </w:rPr>
        <w:t>进入</w:t>
      </w:r>
      <w:r w:rsidR="00C512E0">
        <w:rPr>
          <w:rFonts w:hint="eastAsia"/>
          <w:sz w:val="21"/>
          <w:szCs w:val="21"/>
        </w:rPr>
        <w:t>快速发展期</w:t>
      </w:r>
      <w:r w:rsidR="00365F20">
        <w:rPr>
          <w:rFonts w:hint="eastAsia"/>
          <w:sz w:val="21"/>
          <w:szCs w:val="21"/>
        </w:rPr>
        <w:t>以来</w:t>
      </w:r>
      <w:r w:rsidR="00BF2A6F">
        <w:rPr>
          <w:rFonts w:hint="eastAsia"/>
          <w:sz w:val="21"/>
          <w:szCs w:val="21"/>
        </w:rPr>
        <w:t>，</w:t>
      </w:r>
      <w:r w:rsidR="008A2D98">
        <w:rPr>
          <w:rFonts w:hint="eastAsia"/>
          <w:sz w:val="21"/>
          <w:szCs w:val="21"/>
        </w:rPr>
        <w:t>已经迅速达到当前80辆的水平，预计到2020年该数字将超过150，意味着将近一半的家庭已经有车</w:t>
      </w:r>
      <w:r w:rsidRPr="00C4200C">
        <w:rPr>
          <w:rFonts w:hint="eastAsia"/>
          <w:sz w:val="21"/>
          <w:szCs w:val="21"/>
        </w:rPr>
        <w:t>，</w:t>
      </w:r>
      <w:r w:rsidR="008A2D98">
        <w:rPr>
          <w:rFonts w:hint="eastAsia"/>
          <w:sz w:val="21"/>
          <w:szCs w:val="21"/>
        </w:rPr>
        <w:t>后续</w:t>
      </w:r>
      <w:r w:rsidR="008A2D98" w:rsidRPr="008A2D98">
        <w:rPr>
          <w:rFonts w:hint="eastAsia"/>
          <w:sz w:val="21"/>
          <w:szCs w:val="21"/>
        </w:rPr>
        <w:t>普及速度</w:t>
      </w:r>
      <w:r w:rsidR="008A2D98">
        <w:rPr>
          <w:rFonts w:hint="eastAsia"/>
          <w:sz w:val="21"/>
          <w:szCs w:val="21"/>
        </w:rPr>
        <w:t>会</w:t>
      </w:r>
      <w:r w:rsidR="008A2D98" w:rsidRPr="008A2D98">
        <w:rPr>
          <w:rFonts w:hint="eastAsia"/>
          <w:sz w:val="21"/>
          <w:szCs w:val="21"/>
        </w:rPr>
        <w:t>明显放缓</w:t>
      </w:r>
      <w:r w:rsidR="008A2D98">
        <w:rPr>
          <w:rFonts w:hint="eastAsia"/>
          <w:sz w:val="21"/>
          <w:szCs w:val="21"/>
        </w:rPr>
        <w:t>，</w:t>
      </w:r>
      <w:r w:rsidRPr="00C4200C">
        <w:rPr>
          <w:sz w:val="21"/>
          <w:szCs w:val="21"/>
        </w:rPr>
        <w:t>市场红利将逐渐消失，自主品牌最好的机遇期将结束。因此对于自主企业来说，至多还有一至两代车型的时间来完成品牌、产品升级，</w:t>
      </w:r>
      <w:r w:rsidRPr="00C4200C">
        <w:rPr>
          <w:rFonts w:hint="eastAsia"/>
          <w:sz w:val="21"/>
          <w:szCs w:val="21"/>
        </w:rPr>
        <w:t>形成与合资直接竞争、能够满足市场主流需求的实力，时间紧、任务重</w:t>
      </w:r>
      <w:r w:rsidRPr="00C4200C">
        <w:rPr>
          <w:sz w:val="21"/>
          <w:szCs w:val="21"/>
        </w:rPr>
        <w:t>。</w:t>
      </w:r>
    </w:p>
    <w:p w:rsidR="009166E4" w:rsidRPr="00C4200C" w:rsidRDefault="001B5C21" w:rsidP="007C37B3">
      <w:pPr>
        <w:ind w:firstLineChars="200"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第</w:t>
      </w:r>
      <w:r w:rsidR="008B5907" w:rsidRPr="00C4200C">
        <w:rPr>
          <w:rFonts w:hint="eastAsia"/>
          <w:sz w:val="21"/>
          <w:szCs w:val="21"/>
        </w:rPr>
        <w:t>二</w:t>
      </w:r>
      <w:r w:rsidR="00B83E90" w:rsidRPr="00C4200C">
        <w:rPr>
          <w:rFonts w:hint="eastAsia"/>
          <w:sz w:val="21"/>
          <w:szCs w:val="21"/>
        </w:rPr>
        <w:t>，不利的外部竞争环境将一直持续。</w:t>
      </w:r>
    </w:p>
    <w:p w:rsidR="00AE5824" w:rsidRPr="00A90875" w:rsidRDefault="00547333" w:rsidP="007276A0">
      <w:pPr>
        <w:ind w:firstLineChars="200" w:firstLine="420"/>
        <w:rPr>
          <w:b/>
          <w:color w:val="000000" w:themeColor="text1"/>
          <w:sz w:val="21"/>
          <w:szCs w:val="21"/>
        </w:rPr>
      </w:pPr>
      <w:r w:rsidRPr="00C4200C">
        <w:rPr>
          <w:rFonts w:hint="eastAsia"/>
          <w:sz w:val="21"/>
          <w:szCs w:val="21"/>
        </w:rPr>
        <w:t>首先</w:t>
      </w:r>
      <w:r w:rsidR="008B5907" w:rsidRPr="00C4200C">
        <w:rPr>
          <w:rFonts w:hint="eastAsia"/>
          <w:sz w:val="21"/>
          <w:szCs w:val="21"/>
        </w:rPr>
        <w:t>，</w:t>
      </w:r>
      <w:r w:rsidR="00D82023" w:rsidRPr="00C4200C">
        <w:rPr>
          <w:sz w:val="21"/>
          <w:szCs w:val="21"/>
        </w:rPr>
        <w:t>消费升级趋势</w:t>
      </w:r>
      <w:r w:rsidR="008B5907" w:rsidRPr="00C4200C">
        <w:rPr>
          <w:sz w:val="21"/>
          <w:szCs w:val="21"/>
        </w:rPr>
        <w:t>愈发显著</w:t>
      </w:r>
      <w:r w:rsidR="008B5907" w:rsidRPr="00C4200C">
        <w:rPr>
          <w:rFonts w:hint="eastAsia"/>
          <w:sz w:val="21"/>
          <w:szCs w:val="21"/>
        </w:rPr>
        <w:t>，</w:t>
      </w:r>
      <w:r w:rsidR="008915BF" w:rsidRPr="00C4200C">
        <w:rPr>
          <w:rFonts w:hint="eastAsia"/>
          <w:sz w:val="21"/>
          <w:szCs w:val="21"/>
        </w:rPr>
        <w:t>自主品牌</w:t>
      </w:r>
      <w:r w:rsidR="0008707C" w:rsidRPr="00C4200C">
        <w:rPr>
          <w:rFonts w:hint="eastAsia"/>
          <w:sz w:val="21"/>
          <w:szCs w:val="21"/>
        </w:rPr>
        <w:t>低端</w:t>
      </w:r>
      <w:r w:rsidR="009166E4" w:rsidRPr="00C4200C">
        <w:rPr>
          <w:rFonts w:hint="eastAsia"/>
          <w:sz w:val="21"/>
          <w:szCs w:val="21"/>
        </w:rPr>
        <w:t>传统优势市场快速萎缩的态势将一直</w:t>
      </w:r>
      <w:r w:rsidR="009166E4" w:rsidRPr="00A90875">
        <w:rPr>
          <w:rFonts w:hint="eastAsia"/>
          <w:color w:val="000000" w:themeColor="text1"/>
          <w:sz w:val="21"/>
          <w:szCs w:val="21"/>
        </w:rPr>
        <w:t>延续</w:t>
      </w:r>
      <w:r w:rsidR="007276A0" w:rsidRPr="00A90875">
        <w:rPr>
          <w:rFonts w:hint="eastAsia"/>
          <w:b/>
          <w:color w:val="000000" w:themeColor="text1"/>
          <w:sz w:val="21"/>
          <w:szCs w:val="21"/>
        </w:rPr>
        <w:t>。</w:t>
      </w:r>
    </w:p>
    <w:p w:rsidR="00D82023" w:rsidRPr="00C4200C" w:rsidRDefault="007276A0" w:rsidP="007276A0">
      <w:pPr>
        <w:ind w:firstLineChars="200"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其次</w:t>
      </w:r>
      <w:r w:rsidR="002562C0" w:rsidRPr="00C4200C">
        <w:rPr>
          <w:rFonts w:hint="eastAsia"/>
          <w:sz w:val="21"/>
          <w:szCs w:val="21"/>
        </w:rPr>
        <w:t>，</w:t>
      </w:r>
      <w:r w:rsidR="008915BF" w:rsidRPr="00C4200C">
        <w:rPr>
          <w:rFonts w:hint="eastAsia"/>
          <w:sz w:val="21"/>
          <w:szCs w:val="21"/>
        </w:rPr>
        <w:t>向上发展</w:t>
      </w:r>
      <w:r w:rsidR="00D82023" w:rsidRPr="00C4200C">
        <w:rPr>
          <w:rFonts w:hint="eastAsia"/>
          <w:sz w:val="21"/>
          <w:szCs w:val="21"/>
        </w:rPr>
        <w:t>难度大</w:t>
      </w:r>
      <w:r w:rsidR="008915BF" w:rsidRPr="00C4200C">
        <w:rPr>
          <w:rFonts w:hint="eastAsia"/>
          <w:sz w:val="21"/>
          <w:szCs w:val="21"/>
        </w:rPr>
        <w:t>。</w:t>
      </w:r>
      <w:r w:rsidRPr="00C4200C">
        <w:rPr>
          <w:rFonts w:hint="eastAsia"/>
          <w:sz w:val="21"/>
          <w:szCs w:val="21"/>
        </w:rPr>
        <w:t>一方面，合资产品价格不断下探的趋势将会延续</w:t>
      </w:r>
      <w:r w:rsidR="0008707C" w:rsidRPr="00C4200C">
        <w:rPr>
          <w:rFonts w:hint="eastAsia"/>
          <w:sz w:val="21"/>
          <w:szCs w:val="21"/>
        </w:rPr>
        <w:t>。</w:t>
      </w:r>
      <w:r w:rsidRPr="00C4200C">
        <w:rPr>
          <w:rFonts w:hint="eastAsia"/>
          <w:sz w:val="21"/>
          <w:szCs w:val="21"/>
        </w:rPr>
        <w:t>从各企业发布的战略来看，合资品牌普遍规划了大量新建产能，未来产能过剩、竞争加剧的市场环境已成定局，因此通过多代同堂、价格下探扩展生存空间的市场战略将持续，自主市场向上突破的天花板将变得愈发</w:t>
      </w:r>
      <w:proofErr w:type="gramStart"/>
      <w:r w:rsidRPr="00C4200C">
        <w:rPr>
          <w:rFonts w:hint="eastAsia"/>
          <w:sz w:val="21"/>
          <w:szCs w:val="21"/>
        </w:rPr>
        <w:t>坚</w:t>
      </w:r>
      <w:proofErr w:type="gramEnd"/>
      <w:r w:rsidRPr="00C4200C">
        <w:rPr>
          <w:rFonts w:hint="eastAsia"/>
          <w:sz w:val="21"/>
          <w:szCs w:val="21"/>
        </w:rPr>
        <w:t>不可催。另一方面，</w:t>
      </w:r>
      <w:r w:rsidR="00662F24" w:rsidRPr="00C4200C">
        <w:rPr>
          <w:rFonts w:hint="eastAsia"/>
          <w:sz w:val="21"/>
          <w:szCs w:val="21"/>
        </w:rPr>
        <w:t>随着消费者</w:t>
      </w:r>
      <w:r w:rsidR="00902258" w:rsidRPr="00C4200C">
        <w:rPr>
          <w:rFonts w:hint="eastAsia"/>
          <w:sz w:val="21"/>
          <w:szCs w:val="21"/>
        </w:rPr>
        <w:t>收入水平和</w:t>
      </w:r>
      <w:r w:rsidR="00662F24" w:rsidRPr="00C4200C">
        <w:rPr>
          <w:rFonts w:hint="eastAsia"/>
          <w:sz w:val="21"/>
          <w:szCs w:val="21"/>
        </w:rPr>
        <w:t>用车经验的</w:t>
      </w:r>
      <w:r w:rsidR="00902258" w:rsidRPr="00C4200C">
        <w:rPr>
          <w:rFonts w:hint="eastAsia"/>
          <w:sz w:val="21"/>
          <w:szCs w:val="21"/>
        </w:rPr>
        <w:t>不断</w:t>
      </w:r>
      <w:r w:rsidR="00662F24" w:rsidRPr="00C4200C">
        <w:rPr>
          <w:rFonts w:hint="eastAsia"/>
          <w:sz w:val="21"/>
          <w:szCs w:val="21"/>
        </w:rPr>
        <w:t>提高</w:t>
      </w:r>
      <w:r w:rsidR="00902258" w:rsidRPr="00C4200C">
        <w:rPr>
          <w:rFonts w:hint="eastAsia"/>
          <w:sz w:val="21"/>
          <w:szCs w:val="21"/>
        </w:rPr>
        <w:t>，</w:t>
      </w:r>
      <w:r w:rsidR="000C4300" w:rsidRPr="00C4200C">
        <w:rPr>
          <w:rFonts w:hint="eastAsia"/>
          <w:sz w:val="21"/>
          <w:szCs w:val="21"/>
        </w:rPr>
        <w:t>购车群体的</w:t>
      </w:r>
      <w:r w:rsidRPr="00C4200C">
        <w:rPr>
          <w:rFonts w:hint="eastAsia"/>
          <w:sz w:val="21"/>
          <w:szCs w:val="21"/>
        </w:rPr>
        <w:t>汽车观</w:t>
      </w:r>
      <w:r w:rsidR="00902258" w:rsidRPr="00C4200C">
        <w:rPr>
          <w:rFonts w:hint="eastAsia"/>
          <w:sz w:val="21"/>
          <w:szCs w:val="21"/>
        </w:rPr>
        <w:t>已经从基本的代步</w:t>
      </w:r>
      <w:r w:rsidR="00E35237" w:rsidRPr="00C4200C">
        <w:rPr>
          <w:rFonts w:hint="eastAsia"/>
          <w:sz w:val="21"/>
          <w:szCs w:val="21"/>
        </w:rPr>
        <w:t>需求</w:t>
      </w:r>
      <w:r w:rsidRPr="00C4200C">
        <w:rPr>
          <w:rFonts w:hint="eastAsia"/>
          <w:sz w:val="21"/>
          <w:szCs w:val="21"/>
        </w:rPr>
        <w:t>逐渐</w:t>
      </w:r>
      <w:r w:rsidR="00902258" w:rsidRPr="00C4200C">
        <w:rPr>
          <w:rFonts w:hint="eastAsia"/>
          <w:sz w:val="21"/>
          <w:szCs w:val="21"/>
        </w:rPr>
        <w:t>发展为体验和</w:t>
      </w:r>
      <w:proofErr w:type="gramStart"/>
      <w:r w:rsidR="00902258" w:rsidRPr="00C4200C">
        <w:rPr>
          <w:rFonts w:hint="eastAsia"/>
          <w:sz w:val="21"/>
          <w:szCs w:val="21"/>
        </w:rPr>
        <w:t>彰显</w:t>
      </w:r>
      <w:proofErr w:type="gramEnd"/>
      <w:r w:rsidR="00E35237" w:rsidRPr="00C4200C">
        <w:rPr>
          <w:rFonts w:hint="eastAsia"/>
          <w:sz w:val="21"/>
          <w:szCs w:val="21"/>
        </w:rPr>
        <w:t>需求</w:t>
      </w:r>
      <w:r w:rsidR="00902258" w:rsidRPr="00C4200C">
        <w:rPr>
          <w:rFonts w:hint="eastAsia"/>
          <w:sz w:val="21"/>
          <w:szCs w:val="21"/>
        </w:rPr>
        <w:t>，</w:t>
      </w:r>
      <w:r w:rsidR="002E084B" w:rsidRPr="00C4200C">
        <w:rPr>
          <w:rFonts w:hint="eastAsia"/>
          <w:sz w:val="21"/>
          <w:szCs w:val="21"/>
        </w:rPr>
        <w:t>对产品内在属性提出越来越高的要求，</w:t>
      </w:r>
      <w:r w:rsidRPr="00C4200C">
        <w:rPr>
          <w:rFonts w:hint="eastAsia"/>
          <w:sz w:val="21"/>
          <w:szCs w:val="21"/>
        </w:rPr>
        <w:t>特别是高端消费者。而</w:t>
      </w:r>
      <w:r w:rsidR="0008707C" w:rsidRPr="00C4200C">
        <w:rPr>
          <w:rFonts w:hint="eastAsia"/>
          <w:sz w:val="21"/>
          <w:szCs w:val="21"/>
        </w:rPr>
        <w:t>对于造车经验尚浅的自主品牌来说，相比合资在产品可靠性、耐久性、静肃性、操稳性、动力系统的开发和匹配等方面仍有巨大差距</w:t>
      </w:r>
      <w:r w:rsidRPr="00C4200C">
        <w:rPr>
          <w:rFonts w:hint="eastAsia"/>
          <w:sz w:val="21"/>
          <w:szCs w:val="21"/>
        </w:rPr>
        <w:t>，</w:t>
      </w:r>
      <w:r w:rsidR="00547333" w:rsidRPr="00C4200C">
        <w:rPr>
          <w:rFonts w:hint="eastAsia"/>
          <w:sz w:val="21"/>
          <w:szCs w:val="21"/>
        </w:rPr>
        <w:t>无疑限制了</w:t>
      </w:r>
      <w:r w:rsidR="0008707C" w:rsidRPr="00C4200C">
        <w:rPr>
          <w:rFonts w:hint="eastAsia"/>
          <w:sz w:val="21"/>
          <w:szCs w:val="21"/>
        </w:rPr>
        <w:t>其</w:t>
      </w:r>
      <w:r w:rsidR="00547333" w:rsidRPr="00C4200C">
        <w:rPr>
          <w:rFonts w:hint="eastAsia"/>
          <w:sz w:val="21"/>
          <w:szCs w:val="21"/>
        </w:rPr>
        <w:t>向上发展的空间。</w:t>
      </w:r>
    </w:p>
    <w:p w:rsidR="00284B5C" w:rsidRPr="00C4200C" w:rsidRDefault="0008707C" w:rsidP="00822BC9">
      <w:pPr>
        <w:ind w:firstLineChars="200"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综上</w:t>
      </w:r>
      <w:r w:rsidR="0068790D" w:rsidRPr="00C4200C">
        <w:rPr>
          <w:rFonts w:hint="eastAsia"/>
          <w:sz w:val="21"/>
          <w:szCs w:val="21"/>
        </w:rPr>
        <w:t>，</w:t>
      </w:r>
      <w:r w:rsidR="00822BC9" w:rsidRPr="00C4200C">
        <w:rPr>
          <w:rFonts w:hint="eastAsia"/>
          <w:sz w:val="21"/>
          <w:szCs w:val="21"/>
        </w:rPr>
        <w:t>在未来相当长时间内，自主品牌都将处在艰难上攻</w:t>
      </w:r>
      <w:r w:rsidR="00CA0B3D" w:rsidRPr="00C4200C">
        <w:rPr>
          <w:rFonts w:hint="eastAsia"/>
          <w:sz w:val="21"/>
          <w:szCs w:val="21"/>
        </w:rPr>
        <w:t>的状态</w:t>
      </w:r>
      <w:r w:rsidR="00822BC9" w:rsidRPr="00C4200C">
        <w:rPr>
          <w:rFonts w:hint="eastAsia"/>
          <w:sz w:val="21"/>
          <w:szCs w:val="21"/>
        </w:rPr>
        <w:t>，</w:t>
      </w:r>
      <w:r w:rsidRPr="00C4200C">
        <w:rPr>
          <w:rFonts w:hint="eastAsia"/>
          <w:sz w:val="21"/>
          <w:szCs w:val="21"/>
        </w:rPr>
        <w:t>对于造车经验尚浅、品牌历程尚短的自主企业来说，</w:t>
      </w:r>
      <w:r w:rsidR="00CA0B3D" w:rsidRPr="00C4200C">
        <w:rPr>
          <w:rFonts w:hint="eastAsia"/>
          <w:sz w:val="21"/>
          <w:szCs w:val="21"/>
        </w:rPr>
        <w:t>想</w:t>
      </w:r>
      <w:proofErr w:type="gramStart"/>
      <w:r w:rsidR="00CA0B3D" w:rsidRPr="00C4200C">
        <w:rPr>
          <w:rFonts w:hint="eastAsia"/>
          <w:sz w:val="21"/>
          <w:szCs w:val="21"/>
        </w:rPr>
        <w:t>走出合资</w:t>
      </w:r>
      <w:proofErr w:type="gramEnd"/>
      <w:r w:rsidR="00CA0B3D" w:rsidRPr="00C4200C">
        <w:rPr>
          <w:rFonts w:hint="eastAsia"/>
          <w:sz w:val="21"/>
          <w:szCs w:val="21"/>
        </w:rPr>
        <w:t>品牌设下的竞争迷宫</w:t>
      </w:r>
      <w:r w:rsidRPr="00C4200C">
        <w:rPr>
          <w:rFonts w:hint="eastAsia"/>
          <w:sz w:val="21"/>
          <w:szCs w:val="21"/>
        </w:rPr>
        <w:t>、赢得消费者的广泛认可</w:t>
      </w:r>
      <w:r w:rsidR="008556E6" w:rsidRPr="00C4200C">
        <w:rPr>
          <w:rFonts w:hint="eastAsia"/>
          <w:sz w:val="21"/>
          <w:szCs w:val="21"/>
        </w:rPr>
        <w:t>，要走的路还很长。</w:t>
      </w:r>
    </w:p>
    <w:p w:rsidR="006674CC" w:rsidRDefault="006674CC" w:rsidP="003B74D2">
      <w:pPr>
        <w:rPr>
          <w:rFonts w:hint="eastAsia"/>
          <w:b/>
          <w:sz w:val="28"/>
          <w:szCs w:val="21"/>
        </w:rPr>
      </w:pPr>
    </w:p>
    <w:p w:rsidR="0019603C" w:rsidRPr="003B74D2" w:rsidRDefault="003B74D2" w:rsidP="003B74D2">
      <w:pPr>
        <w:rPr>
          <w:b/>
          <w:sz w:val="28"/>
          <w:szCs w:val="21"/>
        </w:rPr>
      </w:pPr>
      <w:r>
        <w:rPr>
          <w:rFonts w:hint="eastAsia"/>
          <w:b/>
          <w:sz w:val="28"/>
          <w:szCs w:val="21"/>
        </w:rPr>
        <w:t>四、</w:t>
      </w:r>
      <w:r w:rsidR="0019603C" w:rsidRPr="003B74D2">
        <w:rPr>
          <w:rFonts w:hint="eastAsia"/>
          <w:b/>
          <w:sz w:val="28"/>
          <w:szCs w:val="21"/>
        </w:rPr>
        <w:t>自主品牌</w:t>
      </w:r>
      <w:r w:rsidR="00031A79" w:rsidRPr="003B74D2">
        <w:rPr>
          <w:rFonts w:hint="eastAsia"/>
          <w:b/>
          <w:sz w:val="28"/>
          <w:szCs w:val="21"/>
        </w:rPr>
        <w:t>未来的市场</w:t>
      </w:r>
      <w:r w:rsidR="0019603C" w:rsidRPr="003B74D2">
        <w:rPr>
          <w:rFonts w:hint="eastAsia"/>
          <w:b/>
          <w:sz w:val="28"/>
          <w:szCs w:val="21"/>
        </w:rPr>
        <w:t>机遇</w:t>
      </w:r>
    </w:p>
    <w:p w:rsidR="0019603C" w:rsidRPr="00C4200C" w:rsidRDefault="0019603C" w:rsidP="0019603C">
      <w:pPr>
        <w:rPr>
          <w:sz w:val="21"/>
          <w:szCs w:val="21"/>
        </w:rPr>
      </w:pPr>
      <w:r w:rsidRPr="00C4200C">
        <w:rPr>
          <w:rFonts w:hint="eastAsia"/>
          <w:b/>
          <w:szCs w:val="21"/>
        </w:rPr>
        <w:t xml:space="preserve"> </w:t>
      </w:r>
      <w:r w:rsidRPr="00C4200C">
        <w:rPr>
          <w:rFonts w:hint="eastAsia"/>
          <w:szCs w:val="21"/>
        </w:rPr>
        <w:t xml:space="preserve"> </w:t>
      </w:r>
      <w:r w:rsidR="00D50D1D" w:rsidRPr="00C4200C">
        <w:rPr>
          <w:rFonts w:hint="eastAsia"/>
          <w:szCs w:val="21"/>
        </w:rPr>
        <w:t xml:space="preserve"> </w:t>
      </w:r>
      <w:r w:rsidRPr="00C4200C">
        <w:rPr>
          <w:rFonts w:hint="eastAsia"/>
          <w:sz w:val="21"/>
          <w:szCs w:val="21"/>
        </w:rPr>
        <w:t>虽然面临众多的内外部困境，</w:t>
      </w:r>
      <w:r w:rsidR="00A36154" w:rsidRPr="00C4200C">
        <w:rPr>
          <w:rFonts w:hint="eastAsia"/>
          <w:sz w:val="21"/>
          <w:szCs w:val="21"/>
        </w:rPr>
        <w:t>自主企业经过十余年的探寻和摸索，特别是近几年的深度调整，发展模式、造车理念、整体实力都</w:t>
      </w:r>
      <w:r w:rsidR="00084CBD">
        <w:rPr>
          <w:rFonts w:hint="eastAsia"/>
          <w:sz w:val="21"/>
          <w:szCs w:val="21"/>
        </w:rPr>
        <w:t>正在发生</w:t>
      </w:r>
      <w:r w:rsidR="00A36154" w:rsidRPr="00C4200C">
        <w:rPr>
          <w:rFonts w:hint="eastAsia"/>
          <w:sz w:val="21"/>
          <w:szCs w:val="21"/>
        </w:rPr>
        <w:t>变化</w:t>
      </w:r>
      <w:r w:rsidR="00D50DCB" w:rsidRPr="00C4200C">
        <w:rPr>
          <w:rFonts w:hint="eastAsia"/>
          <w:sz w:val="21"/>
          <w:szCs w:val="21"/>
        </w:rPr>
        <w:t>，对市场的把握也更加熟稔，</w:t>
      </w:r>
      <w:r w:rsidR="00A36154" w:rsidRPr="00C4200C">
        <w:rPr>
          <w:rFonts w:hint="eastAsia"/>
          <w:sz w:val="21"/>
          <w:szCs w:val="21"/>
        </w:rPr>
        <w:t>应对挑战的能力</w:t>
      </w:r>
      <w:r w:rsidR="00D50DCB" w:rsidRPr="00C4200C">
        <w:rPr>
          <w:rFonts w:hint="eastAsia"/>
          <w:sz w:val="21"/>
          <w:szCs w:val="21"/>
        </w:rPr>
        <w:t>不断</w:t>
      </w:r>
      <w:r w:rsidR="00A36154" w:rsidRPr="00C4200C">
        <w:rPr>
          <w:rFonts w:hint="eastAsia"/>
          <w:sz w:val="21"/>
          <w:szCs w:val="21"/>
        </w:rPr>
        <w:t>提升。与此同时，</w:t>
      </w:r>
      <w:r w:rsidRPr="00C4200C">
        <w:rPr>
          <w:rFonts w:hint="eastAsia"/>
          <w:sz w:val="21"/>
          <w:szCs w:val="21"/>
        </w:rPr>
        <w:t>在乘用车继续普及进入家庭</w:t>
      </w:r>
      <w:r w:rsidR="00D50D1D" w:rsidRPr="00C4200C">
        <w:rPr>
          <w:rFonts w:hint="eastAsia"/>
          <w:sz w:val="21"/>
          <w:szCs w:val="21"/>
        </w:rPr>
        <w:t>、</w:t>
      </w:r>
      <w:r w:rsidRPr="00C4200C">
        <w:rPr>
          <w:rFonts w:hint="eastAsia"/>
          <w:sz w:val="21"/>
          <w:szCs w:val="21"/>
        </w:rPr>
        <w:t>需求逐渐多样化的背景下，自主</w:t>
      </w:r>
      <w:r w:rsidR="00D50D1D" w:rsidRPr="00C4200C">
        <w:rPr>
          <w:rFonts w:hint="eastAsia"/>
          <w:sz w:val="21"/>
          <w:szCs w:val="21"/>
        </w:rPr>
        <w:t>赖以生存的</w:t>
      </w:r>
      <w:r w:rsidRPr="00C4200C">
        <w:rPr>
          <w:rFonts w:hint="eastAsia"/>
          <w:sz w:val="21"/>
          <w:szCs w:val="21"/>
        </w:rPr>
        <w:t>空间将持续存在，新的市场机遇也将不断出现</w:t>
      </w:r>
      <w:r w:rsidR="00A36154" w:rsidRPr="00C4200C">
        <w:rPr>
          <w:rFonts w:hint="eastAsia"/>
          <w:sz w:val="21"/>
          <w:szCs w:val="21"/>
        </w:rPr>
        <w:t>，为自主品牌在新理念</w:t>
      </w:r>
      <w:r w:rsidR="00D50DCB" w:rsidRPr="00C4200C">
        <w:rPr>
          <w:rFonts w:hint="eastAsia"/>
          <w:sz w:val="21"/>
          <w:szCs w:val="21"/>
        </w:rPr>
        <w:t>、</w:t>
      </w:r>
      <w:r w:rsidR="00A36154" w:rsidRPr="00C4200C">
        <w:rPr>
          <w:rFonts w:hint="eastAsia"/>
          <w:sz w:val="21"/>
          <w:szCs w:val="21"/>
        </w:rPr>
        <w:t>新思路下的发展提供更多机遇。</w:t>
      </w:r>
    </w:p>
    <w:p w:rsidR="00A36154" w:rsidRPr="00C4200C" w:rsidRDefault="00A36154" w:rsidP="00A36154">
      <w:pPr>
        <w:ind w:firstLineChars="200" w:firstLine="422"/>
        <w:rPr>
          <w:sz w:val="21"/>
          <w:szCs w:val="21"/>
        </w:rPr>
      </w:pPr>
      <w:r w:rsidRPr="00C4200C">
        <w:rPr>
          <w:rFonts w:hint="eastAsia"/>
          <w:b/>
          <w:sz w:val="21"/>
          <w:szCs w:val="21"/>
        </w:rPr>
        <w:t>首先，从企业自身来看</w:t>
      </w:r>
      <w:r w:rsidRPr="00C4200C">
        <w:rPr>
          <w:rFonts w:hint="eastAsia"/>
          <w:sz w:val="21"/>
          <w:szCs w:val="21"/>
        </w:rPr>
        <w:t>，</w:t>
      </w:r>
      <w:r w:rsidRPr="00C4200C">
        <w:rPr>
          <w:rFonts w:hint="eastAsia"/>
          <w:color w:val="000000" w:themeColor="text1"/>
          <w:sz w:val="21"/>
          <w:szCs w:val="21"/>
        </w:rPr>
        <w:t>经过十多年的发展，尤其是近几年的调整，自主企业的发展模式和造车理念逐渐成熟，未来应对挑战的能力正在不断提升。</w:t>
      </w:r>
    </w:p>
    <w:p w:rsidR="00A36154" w:rsidRPr="00C4200C" w:rsidRDefault="00A36154" w:rsidP="00A36154">
      <w:pPr>
        <w:ind w:firstLineChars="200"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2011至2014年，在面临众多内外部困境情况下，自主不得不寻求改变，纷纷经历了痛苦的转型过程，发展模式从追求</w:t>
      </w:r>
      <w:r w:rsidRPr="00BC7C4E">
        <w:rPr>
          <w:sz w:val="21"/>
          <w:szCs w:val="21"/>
        </w:rPr>
        <w:t>数量增长、规模扩大、空间拓展</w:t>
      </w:r>
      <w:r w:rsidRPr="00C4200C">
        <w:rPr>
          <w:rFonts w:hint="eastAsia"/>
          <w:sz w:val="21"/>
          <w:szCs w:val="21"/>
        </w:rPr>
        <w:t>的外延式发展逐渐转向追求质量和价值增值的内涵式发展。放弃逆向开发的造车模式，学习并应用科学严谨的正向研发流程，以需求为导向，深入</w:t>
      </w:r>
      <w:r w:rsidRPr="00C4200C">
        <w:rPr>
          <w:sz w:val="21"/>
          <w:szCs w:val="21"/>
        </w:rPr>
        <w:t>挖掘消费者</w:t>
      </w:r>
      <w:r w:rsidRPr="00C4200C">
        <w:rPr>
          <w:rFonts w:hint="eastAsia"/>
          <w:sz w:val="21"/>
          <w:szCs w:val="21"/>
        </w:rPr>
        <w:t>偏好和</w:t>
      </w:r>
      <w:r w:rsidRPr="00C4200C">
        <w:rPr>
          <w:sz w:val="21"/>
          <w:szCs w:val="21"/>
        </w:rPr>
        <w:t>核心</w:t>
      </w:r>
      <w:r w:rsidRPr="00C4200C">
        <w:rPr>
          <w:rFonts w:hint="eastAsia"/>
          <w:sz w:val="21"/>
          <w:szCs w:val="21"/>
        </w:rPr>
        <w:t>诉求，</w:t>
      </w:r>
      <w:r w:rsidRPr="00C4200C">
        <w:rPr>
          <w:sz w:val="21"/>
          <w:szCs w:val="21"/>
        </w:rPr>
        <w:t>集中力量</w:t>
      </w:r>
      <w:r w:rsidRPr="00C4200C">
        <w:rPr>
          <w:rFonts w:hint="eastAsia"/>
          <w:sz w:val="21"/>
          <w:szCs w:val="21"/>
        </w:rPr>
        <w:t>发展核心技术、开拓新兴市场、</w:t>
      </w:r>
      <w:r w:rsidRPr="00C4200C">
        <w:rPr>
          <w:sz w:val="21"/>
          <w:szCs w:val="21"/>
        </w:rPr>
        <w:t>打造明星产品</w:t>
      </w:r>
      <w:r w:rsidRPr="00C4200C">
        <w:rPr>
          <w:rFonts w:hint="eastAsia"/>
          <w:sz w:val="21"/>
          <w:szCs w:val="21"/>
        </w:rPr>
        <w:t>，这些动作正在帮助自主企业甩掉历史包袱，步入良性循环。从短期来看，调整已经见效，在新技术、新产品、新市场的带动下，一批企业和产品脱颖而出，引领自主份额出现反弹。</w:t>
      </w:r>
    </w:p>
    <w:p w:rsidR="00A36154" w:rsidRPr="00C4200C" w:rsidRDefault="00A36154" w:rsidP="00A36154">
      <w:pPr>
        <w:ind w:firstLineChars="200" w:firstLine="420"/>
        <w:rPr>
          <w:sz w:val="20"/>
          <w:szCs w:val="21"/>
        </w:rPr>
      </w:pPr>
      <w:r w:rsidRPr="00C4200C">
        <w:rPr>
          <w:rFonts w:hint="eastAsia"/>
          <w:sz w:val="21"/>
          <w:szCs w:val="21"/>
        </w:rPr>
        <w:t>长城汽车：聚焦战略的代表。</w:t>
      </w:r>
      <w:r w:rsidRPr="00C4200C">
        <w:rPr>
          <w:sz w:val="21"/>
          <w:szCs w:val="21"/>
        </w:rPr>
        <w:t>2009年</w:t>
      </w:r>
      <w:r w:rsidRPr="00C4200C">
        <w:rPr>
          <w:rFonts w:hint="eastAsia"/>
          <w:sz w:val="21"/>
          <w:szCs w:val="21"/>
        </w:rPr>
        <w:t>确立发展</w:t>
      </w:r>
      <w:r w:rsidRPr="00C4200C">
        <w:rPr>
          <w:sz w:val="21"/>
          <w:szCs w:val="21"/>
        </w:rPr>
        <w:t>SUV、轿车、皮卡三大品类</w:t>
      </w:r>
      <w:r w:rsidRPr="00C4200C">
        <w:rPr>
          <w:rFonts w:hint="eastAsia"/>
          <w:sz w:val="21"/>
          <w:szCs w:val="21"/>
        </w:rPr>
        <w:t>的战略，谋划实现轿车和SUV两条产品线、两条独立渠道，但在扩张的过程中遇到资源瓶颈，2014年宣布暂时放弃轿车、转而聚焦SUV。随着聚焦战略的实施，资源的集中带来了生产和研发的高效，长城在很短的时间内完善了自身的SUV产品矩阵：H1、</w:t>
      </w:r>
      <w:r w:rsidRPr="00C4200C">
        <w:rPr>
          <w:sz w:val="21"/>
          <w:szCs w:val="21"/>
        </w:rPr>
        <w:t>H2、H5、H6、H7、H8和H9</w:t>
      </w:r>
      <w:r w:rsidRPr="00C4200C">
        <w:rPr>
          <w:rFonts w:hint="eastAsia"/>
          <w:sz w:val="21"/>
          <w:szCs w:val="21"/>
        </w:rPr>
        <w:t>共7</w:t>
      </w:r>
      <w:r w:rsidRPr="00C4200C">
        <w:rPr>
          <w:sz w:val="21"/>
          <w:szCs w:val="21"/>
        </w:rPr>
        <w:t>款车型</w:t>
      </w:r>
      <w:r w:rsidRPr="00C4200C">
        <w:rPr>
          <w:rFonts w:hint="eastAsia"/>
          <w:sz w:val="21"/>
          <w:szCs w:val="21"/>
        </w:rPr>
        <w:t>，成为国内SUV快速发展的最大受益者。</w:t>
      </w:r>
    </w:p>
    <w:p w:rsidR="00A36154" w:rsidRPr="00C4200C" w:rsidRDefault="00FB7FDE" w:rsidP="00F02FCE">
      <w:pPr>
        <w:ind w:firstLineChars="200"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长安汽车：重视技术和</w:t>
      </w:r>
      <w:r w:rsidR="00A36154" w:rsidRPr="00C4200C">
        <w:rPr>
          <w:rFonts w:hint="eastAsia"/>
          <w:sz w:val="21"/>
          <w:szCs w:val="21"/>
        </w:rPr>
        <w:t>研发的代表。长安汽车在自主品牌中一直以研发见长，</w:t>
      </w:r>
      <w:r w:rsidR="00F02FCE" w:rsidRPr="00C4200C">
        <w:rPr>
          <w:rFonts w:hint="eastAsia"/>
          <w:sz w:val="21"/>
          <w:szCs w:val="21"/>
        </w:rPr>
        <w:t>长期坚持在研发上大力投入、深耕细作</w:t>
      </w:r>
      <w:r w:rsidR="00A36154" w:rsidRPr="00C4200C">
        <w:rPr>
          <w:rFonts w:hint="eastAsia"/>
          <w:sz w:val="21"/>
          <w:szCs w:val="21"/>
        </w:rPr>
        <w:t>。过去五年，长安汽车共投入</w:t>
      </w:r>
      <w:r w:rsidR="00A36154" w:rsidRPr="00C4200C">
        <w:rPr>
          <w:sz w:val="21"/>
          <w:szCs w:val="21"/>
        </w:rPr>
        <w:t>160多亿元用于研发，</w:t>
      </w:r>
      <w:r w:rsidR="00A36154" w:rsidRPr="00C4200C">
        <w:rPr>
          <w:rFonts w:hint="eastAsia"/>
          <w:sz w:val="21"/>
          <w:szCs w:val="21"/>
        </w:rPr>
        <w:t>目前长安已经在“五国九地”设有研发基地。正是这种持续多年的投入，使得近两年长安汽车</w:t>
      </w:r>
      <w:r w:rsidR="00F02FCE" w:rsidRPr="00C4200C">
        <w:rPr>
          <w:rFonts w:hint="eastAsia"/>
          <w:sz w:val="21"/>
          <w:szCs w:val="21"/>
        </w:rPr>
        <w:t>明星产品频出，</w:t>
      </w:r>
      <w:r w:rsidR="00A36154" w:rsidRPr="00C4200C">
        <w:rPr>
          <w:rFonts w:hint="eastAsia"/>
          <w:sz w:val="21"/>
          <w:szCs w:val="21"/>
        </w:rPr>
        <w:t>在自主品牌中迅速崛起，</w:t>
      </w:r>
      <w:r w:rsidR="00A36154" w:rsidRPr="00C4200C">
        <w:rPr>
          <w:sz w:val="21"/>
          <w:szCs w:val="21"/>
        </w:rPr>
        <w:t>2011年长安自主乘用车销量只有2</w:t>
      </w:r>
      <w:r w:rsidR="00A36154" w:rsidRPr="00C4200C">
        <w:rPr>
          <w:rFonts w:hint="eastAsia"/>
          <w:sz w:val="21"/>
          <w:szCs w:val="21"/>
        </w:rPr>
        <w:t>0.3</w:t>
      </w:r>
      <w:r w:rsidR="00A36154" w:rsidRPr="00C4200C">
        <w:rPr>
          <w:sz w:val="21"/>
          <w:szCs w:val="21"/>
        </w:rPr>
        <w:t>万辆,仅用了三年时间，2014年就达</w:t>
      </w:r>
      <w:r w:rsidR="00F02FCE" w:rsidRPr="00C4200C">
        <w:rPr>
          <w:rFonts w:hint="eastAsia"/>
          <w:sz w:val="21"/>
          <w:szCs w:val="21"/>
        </w:rPr>
        <w:t>到</w:t>
      </w:r>
      <w:r w:rsidR="00A36154" w:rsidRPr="00C4200C">
        <w:rPr>
          <w:sz w:val="21"/>
          <w:szCs w:val="21"/>
        </w:rPr>
        <w:t>5</w:t>
      </w:r>
      <w:r w:rsidR="00A36154" w:rsidRPr="00C4200C">
        <w:rPr>
          <w:rFonts w:hint="eastAsia"/>
          <w:sz w:val="21"/>
          <w:szCs w:val="21"/>
        </w:rPr>
        <w:t>1.5</w:t>
      </w:r>
      <w:r w:rsidR="00A36154" w:rsidRPr="00C4200C">
        <w:rPr>
          <w:sz w:val="21"/>
          <w:szCs w:val="21"/>
        </w:rPr>
        <w:t>万辆。</w:t>
      </w:r>
      <w:r w:rsidR="00A36154" w:rsidRPr="00C4200C">
        <w:rPr>
          <w:rFonts w:hint="eastAsia"/>
          <w:sz w:val="21"/>
          <w:szCs w:val="21"/>
        </w:rPr>
        <w:t>产品</w:t>
      </w:r>
      <w:r w:rsidR="0041262B" w:rsidRPr="00C4200C">
        <w:rPr>
          <w:rFonts w:hint="eastAsia"/>
          <w:sz w:val="21"/>
          <w:szCs w:val="21"/>
        </w:rPr>
        <w:t>方面</w:t>
      </w:r>
      <w:r w:rsidR="00A36154" w:rsidRPr="00C4200C">
        <w:rPr>
          <w:rFonts w:hint="eastAsia"/>
          <w:sz w:val="21"/>
          <w:szCs w:val="21"/>
        </w:rPr>
        <w:t>，长安CS75</w:t>
      </w:r>
      <w:r w:rsidR="0041262B" w:rsidRPr="00C4200C">
        <w:rPr>
          <w:rFonts w:hint="eastAsia"/>
          <w:sz w:val="21"/>
          <w:szCs w:val="21"/>
        </w:rPr>
        <w:t>、</w:t>
      </w:r>
      <w:r w:rsidR="00A36154" w:rsidRPr="00C4200C">
        <w:rPr>
          <w:rFonts w:hint="eastAsia"/>
          <w:sz w:val="21"/>
          <w:szCs w:val="21"/>
        </w:rPr>
        <w:t>逸动等车型已成为自主</w:t>
      </w:r>
      <w:r w:rsidR="0041262B" w:rsidRPr="00C4200C">
        <w:rPr>
          <w:rFonts w:hint="eastAsia"/>
          <w:sz w:val="21"/>
          <w:szCs w:val="21"/>
        </w:rPr>
        <w:t>乘用车市场</w:t>
      </w:r>
      <w:r w:rsidR="00A36154" w:rsidRPr="00C4200C">
        <w:rPr>
          <w:rFonts w:hint="eastAsia"/>
          <w:sz w:val="21"/>
          <w:szCs w:val="21"/>
        </w:rPr>
        <w:t>的标杆。</w:t>
      </w:r>
    </w:p>
    <w:p w:rsidR="00A36154" w:rsidRPr="00C4200C" w:rsidRDefault="00A36154" w:rsidP="0041262B">
      <w:pPr>
        <w:ind w:firstLineChars="200"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吉利汽车：回归一个吉利。2014年，吉利在经历了此前的</w:t>
      </w:r>
      <w:proofErr w:type="gramStart"/>
      <w:r w:rsidRPr="00C4200C">
        <w:rPr>
          <w:rFonts w:hint="eastAsia"/>
          <w:sz w:val="21"/>
          <w:szCs w:val="21"/>
        </w:rPr>
        <w:t>分品牌</w:t>
      </w:r>
      <w:proofErr w:type="gramEnd"/>
      <w:r w:rsidRPr="00C4200C">
        <w:rPr>
          <w:rFonts w:hint="eastAsia"/>
          <w:sz w:val="21"/>
          <w:szCs w:val="21"/>
        </w:rPr>
        <w:t>战略扩张失利后，宣布回归一个吉利，全球鹰、帝豪和英伦品牌将全部回归到吉利汽车的品牌下，在全新的品牌框架下，形成熊猫系列、金刚系列、远景系列、帝</w:t>
      </w:r>
      <w:proofErr w:type="gramStart"/>
      <w:r w:rsidRPr="00C4200C">
        <w:rPr>
          <w:rFonts w:hint="eastAsia"/>
          <w:sz w:val="21"/>
          <w:szCs w:val="21"/>
        </w:rPr>
        <w:t>豪系列</w:t>
      </w:r>
      <w:proofErr w:type="gramEnd"/>
      <w:r w:rsidRPr="00C4200C">
        <w:rPr>
          <w:rFonts w:hint="eastAsia"/>
          <w:sz w:val="21"/>
          <w:szCs w:val="21"/>
        </w:rPr>
        <w:t>以及博</w:t>
      </w:r>
      <w:proofErr w:type="gramStart"/>
      <w:r w:rsidRPr="00C4200C">
        <w:rPr>
          <w:rFonts w:hint="eastAsia"/>
          <w:sz w:val="21"/>
          <w:szCs w:val="21"/>
        </w:rPr>
        <w:t>瑞系列</w:t>
      </w:r>
      <w:proofErr w:type="gramEnd"/>
      <w:r w:rsidRPr="00C4200C">
        <w:rPr>
          <w:rFonts w:hint="eastAsia"/>
          <w:sz w:val="21"/>
          <w:szCs w:val="21"/>
        </w:rPr>
        <w:t>共</w:t>
      </w:r>
      <w:r w:rsidRPr="00C4200C">
        <w:rPr>
          <w:sz w:val="21"/>
          <w:szCs w:val="21"/>
        </w:rPr>
        <w:t>5</w:t>
      </w:r>
      <w:r w:rsidR="0041262B" w:rsidRPr="00C4200C">
        <w:rPr>
          <w:sz w:val="21"/>
          <w:szCs w:val="21"/>
        </w:rPr>
        <w:t>大轿车产品体系</w:t>
      </w:r>
      <w:r w:rsidR="0041262B" w:rsidRPr="00C4200C">
        <w:rPr>
          <w:rFonts w:hint="eastAsia"/>
          <w:sz w:val="21"/>
          <w:szCs w:val="21"/>
        </w:rPr>
        <w:t>，新的平台战略也正在积极酝酿</w:t>
      </w:r>
      <w:r w:rsidRPr="00C4200C">
        <w:rPr>
          <w:sz w:val="21"/>
          <w:szCs w:val="21"/>
        </w:rPr>
        <w:t>。</w:t>
      </w:r>
      <w:r w:rsidRPr="00C4200C">
        <w:rPr>
          <w:rFonts w:hint="eastAsia"/>
          <w:sz w:val="21"/>
          <w:szCs w:val="21"/>
        </w:rPr>
        <w:t>此外，吉利还重整渠道，将之前的全球鹰、帝豪和英伦三个渠道进行整合，消费者可在吉利经销商处购买到吉利全部车型。经过调整，吉利在2015年获得了快速发展，1-5月销量20.5万辆，同比增长59.5%。而且全系B</w:t>
      </w:r>
      <w:proofErr w:type="gramStart"/>
      <w:r w:rsidRPr="00C4200C">
        <w:rPr>
          <w:rFonts w:hint="eastAsia"/>
          <w:sz w:val="21"/>
          <w:szCs w:val="21"/>
        </w:rPr>
        <w:t>级车博瑞</w:t>
      </w:r>
      <w:proofErr w:type="gramEnd"/>
      <w:r w:rsidRPr="00C4200C">
        <w:rPr>
          <w:rFonts w:hint="eastAsia"/>
          <w:sz w:val="21"/>
          <w:szCs w:val="21"/>
        </w:rPr>
        <w:t>也获得市场的高度关注，有望成为自主向上突破的标杆。</w:t>
      </w:r>
    </w:p>
    <w:p w:rsidR="0019603C" w:rsidRPr="00C4200C" w:rsidRDefault="007A0B96" w:rsidP="0019603C">
      <w:pPr>
        <w:ind w:firstLineChars="200" w:firstLine="422"/>
        <w:rPr>
          <w:sz w:val="21"/>
          <w:szCs w:val="21"/>
        </w:rPr>
      </w:pPr>
      <w:r w:rsidRPr="00C4200C">
        <w:rPr>
          <w:rFonts w:hint="eastAsia"/>
          <w:b/>
          <w:sz w:val="21"/>
          <w:szCs w:val="21"/>
        </w:rPr>
        <w:t>其次，</w:t>
      </w:r>
      <w:r w:rsidR="0019603C" w:rsidRPr="00C4200C">
        <w:rPr>
          <w:rFonts w:hint="eastAsia"/>
          <w:b/>
          <w:sz w:val="21"/>
          <w:szCs w:val="21"/>
        </w:rPr>
        <w:t>从市场来看</w:t>
      </w:r>
      <w:r w:rsidR="0019603C" w:rsidRPr="00C4200C">
        <w:rPr>
          <w:rFonts w:hint="eastAsia"/>
          <w:sz w:val="21"/>
          <w:szCs w:val="21"/>
        </w:rPr>
        <w:t>：</w:t>
      </w:r>
    </w:p>
    <w:p w:rsidR="0019603C" w:rsidRPr="00BC7C4E" w:rsidRDefault="0019603C" w:rsidP="0019603C">
      <w:pPr>
        <w:ind w:firstLineChars="200"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1)</w:t>
      </w:r>
      <w:r w:rsidRPr="00BC7C4E">
        <w:rPr>
          <w:rFonts w:hint="eastAsia"/>
          <w:sz w:val="21"/>
          <w:szCs w:val="21"/>
        </w:rPr>
        <w:t>自主赖以生存的市场空间将持续存在</w:t>
      </w:r>
    </w:p>
    <w:p w:rsidR="007A0B96" w:rsidRPr="00BC7C4E" w:rsidRDefault="0019603C" w:rsidP="00BC7C4E">
      <w:pPr>
        <w:ind w:firstLineChars="200" w:firstLine="420"/>
        <w:rPr>
          <w:sz w:val="21"/>
          <w:szCs w:val="21"/>
        </w:rPr>
      </w:pPr>
      <w:r w:rsidRPr="00BC7C4E">
        <w:rPr>
          <w:rFonts w:hint="eastAsia"/>
          <w:sz w:val="21"/>
          <w:szCs w:val="21"/>
        </w:rPr>
        <w:t>近年来，</w:t>
      </w:r>
      <w:r w:rsidRPr="00BC7C4E">
        <w:rPr>
          <w:rFonts w:hint="eastAsia"/>
          <w:color w:val="000000" w:themeColor="text1"/>
          <w:sz w:val="21"/>
          <w:szCs w:val="21"/>
        </w:rPr>
        <w:t>自主品牌的销量迅速向</w:t>
      </w:r>
      <w:r w:rsidRPr="00BC7C4E">
        <w:rPr>
          <w:sz w:val="21"/>
          <w:szCs w:val="21"/>
        </w:rPr>
        <w:t>5-15</w:t>
      </w:r>
      <w:r w:rsidR="007A0B96" w:rsidRPr="00BC7C4E">
        <w:rPr>
          <w:sz w:val="21"/>
          <w:szCs w:val="21"/>
        </w:rPr>
        <w:t>万</w:t>
      </w:r>
      <w:r w:rsidRPr="00BC7C4E">
        <w:rPr>
          <w:rFonts w:hint="eastAsia"/>
          <w:sz w:val="21"/>
          <w:szCs w:val="21"/>
        </w:rPr>
        <w:t>集中，已经成为自主赖以生存的市场</w:t>
      </w:r>
      <w:r w:rsidR="007A0B96" w:rsidRPr="00BC7C4E">
        <w:rPr>
          <w:rFonts w:hint="eastAsia"/>
          <w:sz w:val="21"/>
          <w:szCs w:val="21"/>
        </w:rPr>
        <w:t>。而从发展趋势来看，来较长时间内，</w:t>
      </w:r>
      <w:r w:rsidR="007A0B96" w:rsidRPr="00BC7C4E">
        <w:rPr>
          <w:sz w:val="21"/>
          <w:szCs w:val="21"/>
        </w:rPr>
        <w:t>5-15万</w:t>
      </w:r>
      <w:r w:rsidR="007A0B96" w:rsidRPr="00BC7C4E">
        <w:rPr>
          <w:rFonts w:hint="eastAsia"/>
          <w:sz w:val="21"/>
          <w:szCs w:val="21"/>
        </w:rPr>
        <w:t>都将是整体市场的绝对主力，为自主品牌生存提供持续发展的空间。</w:t>
      </w:r>
    </w:p>
    <w:p w:rsidR="0019603C" w:rsidRPr="00C016F1" w:rsidRDefault="0019603C" w:rsidP="00C016F1">
      <w:pPr>
        <w:jc w:val="center"/>
        <w:rPr>
          <w:b/>
          <w:sz w:val="21"/>
          <w:szCs w:val="21"/>
        </w:rPr>
      </w:pPr>
      <w:r w:rsidRPr="00C016F1">
        <w:rPr>
          <w:rFonts w:hint="eastAsia"/>
          <w:b/>
          <w:sz w:val="21"/>
          <w:szCs w:val="21"/>
        </w:rPr>
        <w:t>图</w:t>
      </w:r>
      <w:r w:rsidR="004A639F" w:rsidRPr="00C016F1">
        <w:rPr>
          <w:rFonts w:hint="eastAsia"/>
          <w:b/>
          <w:sz w:val="21"/>
          <w:szCs w:val="21"/>
        </w:rPr>
        <w:t>7</w:t>
      </w:r>
      <w:r w:rsidR="0066262C" w:rsidRPr="00C016F1">
        <w:rPr>
          <w:rFonts w:hint="eastAsia"/>
          <w:b/>
          <w:sz w:val="21"/>
          <w:szCs w:val="21"/>
        </w:rPr>
        <w:t xml:space="preserve"> </w:t>
      </w:r>
      <w:r w:rsidRPr="00C016F1">
        <w:rPr>
          <w:rFonts w:hint="eastAsia"/>
          <w:b/>
          <w:sz w:val="21"/>
          <w:szCs w:val="21"/>
        </w:rPr>
        <w:t>自主</w:t>
      </w:r>
      <w:r w:rsidR="00D60353" w:rsidRPr="00C016F1">
        <w:rPr>
          <w:rFonts w:hint="eastAsia"/>
          <w:b/>
          <w:sz w:val="21"/>
          <w:szCs w:val="21"/>
        </w:rPr>
        <w:t>乘用车</w:t>
      </w:r>
      <w:proofErr w:type="gramStart"/>
      <w:r w:rsidR="00D60353" w:rsidRPr="00C016F1">
        <w:rPr>
          <w:rFonts w:hint="eastAsia"/>
          <w:b/>
          <w:sz w:val="21"/>
          <w:szCs w:val="21"/>
        </w:rPr>
        <w:t>分指导</w:t>
      </w:r>
      <w:proofErr w:type="gramEnd"/>
      <w:r w:rsidR="00D60353" w:rsidRPr="00C016F1">
        <w:rPr>
          <w:rFonts w:hint="eastAsia"/>
          <w:b/>
          <w:sz w:val="21"/>
          <w:szCs w:val="21"/>
        </w:rPr>
        <w:t>价价位</w:t>
      </w:r>
      <w:r w:rsidRPr="00C016F1">
        <w:rPr>
          <w:rFonts w:hint="eastAsia"/>
          <w:b/>
          <w:sz w:val="21"/>
          <w:szCs w:val="21"/>
        </w:rPr>
        <w:t>结构</w:t>
      </w:r>
      <w:r w:rsidR="00D60353" w:rsidRPr="00C016F1">
        <w:rPr>
          <w:rFonts w:hint="eastAsia"/>
          <w:b/>
          <w:sz w:val="21"/>
          <w:szCs w:val="21"/>
        </w:rPr>
        <w:t>变化</w:t>
      </w:r>
    </w:p>
    <w:p w:rsidR="0019603C" w:rsidRPr="00C4200C" w:rsidRDefault="0019603C" w:rsidP="0019603C">
      <w:pPr>
        <w:rPr>
          <w:sz w:val="21"/>
          <w:szCs w:val="21"/>
        </w:rPr>
      </w:pPr>
      <w:r w:rsidRPr="00C4200C">
        <w:rPr>
          <w:noProof/>
          <w:sz w:val="21"/>
          <w:szCs w:val="21"/>
        </w:rPr>
        <w:lastRenderedPageBreak/>
        <w:drawing>
          <wp:inline distT="0" distB="0" distL="0" distR="0" wp14:anchorId="6BCC1018" wp14:editId="0E924E1A">
            <wp:extent cx="5270740" cy="1923690"/>
            <wp:effectExtent l="0" t="0" r="25400" b="1968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9603C" w:rsidRPr="00C016F1" w:rsidRDefault="0019603C" w:rsidP="00C016F1">
      <w:pPr>
        <w:jc w:val="center"/>
        <w:rPr>
          <w:b/>
          <w:sz w:val="21"/>
          <w:szCs w:val="21"/>
        </w:rPr>
      </w:pPr>
      <w:r w:rsidRPr="00C016F1">
        <w:rPr>
          <w:rFonts w:hint="eastAsia"/>
          <w:b/>
          <w:sz w:val="21"/>
          <w:szCs w:val="21"/>
        </w:rPr>
        <w:t>图</w:t>
      </w:r>
      <w:r w:rsidR="004A639F" w:rsidRPr="00C016F1">
        <w:rPr>
          <w:rFonts w:hint="eastAsia"/>
          <w:b/>
          <w:sz w:val="21"/>
          <w:szCs w:val="21"/>
        </w:rPr>
        <w:t>8</w:t>
      </w:r>
      <w:r w:rsidR="0066262C" w:rsidRPr="00C016F1">
        <w:rPr>
          <w:rFonts w:hint="eastAsia"/>
          <w:b/>
          <w:sz w:val="21"/>
          <w:szCs w:val="21"/>
        </w:rPr>
        <w:t xml:space="preserve"> </w:t>
      </w:r>
      <w:r w:rsidRPr="00C016F1">
        <w:rPr>
          <w:rFonts w:hint="eastAsia"/>
          <w:b/>
          <w:sz w:val="21"/>
          <w:szCs w:val="21"/>
        </w:rPr>
        <w:t>狭义乘用车按</w:t>
      </w:r>
      <w:proofErr w:type="gramStart"/>
      <w:r w:rsidRPr="00C016F1">
        <w:rPr>
          <w:rFonts w:hint="eastAsia"/>
          <w:b/>
          <w:sz w:val="21"/>
          <w:szCs w:val="21"/>
        </w:rPr>
        <w:t>指导价分价位</w:t>
      </w:r>
      <w:proofErr w:type="gramEnd"/>
      <w:r w:rsidRPr="00C016F1">
        <w:rPr>
          <w:rFonts w:hint="eastAsia"/>
          <w:b/>
          <w:sz w:val="21"/>
          <w:szCs w:val="21"/>
        </w:rPr>
        <w:t>份额结构</w:t>
      </w:r>
    </w:p>
    <w:p w:rsidR="0019603C" w:rsidRPr="00C4200C" w:rsidRDefault="0019603C" w:rsidP="0019603C">
      <w:pPr>
        <w:rPr>
          <w:sz w:val="21"/>
          <w:szCs w:val="21"/>
        </w:rPr>
      </w:pPr>
      <w:r w:rsidRPr="00C4200C">
        <w:rPr>
          <w:noProof/>
          <w:sz w:val="21"/>
          <w:szCs w:val="21"/>
        </w:rPr>
        <w:drawing>
          <wp:inline distT="0" distB="0" distL="0" distR="0" wp14:anchorId="1DCAE5C8" wp14:editId="0BDDF530">
            <wp:extent cx="5267325" cy="1962150"/>
            <wp:effectExtent l="0" t="0" r="9525" b="1905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9603C" w:rsidRPr="00C4200C" w:rsidRDefault="0019603C" w:rsidP="007A0B96">
      <w:pPr>
        <w:ind w:firstLineChars="200"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2) 5-15万需求结构正在发生变化，传统</w:t>
      </w:r>
      <w:r w:rsidR="007A0B96" w:rsidRPr="00C4200C">
        <w:rPr>
          <w:rFonts w:hint="eastAsia"/>
          <w:sz w:val="21"/>
          <w:szCs w:val="21"/>
        </w:rPr>
        <w:t>轿车</w:t>
      </w:r>
      <w:r w:rsidRPr="00C4200C">
        <w:rPr>
          <w:rFonts w:hint="eastAsia"/>
          <w:sz w:val="21"/>
          <w:szCs w:val="21"/>
        </w:rPr>
        <w:t>市场萎缩、新的需求和市场正在兴起，自主品牌已经取得一定的成绩，未来如果能及时把握市场需求的变化，深入洞察消费者的潜在需求，仍然还有很多市场机会助其</w:t>
      </w:r>
      <w:r w:rsidR="007A0B96" w:rsidRPr="00C4200C">
        <w:rPr>
          <w:rFonts w:hint="eastAsia"/>
          <w:sz w:val="21"/>
          <w:szCs w:val="21"/>
        </w:rPr>
        <w:t>成功逆袭。</w:t>
      </w:r>
    </w:p>
    <w:p w:rsidR="0019603C" w:rsidRPr="00C4200C" w:rsidRDefault="004A639F" w:rsidP="008519A1">
      <w:pPr>
        <w:jc w:val="center"/>
        <w:rPr>
          <w:sz w:val="21"/>
          <w:szCs w:val="21"/>
        </w:rPr>
      </w:pPr>
      <w:r w:rsidRPr="00C016F1">
        <w:rPr>
          <w:rFonts w:hint="eastAsia"/>
          <w:b/>
          <w:sz w:val="21"/>
          <w:szCs w:val="21"/>
        </w:rPr>
        <w:t xml:space="preserve">图9 </w:t>
      </w:r>
      <w:r w:rsidR="00A77C06" w:rsidRPr="00C016F1">
        <w:rPr>
          <w:rFonts w:hint="eastAsia"/>
          <w:b/>
          <w:sz w:val="21"/>
          <w:szCs w:val="21"/>
        </w:rPr>
        <w:t>自主</w:t>
      </w:r>
      <w:r w:rsidR="00A77C06" w:rsidRPr="00C016F1">
        <w:rPr>
          <w:b/>
          <w:sz w:val="21"/>
          <w:szCs w:val="21"/>
        </w:rPr>
        <w:t>5-15万市场分车型销量占比</w:t>
      </w:r>
      <w:r w:rsidR="00A77C06" w:rsidRPr="00C4200C">
        <w:rPr>
          <w:noProof/>
          <w:sz w:val="21"/>
          <w:szCs w:val="21"/>
        </w:rPr>
        <w:drawing>
          <wp:inline distT="0" distB="0" distL="0" distR="0" wp14:anchorId="5D13E982" wp14:editId="5FF20D78">
            <wp:extent cx="5270740" cy="1699404"/>
            <wp:effectExtent l="0" t="0" r="25400" b="15240"/>
            <wp:docPr id="22" name="图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9603C" w:rsidRPr="00D4035A" w:rsidRDefault="00C709F8" w:rsidP="00C709F8">
      <w:pPr>
        <w:ind w:firstLineChars="200" w:firstLine="420"/>
        <w:rPr>
          <w:color w:val="000000" w:themeColor="text1"/>
          <w:sz w:val="21"/>
          <w:szCs w:val="21"/>
        </w:rPr>
      </w:pPr>
      <w:r w:rsidRPr="00D4035A">
        <w:rPr>
          <w:rFonts w:hint="eastAsia"/>
          <w:color w:val="000000" w:themeColor="text1"/>
          <w:sz w:val="21"/>
          <w:szCs w:val="21"/>
        </w:rPr>
        <w:t>从需求、供给和竞争环境来看，未来3年内，自主品牌在5-15万SUV和MPV市场都将保持持续高速增长。</w:t>
      </w:r>
    </w:p>
    <w:p w:rsidR="00D50DCB" w:rsidRPr="00C4200C" w:rsidRDefault="009F3A8F" w:rsidP="00865622">
      <w:pPr>
        <w:ind w:firstLineChars="200" w:firstLine="420"/>
      </w:pPr>
      <w:r w:rsidRPr="00C4200C">
        <w:rPr>
          <w:rFonts w:hint="eastAsia"/>
          <w:sz w:val="21"/>
          <w:szCs w:val="21"/>
        </w:rPr>
        <w:t>需求方面</w:t>
      </w:r>
      <w:r w:rsidR="00734BE0" w:rsidRPr="00C4200C">
        <w:rPr>
          <w:rFonts w:hint="eastAsia"/>
          <w:sz w:val="21"/>
          <w:szCs w:val="21"/>
        </w:rPr>
        <w:t>，国内消费者普遍偏好SUV，</w:t>
      </w:r>
      <w:r w:rsidR="00865622" w:rsidRPr="00C4200C">
        <w:rPr>
          <w:rFonts w:hint="eastAsia"/>
          <w:sz w:val="21"/>
          <w:szCs w:val="21"/>
        </w:rPr>
        <w:t>5-15万市场一直有旺盛的潜在需求，特别是</w:t>
      </w:r>
      <w:r w:rsidR="00D50DCB" w:rsidRPr="00C4200C">
        <w:rPr>
          <w:rFonts w:hint="eastAsia"/>
          <w:sz w:val="21"/>
          <w:szCs w:val="21"/>
        </w:rPr>
        <w:t>随着85后、90后年轻低收入群体逐渐成为购车主体，未来</w:t>
      </w:r>
      <w:r w:rsidR="00865622" w:rsidRPr="00C4200C">
        <w:rPr>
          <w:rFonts w:hint="eastAsia"/>
          <w:sz w:val="21"/>
          <w:szCs w:val="21"/>
        </w:rPr>
        <w:t>以时尚个性为卖点的自主小型、紧凑型</w:t>
      </w:r>
      <w:r w:rsidR="00D50DCB" w:rsidRPr="00C4200C">
        <w:rPr>
          <w:rFonts w:hint="eastAsia"/>
          <w:sz w:val="21"/>
          <w:szCs w:val="21"/>
        </w:rPr>
        <w:t>SUV</w:t>
      </w:r>
      <w:r w:rsidR="00865622" w:rsidRPr="00C4200C">
        <w:rPr>
          <w:rFonts w:hint="eastAsia"/>
          <w:sz w:val="21"/>
          <w:szCs w:val="21"/>
        </w:rPr>
        <w:t>将有望</w:t>
      </w:r>
      <w:r w:rsidR="00D50DCB" w:rsidRPr="00C4200C">
        <w:rPr>
          <w:rFonts w:hint="eastAsia"/>
          <w:sz w:val="21"/>
          <w:szCs w:val="21"/>
        </w:rPr>
        <w:t>保持快速发展势头</w:t>
      </w:r>
      <w:r w:rsidR="00865622" w:rsidRPr="00C4200C">
        <w:rPr>
          <w:rFonts w:hint="eastAsia"/>
          <w:sz w:val="21"/>
          <w:szCs w:val="21"/>
        </w:rPr>
        <w:t>；</w:t>
      </w:r>
      <w:r w:rsidR="00815549" w:rsidRPr="00C4200C">
        <w:rPr>
          <w:rFonts w:hint="eastAsia"/>
          <w:sz w:val="21"/>
          <w:szCs w:val="21"/>
        </w:rPr>
        <w:t>同时，随着</w:t>
      </w:r>
      <w:r w:rsidR="00865622" w:rsidRPr="00C4200C">
        <w:rPr>
          <w:rFonts w:hint="eastAsia"/>
          <w:sz w:val="21"/>
          <w:szCs w:val="21"/>
        </w:rPr>
        <w:t>单独二胎政策放开</w:t>
      </w:r>
      <w:r w:rsidR="005D1E58" w:rsidRPr="00C4200C">
        <w:rPr>
          <w:rFonts w:hint="eastAsia"/>
          <w:sz w:val="21"/>
          <w:szCs w:val="21"/>
        </w:rPr>
        <w:t>后</w:t>
      </w:r>
      <w:r w:rsidR="00815549" w:rsidRPr="00C4200C">
        <w:rPr>
          <w:rFonts w:hint="eastAsia"/>
          <w:sz w:val="21"/>
          <w:szCs w:val="21"/>
        </w:rPr>
        <w:t>大家庭用车</w:t>
      </w:r>
      <w:r w:rsidR="005D1E58" w:rsidRPr="00C4200C">
        <w:rPr>
          <w:rFonts w:hint="eastAsia"/>
          <w:sz w:val="21"/>
          <w:szCs w:val="21"/>
        </w:rPr>
        <w:t>需求</w:t>
      </w:r>
      <w:r w:rsidR="006B4765" w:rsidRPr="00C4200C">
        <w:rPr>
          <w:rFonts w:hint="eastAsia"/>
          <w:sz w:val="21"/>
          <w:szCs w:val="21"/>
        </w:rPr>
        <w:t>、</w:t>
      </w:r>
      <w:proofErr w:type="gramStart"/>
      <w:r w:rsidR="005D1E58" w:rsidRPr="00C4200C">
        <w:rPr>
          <w:rFonts w:hint="eastAsia"/>
          <w:sz w:val="21"/>
          <w:szCs w:val="21"/>
        </w:rPr>
        <w:t>传统</w:t>
      </w:r>
      <w:r w:rsidR="006B4765" w:rsidRPr="00C4200C">
        <w:rPr>
          <w:rFonts w:hint="eastAsia"/>
          <w:sz w:val="21"/>
          <w:szCs w:val="21"/>
        </w:rPr>
        <w:t>微客</w:t>
      </w:r>
      <w:r w:rsidR="005D1E58" w:rsidRPr="00C4200C">
        <w:rPr>
          <w:rFonts w:hint="eastAsia"/>
          <w:sz w:val="21"/>
          <w:szCs w:val="21"/>
        </w:rPr>
        <w:t>市场</w:t>
      </w:r>
      <w:proofErr w:type="gramEnd"/>
      <w:r w:rsidR="006B4765" w:rsidRPr="00C4200C">
        <w:rPr>
          <w:rFonts w:hint="eastAsia"/>
          <w:sz w:val="21"/>
          <w:szCs w:val="21"/>
        </w:rPr>
        <w:t>升级</w:t>
      </w:r>
      <w:r w:rsidR="00815549" w:rsidRPr="00C4200C">
        <w:rPr>
          <w:rFonts w:hint="eastAsia"/>
          <w:sz w:val="21"/>
          <w:szCs w:val="21"/>
        </w:rPr>
        <w:t>需求的增长，</w:t>
      </w:r>
      <w:r w:rsidR="008D476A" w:rsidRPr="00C4200C">
        <w:rPr>
          <w:rFonts w:hint="eastAsia"/>
          <w:color w:val="000000" w:themeColor="text1"/>
          <w:sz w:val="21"/>
          <w:szCs w:val="21"/>
        </w:rPr>
        <w:t>低端家用</w:t>
      </w:r>
      <w:r w:rsidR="008D476A" w:rsidRPr="00C4200C">
        <w:rPr>
          <w:color w:val="000000" w:themeColor="text1"/>
          <w:sz w:val="21"/>
          <w:szCs w:val="21"/>
        </w:rPr>
        <w:t>7座</w:t>
      </w:r>
      <w:r w:rsidR="00865622" w:rsidRPr="00C4200C">
        <w:rPr>
          <w:rFonts w:hint="eastAsia"/>
          <w:sz w:val="21"/>
          <w:szCs w:val="21"/>
        </w:rPr>
        <w:t>SUV和MPV</w:t>
      </w:r>
      <w:r w:rsidR="00D50DCB" w:rsidRPr="00C4200C">
        <w:rPr>
          <w:rFonts w:hint="eastAsia"/>
          <w:sz w:val="21"/>
          <w:szCs w:val="21"/>
        </w:rPr>
        <w:t>市场</w:t>
      </w:r>
      <w:r w:rsidR="00865622" w:rsidRPr="00C4200C">
        <w:rPr>
          <w:rFonts w:hint="eastAsia"/>
          <w:sz w:val="21"/>
          <w:szCs w:val="21"/>
        </w:rPr>
        <w:t>也将呈快速增长的态势</w:t>
      </w:r>
      <w:r w:rsidR="00D50DCB" w:rsidRPr="00C4200C">
        <w:rPr>
          <w:rFonts w:hint="eastAsia"/>
          <w:sz w:val="21"/>
          <w:szCs w:val="21"/>
        </w:rPr>
        <w:t>。</w:t>
      </w:r>
    </w:p>
    <w:p w:rsidR="00D50DCB" w:rsidRPr="00C4200C" w:rsidRDefault="009F3A8F" w:rsidP="00C709F8">
      <w:pPr>
        <w:ind w:firstLineChars="200"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供给方面</w:t>
      </w:r>
      <w:r w:rsidR="00865622" w:rsidRPr="00C4200C">
        <w:rPr>
          <w:rFonts w:hint="eastAsia"/>
          <w:sz w:val="21"/>
          <w:szCs w:val="21"/>
        </w:rPr>
        <w:t>，</w:t>
      </w:r>
      <w:r w:rsidR="00D50DCB" w:rsidRPr="00C4200C">
        <w:rPr>
          <w:rFonts w:hint="eastAsia"/>
          <w:sz w:val="21"/>
          <w:szCs w:val="21"/>
        </w:rPr>
        <w:t>自主品牌</w:t>
      </w:r>
      <w:r w:rsidR="00865622" w:rsidRPr="00C4200C">
        <w:rPr>
          <w:rFonts w:hint="eastAsia"/>
          <w:sz w:val="21"/>
          <w:szCs w:val="21"/>
        </w:rPr>
        <w:t>在5-15万SUV、MPV市场的新产品投放力度不会减弱</w:t>
      </w:r>
      <w:r w:rsidRPr="00C4200C">
        <w:rPr>
          <w:rFonts w:hint="eastAsia"/>
          <w:sz w:val="21"/>
          <w:szCs w:val="21"/>
        </w:rPr>
        <w:t>，将</w:t>
      </w:r>
      <w:r w:rsidR="000B161A" w:rsidRPr="00C4200C">
        <w:rPr>
          <w:rFonts w:hint="eastAsia"/>
          <w:sz w:val="21"/>
          <w:szCs w:val="21"/>
        </w:rPr>
        <w:t>促进需求进一步释放、</w:t>
      </w:r>
      <w:r w:rsidRPr="00C4200C">
        <w:rPr>
          <w:rFonts w:hint="eastAsia"/>
          <w:sz w:val="21"/>
          <w:szCs w:val="21"/>
        </w:rPr>
        <w:t>助力</w:t>
      </w:r>
      <w:r w:rsidR="005D1E58" w:rsidRPr="00C4200C">
        <w:rPr>
          <w:rFonts w:hint="eastAsia"/>
          <w:sz w:val="21"/>
          <w:szCs w:val="21"/>
        </w:rPr>
        <w:t>自主</w:t>
      </w:r>
      <w:r w:rsidRPr="00C4200C">
        <w:rPr>
          <w:rFonts w:hint="eastAsia"/>
          <w:sz w:val="21"/>
          <w:szCs w:val="21"/>
        </w:rPr>
        <w:t>市场的发展</w:t>
      </w:r>
      <w:r w:rsidR="000B161A" w:rsidRPr="00C4200C">
        <w:rPr>
          <w:rFonts w:hint="eastAsia"/>
          <w:sz w:val="21"/>
          <w:szCs w:val="21"/>
        </w:rPr>
        <w:t>。</w:t>
      </w:r>
    </w:p>
    <w:p w:rsidR="0019603C" w:rsidRPr="00C016F1" w:rsidRDefault="0019603C" w:rsidP="00C016F1">
      <w:pPr>
        <w:jc w:val="center"/>
        <w:rPr>
          <w:b/>
          <w:sz w:val="21"/>
          <w:szCs w:val="21"/>
        </w:rPr>
      </w:pPr>
      <w:r w:rsidRPr="00C016F1">
        <w:rPr>
          <w:rFonts w:hint="eastAsia"/>
          <w:b/>
          <w:sz w:val="21"/>
          <w:szCs w:val="21"/>
        </w:rPr>
        <w:t>表</w:t>
      </w:r>
      <w:r w:rsidR="00824325" w:rsidRPr="00C016F1">
        <w:rPr>
          <w:rFonts w:hint="eastAsia"/>
          <w:b/>
          <w:sz w:val="21"/>
          <w:szCs w:val="21"/>
        </w:rPr>
        <w:t>1</w:t>
      </w:r>
      <w:r w:rsidRPr="00C016F1">
        <w:rPr>
          <w:rFonts w:hint="eastAsia"/>
          <w:b/>
          <w:sz w:val="21"/>
          <w:szCs w:val="21"/>
        </w:rPr>
        <w:t xml:space="preserve"> </w:t>
      </w:r>
      <w:r w:rsidRPr="00C016F1">
        <w:rPr>
          <w:b/>
          <w:sz w:val="21"/>
          <w:szCs w:val="21"/>
        </w:rPr>
        <w:t>2015年上市的</w:t>
      </w:r>
      <w:r w:rsidRPr="00C016F1">
        <w:rPr>
          <w:rFonts w:hint="eastAsia"/>
          <w:b/>
          <w:sz w:val="21"/>
          <w:szCs w:val="21"/>
        </w:rPr>
        <w:t>5-15万</w:t>
      </w:r>
      <w:r w:rsidRPr="00C016F1">
        <w:rPr>
          <w:b/>
          <w:sz w:val="21"/>
          <w:szCs w:val="21"/>
        </w:rPr>
        <w:t>SUV</w:t>
      </w:r>
      <w:r w:rsidR="009F3A8F" w:rsidRPr="00C016F1">
        <w:rPr>
          <w:rFonts w:hint="eastAsia"/>
          <w:b/>
          <w:sz w:val="21"/>
          <w:szCs w:val="21"/>
        </w:rPr>
        <w:t>/MPV</w:t>
      </w:r>
      <w:r w:rsidRPr="00C016F1">
        <w:rPr>
          <w:b/>
          <w:sz w:val="21"/>
          <w:szCs w:val="21"/>
        </w:rPr>
        <w:t>产品</w:t>
      </w:r>
    </w:p>
    <w:tbl>
      <w:tblPr>
        <w:tblStyle w:val="-1"/>
        <w:tblW w:w="4971" w:type="pct"/>
        <w:tblLook w:val="04A0" w:firstRow="1" w:lastRow="0" w:firstColumn="1" w:lastColumn="0" w:noHBand="0" w:noVBand="1"/>
      </w:tblPr>
      <w:tblGrid>
        <w:gridCol w:w="674"/>
        <w:gridCol w:w="1135"/>
        <w:gridCol w:w="993"/>
        <w:gridCol w:w="1134"/>
        <w:gridCol w:w="1134"/>
        <w:gridCol w:w="1134"/>
        <w:gridCol w:w="993"/>
        <w:gridCol w:w="1276"/>
      </w:tblGrid>
      <w:tr w:rsidR="001A1297" w:rsidRPr="00C4200C" w:rsidTr="00A91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pct"/>
            <w:tcBorders>
              <w:right w:val="single" w:sz="4" w:space="0" w:color="auto"/>
            </w:tcBorders>
          </w:tcPr>
          <w:p w:rsidR="00865622" w:rsidRPr="00C4200C" w:rsidRDefault="00865622" w:rsidP="009F3A8F">
            <w:pPr>
              <w:rPr>
                <w:sz w:val="18"/>
              </w:rPr>
            </w:pPr>
            <w:r w:rsidRPr="00C4200C">
              <w:rPr>
                <w:rFonts w:hint="eastAsia"/>
                <w:sz w:val="18"/>
              </w:rPr>
              <w:lastRenderedPageBreak/>
              <w:t>车身形式</w:t>
            </w:r>
          </w:p>
        </w:tc>
        <w:tc>
          <w:tcPr>
            <w:tcW w:w="1256" w:type="pct"/>
            <w:gridSpan w:val="2"/>
            <w:tcBorders>
              <w:right w:val="single" w:sz="4" w:space="0" w:color="auto"/>
            </w:tcBorders>
            <w:vAlign w:val="center"/>
          </w:tcPr>
          <w:p w:rsidR="00865622" w:rsidRPr="00C4200C" w:rsidRDefault="00865622" w:rsidP="00A912BD">
            <w:pPr>
              <w:ind w:firstLine="4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</w:rPr>
            </w:pPr>
            <w:r w:rsidRPr="00C4200C">
              <w:rPr>
                <w:rFonts w:hint="eastAsia"/>
                <w:sz w:val="18"/>
              </w:rPr>
              <w:t>一季度</w:t>
            </w:r>
          </w:p>
        </w:tc>
        <w:tc>
          <w:tcPr>
            <w:tcW w:w="133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622" w:rsidRPr="00C4200C" w:rsidRDefault="00865622" w:rsidP="00A912BD">
            <w:pPr>
              <w:ind w:firstLine="4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4200C">
              <w:rPr>
                <w:rFonts w:hint="eastAsia"/>
                <w:sz w:val="18"/>
              </w:rPr>
              <w:t>二季度</w:t>
            </w:r>
          </w:p>
        </w:tc>
        <w:tc>
          <w:tcPr>
            <w:tcW w:w="12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622" w:rsidRPr="00C4200C" w:rsidRDefault="00865622" w:rsidP="00A912BD">
            <w:pPr>
              <w:ind w:firstLine="4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4200C">
              <w:rPr>
                <w:rFonts w:hint="eastAsia"/>
                <w:sz w:val="18"/>
              </w:rPr>
              <w:t>三季度</w:t>
            </w:r>
          </w:p>
        </w:tc>
        <w:tc>
          <w:tcPr>
            <w:tcW w:w="754" w:type="pct"/>
            <w:tcBorders>
              <w:left w:val="single" w:sz="4" w:space="0" w:color="auto"/>
            </w:tcBorders>
            <w:vAlign w:val="center"/>
          </w:tcPr>
          <w:p w:rsidR="00865622" w:rsidRPr="00C4200C" w:rsidRDefault="00865622" w:rsidP="00A912BD">
            <w:pPr>
              <w:ind w:firstLineChars="13" w:firstLine="2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C4200C">
              <w:rPr>
                <w:rFonts w:hint="eastAsia"/>
                <w:sz w:val="18"/>
              </w:rPr>
              <w:t>四季度</w:t>
            </w:r>
          </w:p>
        </w:tc>
      </w:tr>
      <w:tr w:rsidR="001A1297" w:rsidRPr="00C4200C" w:rsidTr="00247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pct"/>
            <w:tcBorders>
              <w:bottom w:val="single" w:sz="4" w:space="0" w:color="4F81BD" w:themeColor="accent1"/>
            </w:tcBorders>
            <w:shd w:val="clear" w:color="auto" w:fill="auto"/>
          </w:tcPr>
          <w:p w:rsidR="00865622" w:rsidRPr="00C4200C" w:rsidRDefault="00865622" w:rsidP="00B564E2">
            <w:pPr>
              <w:rPr>
                <w:rFonts w:ascii="微软雅黑" w:eastAsia="微软雅黑" w:hAnsi="微软雅黑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sz w:val="18"/>
              </w:rPr>
              <w:t>SUV</w:t>
            </w:r>
          </w:p>
        </w:tc>
        <w:tc>
          <w:tcPr>
            <w:tcW w:w="670" w:type="pct"/>
            <w:tcBorders>
              <w:bottom w:val="single" w:sz="4" w:space="0" w:color="4F81BD" w:themeColor="accent1"/>
            </w:tcBorders>
            <w:shd w:val="clear" w:color="auto" w:fill="auto"/>
          </w:tcPr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启辰T70</w:t>
            </w:r>
          </w:p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风度MX6</w:t>
            </w:r>
          </w:p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陆风X5</w:t>
            </w:r>
          </w:p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auto"/>
                <w:sz w:val="18"/>
              </w:rPr>
            </w:pPr>
            <w:proofErr w:type="gramStart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锐腾</w:t>
            </w:r>
            <w:proofErr w:type="gramEnd"/>
          </w:p>
        </w:tc>
        <w:tc>
          <w:tcPr>
            <w:tcW w:w="586" w:type="pct"/>
            <w:tcBorders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起亚K3X</w:t>
            </w:r>
          </w:p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中兴GX3</w:t>
            </w:r>
          </w:p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野马T70</w:t>
            </w:r>
          </w:p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绅宝X65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4F81BD" w:themeColor="accent1"/>
            </w:tcBorders>
            <w:shd w:val="clear" w:color="auto" w:fill="auto"/>
          </w:tcPr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比亚</w:t>
            </w:r>
            <w:proofErr w:type="gramStart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迪</w:t>
            </w:r>
            <w:proofErr w:type="gramEnd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S3</w:t>
            </w:r>
          </w:p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H6Coupe</w:t>
            </w:r>
          </w:p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萨瓦纳</w:t>
            </w:r>
          </w:p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proofErr w:type="gramStart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威旺</w:t>
            </w:r>
            <w:proofErr w:type="gramEnd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007</w:t>
            </w:r>
          </w:p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中华V3</w:t>
            </w:r>
          </w:p>
        </w:tc>
        <w:tc>
          <w:tcPr>
            <w:tcW w:w="669" w:type="pct"/>
            <w:tcBorders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陆风X7</w:t>
            </w:r>
          </w:p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理念SUV</w:t>
            </w:r>
          </w:p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传</w:t>
            </w:r>
            <w:proofErr w:type="gramStart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祺</w:t>
            </w:r>
            <w:proofErr w:type="gramEnd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GS4</w:t>
            </w:r>
          </w:p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proofErr w:type="gramStart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景逸</w:t>
            </w:r>
            <w:proofErr w:type="gramEnd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XV</w:t>
            </w:r>
          </w:p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猎豹CS10</w:t>
            </w:r>
          </w:p>
        </w:tc>
        <w:tc>
          <w:tcPr>
            <w:tcW w:w="669" w:type="pct"/>
            <w:tcBorders>
              <w:left w:val="single" w:sz="4" w:space="0" w:color="auto"/>
              <w:bottom w:val="single" w:sz="4" w:space="0" w:color="4F81BD" w:themeColor="accent1"/>
            </w:tcBorders>
            <w:shd w:val="clear" w:color="auto" w:fill="auto"/>
          </w:tcPr>
          <w:p w:rsidR="00865622" w:rsidRPr="00C4200C" w:rsidRDefault="00865622" w:rsidP="009F3A8F">
            <w:pPr>
              <w:ind w:firstLineChars="29" w:firstLine="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哈</w:t>
            </w:r>
            <w:proofErr w:type="gramStart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弗</w:t>
            </w:r>
            <w:proofErr w:type="gramEnd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H7</w:t>
            </w:r>
          </w:p>
          <w:p w:rsidR="00865622" w:rsidRPr="00C4200C" w:rsidRDefault="00865622" w:rsidP="009F3A8F">
            <w:pPr>
              <w:ind w:firstLineChars="29" w:firstLine="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幻速S6</w:t>
            </w:r>
          </w:p>
          <w:p w:rsidR="00865622" w:rsidRPr="00C4200C" w:rsidRDefault="00865622" w:rsidP="009F3A8F">
            <w:pPr>
              <w:ind w:firstLineChars="12"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proofErr w:type="gramStart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宝骏</w:t>
            </w:r>
            <w:proofErr w:type="gramEnd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560</w:t>
            </w:r>
          </w:p>
        </w:tc>
        <w:tc>
          <w:tcPr>
            <w:tcW w:w="585" w:type="pct"/>
            <w:tcBorders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865622" w:rsidRPr="00C4200C" w:rsidRDefault="00865622" w:rsidP="009F3A8F">
            <w:pPr>
              <w:ind w:firstLineChars="12"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风神AX3</w:t>
            </w:r>
          </w:p>
          <w:p w:rsidR="00865622" w:rsidRPr="00C4200C" w:rsidRDefault="00865622" w:rsidP="009F3A8F">
            <w:pPr>
              <w:ind w:firstLineChars="12"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DX7博朗</w:t>
            </w:r>
          </w:p>
          <w:p w:rsidR="00865622" w:rsidRPr="00C4200C" w:rsidRDefault="00865622" w:rsidP="009F3A8F">
            <w:pPr>
              <w:ind w:firstLineChars="12" w:firstLine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proofErr w:type="gramStart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瑞风</w:t>
            </w:r>
            <w:proofErr w:type="gramEnd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S2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4F81BD" w:themeColor="accent1"/>
            </w:tcBorders>
            <w:shd w:val="clear" w:color="auto" w:fill="auto"/>
          </w:tcPr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proofErr w:type="gramStart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众泰</w:t>
            </w:r>
            <w:proofErr w:type="gramEnd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T500</w:t>
            </w:r>
          </w:p>
          <w:p w:rsidR="00865622" w:rsidRPr="00C4200C" w:rsidRDefault="00865622" w:rsidP="00B56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比亚</w:t>
            </w:r>
            <w:proofErr w:type="gramStart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迪</w:t>
            </w:r>
            <w:proofErr w:type="gramEnd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S1</w:t>
            </w:r>
          </w:p>
        </w:tc>
      </w:tr>
      <w:tr w:rsidR="001A1297" w:rsidRPr="00C4200C" w:rsidTr="00247EBE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" w:type="pct"/>
            <w:tcBorders>
              <w:top w:val="single" w:sz="4" w:space="0" w:color="4F81BD" w:themeColor="accent1"/>
            </w:tcBorders>
            <w:shd w:val="clear" w:color="auto" w:fill="auto"/>
          </w:tcPr>
          <w:p w:rsidR="009F3A8F" w:rsidRPr="00C4200C" w:rsidRDefault="009F3A8F" w:rsidP="00B564E2">
            <w:pPr>
              <w:rPr>
                <w:rFonts w:ascii="微软雅黑" w:eastAsia="微软雅黑" w:hAnsi="微软雅黑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sz w:val="18"/>
              </w:rPr>
              <w:t>MPV</w:t>
            </w:r>
          </w:p>
        </w:tc>
        <w:tc>
          <w:tcPr>
            <w:tcW w:w="670" w:type="pct"/>
            <w:tcBorders>
              <w:top w:val="single" w:sz="4" w:space="0" w:color="4F81BD" w:themeColor="accent1"/>
            </w:tcBorders>
            <w:shd w:val="clear" w:color="auto" w:fill="auto"/>
          </w:tcPr>
          <w:p w:rsidR="009F3A8F" w:rsidRPr="00C4200C" w:rsidRDefault="009F3A8F" w:rsidP="0059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auto"/>
                <w:sz w:val="18"/>
              </w:rPr>
            </w:pPr>
            <w:proofErr w:type="gramStart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瑞风</w:t>
            </w:r>
            <w:proofErr w:type="gramEnd"/>
            <w:r w:rsidRPr="00C4200C">
              <w:rPr>
                <w:rFonts w:ascii="微软雅黑" w:eastAsia="微软雅黑" w:hAnsi="微软雅黑"/>
                <w:color w:val="auto"/>
                <w:sz w:val="18"/>
              </w:rPr>
              <w:t>M3</w:t>
            </w:r>
          </w:p>
        </w:tc>
        <w:tc>
          <w:tcPr>
            <w:tcW w:w="586" w:type="pct"/>
            <w:tcBorders>
              <w:top w:val="single" w:sz="4" w:space="0" w:color="4F81BD" w:themeColor="accent1"/>
              <w:bottom w:val="single" w:sz="8" w:space="0" w:color="4F81BD" w:themeColor="accent1"/>
              <w:right w:val="single" w:sz="4" w:space="0" w:color="auto"/>
            </w:tcBorders>
            <w:shd w:val="clear" w:color="auto" w:fill="auto"/>
          </w:tcPr>
          <w:p w:rsidR="009F3A8F" w:rsidRPr="00C4200C" w:rsidRDefault="009F3A8F" w:rsidP="00B56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669" w:type="pct"/>
            <w:tcBorders>
              <w:top w:val="single" w:sz="4" w:space="0" w:color="4F81BD" w:themeColor="accent1"/>
              <w:left w:val="single" w:sz="4" w:space="0" w:color="auto"/>
            </w:tcBorders>
            <w:shd w:val="clear" w:color="auto" w:fill="auto"/>
          </w:tcPr>
          <w:p w:rsidR="009F3A8F" w:rsidRPr="00C4200C" w:rsidRDefault="009F3A8F" w:rsidP="0059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艾瑞泽M7</w:t>
            </w:r>
          </w:p>
        </w:tc>
        <w:tc>
          <w:tcPr>
            <w:tcW w:w="669" w:type="pct"/>
            <w:tcBorders>
              <w:top w:val="single" w:sz="4" w:space="0" w:color="4F81BD" w:themeColor="accent1"/>
              <w:bottom w:val="single" w:sz="8" w:space="0" w:color="4F81BD" w:themeColor="accent1"/>
              <w:right w:val="single" w:sz="4" w:space="0" w:color="auto"/>
            </w:tcBorders>
            <w:shd w:val="clear" w:color="auto" w:fill="auto"/>
          </w:tcPr>
          <w:p w:rsidR="009F3A8F" w:rsidRPr="00C4200C" w:rsidRDefault="009F3A8F" w:rsidP="00594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金杯</w:t>
            </w:r>
            <w:r w:rsidRPr="00C4200C">
              <w:rPr>
                <w:rFonts w:ascii="微软雅黑" w:eastAsia="微软雅黑" w:hAnsi="微软雅黑"/>
                <w:color w:val="auto"/>
                <w:sz w:val="18"/>
              </w:rPr>
              <w:t>750</w:t>
            </w:r>
          </w:p>
        </w:tc>
        <w:tc>
          <w:tcPr>
            <w:tcW w:w="669" w:type="pct"/>
            <w:tcBorders>
              <w:top w:val="single" w:sz="4" w:space="0" w:color="4F81BD" w:themeColor="accent1"/>
              <w:left w:val="single" w:sz="4" w:space="0" w:color="auto"/>
            </w:tcBorders>
            <w:shd w:val="clear" w:color="auto" w:fill="auto"/>
          </w:tcPr>
          <w:p w:rsidR="009F3A8F" w:rsidRPr="00C4200C" w:rsidRDefault="009F3A8F" w:rsidP="009F3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18"/>
              </w:rPr>
            </w:pPr>
            <w:proofErr w:type="gramStart"/>
            <w:r w:rsidRPr="00C4200C">
              <w:rPr>
                <w:rFonts w:ascii="微软雅黑" w:eastAsia="微软雅黑" w:hAnsi="微软雅黑" w:hint="eastAsia"/>
                <w:color w:val="auto"/>
                <w:sz w:val="18"/>
              </w:rPr>
              <w:t>长安欧尚</w:t>
            </w:r>
            <w:proofErr w:type="gramEnd"/>
          </w:p>
        </w:tc>
        <w:tc>
          <w:tcPr>
            <w:tcW w:w="585" w:type="pct"/>
            <w:tcBorders>
              <w:top w:val="single" w:sz="4" w:space="0" w:color="4F81BD" w:themeColor="accent1"/>
              <w:bottom w:val="single" w:sz="8" w:space="0" w:color="4F81BD" w:themeColor="accent1"/>
              <w:right w:val="single" w:sz="4" w:space="0" w:color="auto"/>
            </w:tcBorders>
            <w:shd w:val="clear" w:color="auto" w:fill="auto"/>
          </w:tcPr>
          <w:p w:rsidR="009F3A8F" w:rsidRPr="00C4200C" w:rsidRDefault="009F3A8F" w:rsidP="009F3A8F">
            <w:pPr>
              <w:ind w:firstLineChars="12" w:firstLine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754" w:type="pct"/>
            <w:tcBorders>
              <w:top w:val="single" w:sz="4" w:space="0" w:color="4F81BD" w:themeColor="accent1"/>
              <w:left w:val="single" w:sz="4" w:space="0" w:color="auto"/>
            </w:tcBorders>
            <w:shd w:val="clear" w:color="auto" w:fill="auto"/>
          </w:tcPr>
          <w:p w:rsidR="009F3A8F" w:rsidRPr="00C4200C" w:rsidRDefault="009F3A8F" w:rsidP="00B564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18"/>
              </w:rPr>
            </w:pPr>
          </w:p>
        </w:tc>
      </w:tr>
    </w:tbl>
    <w:p w:rsidR="000B161A" w:rsidRPr="00C4200C" w:rsidRDefault="000B161A" w:rsidP="009A5833">
      <w:pPr>
        <w:ind w:firstLineChars="200"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竞争环境方面</w:t>
      </w:r>
      <w:r w:rsidR="008D476A" w:rsidRPr="00C4200C">
        <w:rPr>
          <w:rFonts w:hint="eastAsia"/>
          <w:sz w:val="21"/>
          <w:szCs w:val="21"/>
        </w:rPr>
        <w:t>，自主是5-15万SUV、MPV</w:t>
      </w:r>
      <w:r w:rsidRPr="00C4200C">
        <w:rPr>
          <w:rFonts w:hint="eastAsia"/>
          <w:sz w:val="21"/>
          <w:szCs w:val="21"/>
        </w:rPr>
        <w:t>市场</w:t>
      </w:r>
      <w:r w:rsidR="008D476A" w:rsidRPr="00C4200C">
        <w:rPr>
          <w:rFonts w:hint="eastAsia"/>
          <w:sz w:val="21"/>
          <w:szCs w:val="21"/>
        </w:rPr>
        <w:t>的绝对主导力量</w:t>
      </w:r>
      <w:r w:rsidRPr="00C4200C">
        <w:rPr>
          <w:rFonts w:hint="eastAsia"/>
          <w:sz w:val="21"/>
          <w:szCs w:val="21"/>
        </w:rPr>
        <w:t>，</w:t>
      </w:r>
      <w:r w:rsidR="008D476A" w:rsidRPr="00C4200C">
        <w:rPr>
          <w:rFonts w:hint="eastAsia"/>
          <w:sz w:val="21"/>
          <w:szCs w:val="21"/>
        </w:rPr>
        <w:t>就SUV市场而言，</w:t>
      </w:r>
      <w:proofErr w:type="gramStart"/>
      <w:r w:rsidR="008D476A" w:rsidRPr="00C4200C">
        <w:rPr>
          <w:rFonts w:hint="eastAsia"/>
          <w:sz w:val="21"/>
          <w:szCs w:val="21"/>
        </w:rPr>
        <w:t>合资极</w:t>
      </w:r>
      <w:proofErr w:type="gramEnd"/>
      <w:r w:rsidR="008D476A" w:rsidRPr="00C4200C">
        <w:rPr>
          <w:rFonts w:hint="eastAsia"/>
          <w:sz w:val="21"/>
          <w:szCs w:val="21"/>
        </w:rPr>
        <w:t>少有产品下探至该区间，而就MPV市场而言，产品老化、需求饱和，难有新突破。从目前企业披露的战略信息来看，</w:t>
      </w:r>
      <w:r w:rsidRPr="00C4200C">
        <w:rPr>
          <w:rFonts w:hint="eastAsia"/>
          <w:sz w:val="21"/>
          <w:szCs w:val="21"/>
        </w:rPr>
        <w:t>未来3年内通过多代同堂、价格下探对自主形成威胁</w:t>
      </w:r>
      <w:r w:rsidR="008D476A" w:rsidRPr="00C4200C">
        <w:rPr>
          <w:rFonts w:hint="eastAsia"/>
          <w:sz w:val="21"/>
          <w:szCs w:val="21"/>
        </w:rPr>
        <w:t>将是个别企业的个别行为</w:t>
      </w:r>
      <w:r w:rsidRPr="00C4200C">
        <w:rPr>
          <w:rFonts w:hint="eastAsia"/>
          <w:sz w:val="21"/>
          <w:szCs w:val="21"/>
        </w:rPr>
        <w:t>，自主在该市场发展的外部环境</w:t>
      </w:r>
      <w:r w:rsidR="008D476A" w:rsidRPr="00C4200C">
        <w:rPr>
          <w:rFonts w:hint="eastAsia"/>
          <w:sz w:val="21"/>
          <w:szCs w:val="21"/>
        </w:rPr>
        <w:t>仍</w:t>
      </w:r>
      <w:r w:rsidRPr="00C4200C">
        <w:rPr>
          <w:rFonts w:hint="eastAsia"/>
          <w:sz w:val="21"/>
          <w:szCs w:val="21"/>
        </w:rPr>
        <w:t>相对宽松。</w:t>
      </w:r>
    </w:p>
    <w:p w:rsidR="009A5833" w:rsidRPr="00C016F1" w:rsidRDefault="009A5833" w:rsidP="00C016F1">
      <w:pPr>
        <w:jc w:val="center"/>
        <w:rPr>
          <w:b/>
          <w:sz w:val="21"/>
          <w:szCs w:val="21"/>
        </w:rPr>
      </w:pPr>
      <w:r w:rsidRPr="00C016F1">
        <w:rPr>
          <w:rFonts w:hint="eastAsia"/>
          <w:b/>
          <w:sz w:val="21"/>
          <w:szCs w:val="21"/>
        </w:rPr>
        <w:t>图</w:t>
      </w:r>
      <w:r w:rsidR="00824325" w:rsidRPr="00C016F1">
        <w:rPr>
          <w:rFonts w:hint="eastAsia"/>
          <w:b/>
          <w:sz w:val="21"/>
          <w:szCs w:val="21"/>
        </w:rPr>
        <w:t>10</w:t>
      </w:r>
      <w:r w:rsidRPr="00C016F1">
        <w:rPr>
          <w:rFonts w:hint="eastAsia"/>
          <w:b/>
          <w:sz w:val="21"/>
          <w:szCs w:val="21"/>
        </w:rPr>
        <w:t xml:space="preserve"> 5-15万SUV分合资/自主销量（万台）</w:t>
      </w:r>
    </w:p>
    <w:p w:rsidR="009A5833" w:rsidRPr="00C4200C" w:rsidRDefault="009A5833" w:rsidP="009A5833">
      <w:pPr>
        <w:rPr>
          <w:sz w:val="21"/>
          <w:szCs w:val="21"/>
        </w:rPr>
      </w:pPr>
      <w:r w:rsidRPr="00C4200C">
        <w:rPr>
          <w:noProof/>
          <w:sz w:val="21"/>
          <w:szCs w:val="21"/>
        </w:rPr>
        <w:drawing>
          <wp:inline distT="0" distB="0" distL="0" distR="0" wp14:anchorId="63FBAE5A" wp14:editId="495C92E7">
            <wp:extent cx="5270740" cy="1561382"/>
            <wp:effectExtent l="0" t="0" r="25400" b="2032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9603C" w:rsidRPr="00C016F1" w:rsidRDefault="0019603C" w:rsidP="00C016F1">
      <w:pPr>
        <w:jc w:val="center"/>
        <w:rPr>
          <w:b/>
          <w:sz w:val="21"/>
          <w:szCs w:val="21"/>
        </w:rPr>
      </w:pPr>
      <w:r w:rsidRPr="00C016F1">
        <w:rPr>
          <w:rFonts w:hint="eastAsia"/>
          <w:b/>
          <w:sz w:val="21"/>
          <w:szCs w:val="21"/>
        </w:rPr>
        <w:t>图</w:t>
      </w:r>
      <w:r w:rsidR="00824325" w:rsidRPr="00C016F1">
        <w:rPr>
          <w:rFonts w:hint="eastAsia"/>
          <w:b/>
          <w:sz w:val="21"/>
          <w:szCs w:val="21"/>
        </w:rPr>
        <w:t>11</w:t>
      </w:r>
      <w:r w:rsidRPr="00C016F1">
        <w:rPr>
          <w:rFonts w:hint="eastAsia"/>
          <w:b/>
          <w:sz w:val="21"/>
          <w:szCs w:val="21"/>
        </w:rPr>
        <w:t xml:space="preserve"> </w:t>
      </w:r>
      <w:r w:rsidRPr="00C016F1">
        <w:rPr>
          <w:b/>
          <w:sz w:val="21"/>
          <w:szCs w:val="21"/>
        </w:rPr>
        <w:t>5-15万</w:t>
      </w:r>
      <w:r w:rsidRPr="00C016F1">
        <w:rPr>
          <w:rFonts w:hint="eastAsia"/>
          <w:b/>
          <w:sz w:val="21"/>
          <w:szCs w:val="21"/>
        </w:rPr>
        <w:t>MPV</w:t>
      </w:r>
      <w:r w:rsidRPr="00C016F1">
        <w:rPr>
          <w:b/>
          <w:sz w:val="21"/>
          <w:szCs w:val="21"/>
        </w:rPr>
        <w:t>分合资/自主销量（万台）</w:t>
      </w:r>
    </w:p>
    <w:p w:rsidR="0019603C" w:rsidRPr="00C4200C" w:rsidRDefault="0019603C" w:rsidP="0019603C">
      <w:pPr>
        <w:rPr>
          <w:sz w:val="21"/>
          <w:szCs w:val="21"/>
        </w:rPr>
      </w:pPr>
      <w:r w:rsidRPr="00C4200C">
        <w:rPr>
          <w:noProof/>
          <w:sz w:val="21"/>
          <w:szCs w:val="21"/>
        </w:rPr>
        <w:drawing>
          <wp:inline distT="0" distB="0" distL="0" distR="0" wp14:anchorId="7F7C8A72" wp14:editId="67D83225">
            <wp:extent cx="5270740" cy="1699404"/>
            <wp:effectExtent l="0" t="0" r="25400" b="15240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9603C" w:rsidRPr="00C4200C" w:rsidRDefault="005D1E58" w:rsidP="0019603C">
      <w:pPr>
        <w:pStyle w:val="a4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3)此外</w:t>
      </w:r>
      <w:r w:rsidR="0019603C" w:rsidRPr="00C4200C">
        <w:rPr>
          <w:rFonts w:hint="eastAsia"/>
          <w:sz w:val="21"/>
          <w:szCs w:val="21"/>
        </w:rPr>
        <w:t>，自主在</w:t>
      </w:r>
      <w:r w:rsidRPr="00C4200C">
        <w:rPr>
          <w:rFonts w:hint="eastAsia"/>
          <w:sz w:val="21"/>
          <w:szCs w:val="21"/>
        </w:rPr>
        <w:t>B</w:t>
      </w:r>
      <w:r w:rsidR="009B7FBB">
        <w:rPr>
          <w:rFonts w:hint="eastAsia"/>
          <w:sz w:val="21"/>
          <w:szCs w:val="21"/>
        </w:rPr>
        <w:t>级轿车、电动车市场上开始崭露头角</w:t>
      </w:r>
      <w:r w:rsidRPr="00C4200C">
        <w:rPr>
          <w:rFonts w:hint="eastAsia"/>
          <w:sz w:val="21"/>
          <w:szCs w:val="21"/>
        </w:rPr>
        <w:t>，</w:t>
      </w:r>
      <w:r w:rsidR="0019603C" w:rsidRPr="00C4200C">
        <w:rPr>
          <w:rFonts w:hint="eastAsia"/>
          <w:sz w:val="21"/>
          <w:szCs w:val="21"/>
        </w:rPr>
        <w:t>未来有望成为拉动自主向上发展</w:t>
      </w:r>
      <w:r w:rsidR="004B155E" w:rsidRPr="00C4200C">
        <w:rPr>
          <w:rFonts w:hint="eastAsia"/>
          <w:sz w:val="21"/>
          <w:szCs w:val="21"/>
        </w:rPr>
        <w:t>的新</w:t>
      </w:r>
      <w:r w:rsidR="0019603C" w:rsidRPr="00C4200C">
        <w:rPr>
          <w:rFonts w:hint="eastAsia"/>
          <w:sz w:val="21"/>
          <w:szCs w:val="21"/>
        </w:rPr>
        <w:t>增长点。</w:t>
      </w:r>
    </w:p>
    <w:p w:rsidR="0019603C" w:rsidRPr="00C4200C" w:rsidRDefault="00056FC9" w:rsidP="0019603C">
      <w:pPr>
        <w:ind w:firstLineChars="200"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一方面，</w:t>
      </w:r>
      <w:r w:rsidR="0019603C" w:rsidRPr="00C4200C">
        <w:rPr>
          <w:rFonts w:hint="eastAsia"/>
          <w:sz w:val="21"/>
          <w:szCs w:val="21"/>
        </w:rPr>
        <w:t>在明星产品的带动下，自主</w:t>
      </w:r>
      <w:r w:rsidR="0019603C" w:rsidRPr="00C4200C">
        <w:rPr>
          <w:sz w:val="21"/>
          <w:szCs w:val="21"/>
        </w:rPr>
        <w:t>B级轿车有望迎来</w:t>
      </w:r>
      <w:r w:rsidR="004B155E" w:rsidRPr="00C4200C">
        <w:rPr>
          <w:rFonts w:hint="eastAsia"/>
          <w:sz w:val="21"/>
          <w:szCs w:val="21"/>
        </w:rPr>
        <w:t>新</w:t>
      </w:r>
      <w:r w:rsidR="0019603C" w:rsidRPr="00C4200C">
        <w:rPr>
          <w:sz w:val="21"/>
          <w:szCs w:val="21"/>
        </w:rPr>
        <w:t>发展</w:t>
      </w:r>
    </w:p>
    <w:p w:rsidR="0019603C" w:rsidRPr="00C4200C" w:rsidRDefault="004B155E" w:rsidP="0019603C">
      <w:pPr>
        <w:ind w:firstLineChars="200"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近期，传</w:t>
      </w:r>
      <w:proofErr w:type="gramStart"/>
      <w:r w:rsidRPr="00C4200C">
        <w:rPr>
          <w:rFonts w:hint="eastAsia"/>
          <w:sz w:val="21"/>
          <w:szCs w:val="21"/>
        </w:rPr>
        <w:t>祺</w:t>
      </w:r>
      <w:proofErr w:type="gramEnd"/>
      <w:r w:rsidRPr="00C4200C">
        <w:rPr>
          <w:rFonts w:hint="eastAsia"/>
          <w:sz w:val="21"/>
          <w:szCs w:val="21"/>
        </w:rPr>
        <w:t>GA6、吉利博</w:t>
      </w:r>
      <w:proofErr w:type="gramStart"/>
      <w:r w:rsidRPr="00C4200C">
        <w:rPr>
          <w:rFonts w:hint="eastAsia"/>
          <w:sz w:val="21"/>
          <w:szCs w:val="21"/>
        </w:rPr>
        <w:t>瑞相</w:t>
      </w:r>
      <w:proofErr w:type="gramEnd"/>
      <w:r w:rsidRPr="00C4200C">
        <w:rPr>
          <w:rFonts w:hint="eastAsia"/>
          <w:sz w:val="21"/>
          <w:szCs w:val="21"/>
        </w:rPr>
        <w:t>继上市</w:t>
      </w:r>
      <w:r w:rsidR="0019603C" w:rsidRPr="00C4200C">
        <w:rPr>
          <w:rFonts w:hint="eastAsia"/>
          <w:sz w:val="21"/>
          <w:szCs w:val="21"/>
        </w:rPr>
        <w:t>，</w:t>
      </w:r>
      <w:r w:rsidRPr="00C4200C">
        <w:rPr>
          <w:rFonts w:hint="eastAsia"/>
          <w:sz w:val="21"/>
          <w:szCs w:val="21"/>
        </w:rPr>
        <w:t>其价格亲民、</w:t>
      </w:r>
      <w:r w:rsidR="0019603C" w:rsidRPr="00C4200C">
        <w:rPr>
          <w:rFonts w:hint="eastAsia"/>
          <w:sz w:val="21"/>
          <w:szCs w:val="21"/>
        </w:rPr>
        <w:t>外观内饰设计</w:t>
      </w:r>
      <w:r w:rsidRPr="00C4200C">
        <w:rPr>
          <w:rFonts w:hint="eastAsia"/>
          <w:sz w:val="21"/>
          <w:szCs w:val="21"/>
        </w:rPr>
        <w:t>优秀、材质用料和做工工艺出色、配置水平越级、NVH和人机工程完全可以与同级合资产品相媲美，</w:t>
      </w:r>
      <w:r w:rsidR="0019603C" w:rsidRPr="00C4200C">
        <w:rPr>
          <w:rFonts w:hint="eastAsia"/>
          <w:sz w:val="21"/>
          <w:szCs w:val="21"/>
        </w:rPr>
        <w:t>代表了自主最新的研发实力和造车水平，一改以往大家对自主产品</w:t>
      </w:r>
      <w:r w:rsidRPr="00C4200C">
        <w:rPr>
          <w:rFonts w:hint="eastAsia"/>
          <w:sz w:val="21"/>
          <w:szCs w:val="21"/>
        </w:rPr>
        <w:t>廉价低质</w:t>
      </w:r>
      <w:r w:rsidR="0019603C" w:rsidRPr="00C4200C">
        <w:rPr>
          <w:rFonts w:hint="eastAsia"/>
          <w:sz w:val="21"/>
          <w:szCs w:val="21"/>
        </w:rPr>
        <w:t>的看法，市场预期也普遍较好，</w:t>
      </w:r>
      <w:r w:rsidRPr="00C4200C">
        <w:rPr>
          <w:rFonts w:hint="eastAsia"/>
          <w:sz w:val="21"/>
          <w:szCs w:val="21"/>
        </w:rPr>
        <w:t>极具成功潜质，将逐渐提升自主高端产品</w:t>
      </w:r>
      <w:r w:rsidR="0019603C" w:rsidRPr="00C4200C">
        <w:rPr>
          <w:rFonts w:hint="eastAsia"/>
          <w:sz w:val="21"/>
          <w:szCs w:val="21"/>
        </w:rPr>
        <w:t>在消费者中的认知</w:t>
      </w:r>
      <w:r w:rsidR="00056FC9" w:rsidRPr="00C4200C">
        <w:rPr>
          <w:rFonts w:hint="eastAsia"/>
          <w:sz w:val="21"/>
          <w:szCs w:val="21"/>
        </w:rPr>
        <w:t>，有望带领自主向上取得突破</w:t>
      </w:r>
      <w:r w:rsidR="0019603C" w:rsidRPr="00C4200C">
        <w:rPr>
          <w:rFonts w:hint="eastAsia"/>
          <w:sz w:val="21"/>
          <w:szCs w:val="21"/>
        </w:rPr>
        <w:t>。</w:t>
      </w:r>
    </w:p>
    <w:p w:rsidR="0019603C" w:rsidRPr="00C4200C" w:rsidRDefault="0019603C" w:rsidP="0019603C">
      <w:pPr>
        <w:ind w:firstLineChars="488" w:firstLine="1029"/>
        <w:rPr>
          <w:sz w:val="21"/>
          <w:szCs w:val="21"/>
        </w:rPr>
      </w:pPr>
      <w:r w:rsidRPr="00C4200C">
        <w:rPr>
          <w:rFonts w:hint="eastAsia"/>
          <w:b/>
          <w:sz w:val="21"/>
          <w:szCs w:val="21"/>
        </w:rPr>
        <w:t>吉利博瑞</w:t>
      </w:r>
      <w:r w:rsidRPr="00C4200C">
        <w:rPr>
          <w:rFonts w:hint="eastAsia"/>
          <w:sz w:val="21"/>
          <w:szCs w:val="21"/>
        </w:rPr>
        <w:t xml:space="preserve">                                         </w:t>
      </w:r>
      <w:r w:rsidRPr="00C4200C">
        <w:rPr>
          <w:rFonts w:hint="eastAsia"/>
          <w:b/>
          <w:sz w:val="21"/>
          <w:szCs w:val="21"/>
        </w:rPr>
        <w:t>传</w:t>
      </w:r>
      <w:proofErr w:type="gramStart"/>
      <w:r w:rsidRPr="00C4200C">
        <w:rPr>
          <w:rFonts w:hint="eastAsia"/>
          <w:b/>
          <w:sz w:val="21"/>
          <w:szCs w:val="21"/>
        </w:rPr>
        <w:t>祺</w:t>
      </w:r>
      <w:proofErr w:type="gramEnd"/>
      <w:r w:rsidRPr="00C4200C">
        <w:rPr>
          <w:rFonts w:hint="eastAsia"/>
          <w:b/>
          <w:sz w:val="21"/>
          <w:szCs w:val="21"/>
        </w:rPr>
        <w:t>GA6</w:t>
      </w:r>
    </w:p>
    <w:p w:rsidR="005D1E58" w:rsidRPr="00C4200C" w:rsidRDefault="005D1E58" w:rsidP="0019603C">
      <w:pPr>
        <w:pStyle w:val="a4"/>
        <w:ind w:firstLineChars="0" w:firstLine="0"/>
        <w:rPr>
          <w:sz w:val="21"/>
          <w:szCs w:val="21"/>
        </w:rPr>
      </w:pPr>
      <w:r w:rsidRPr="00C4200C">
        <w:rPr>
          <w:noProof/>
        </w:rPr>
        <w:lastRenderedPageBreak/>
        <w:drawing>
          <wp:inline distT="0" distB="0" distL="0" distR="0" wp14:anchorId="6C08A382" wp14:editId="2275ABEA">
            <wp:extent cx="2286000" cy="130280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95240" cy="130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200C">
        <w:rPr>
          <w:rFonts w:hint="eastAsia"/>
          <w:sz w:val="21"/>
          <w:szCs w:val="21"/>
        </w:rPr>
        <w:t xml:space="preserve">         </w:t>
      </w:r>
      <w:r w:rsidRPr="00C4200C">
        <w:rPr>
          <w:noProof/>
        </w:rPr>
        <w:drawing>
          <wp:inline distT="0" distB="0" distL="0" distR="0" wp14:anchorId="1750E2E3" wp14:editId="151CDEC2">
            <wp:extent cx="2251494" cy="1269843"/>
            <wp:effectExtent l="38100" t="38100" r="92075" b="1022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57957" cy="1273488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603C" w:rsidRPr="00C4200C" w:rsidRDefault="00056FC9" w:rsidP="0019603C">
      <w:pPr>
        <w:pStyle w:val="a4"/>
        <w:ind w:left="426" w:firstLineChars="0" w:firstLine="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另一方面，</w:t>
      </w:r>
      <w:r w:rsidR="0019603C" w:rsidRPr="00C4200C">
        <w:rPr>
          <w:rFonts w:hint="eastAsia"/>
          <w:sz w:val="21"/>
          <w:szCs w:val="21"/>
        </w:rPr>
        <w:t>政策刺激下的电动车市场成为</w:t>
      </w:r>
      <w:r w:rsidRPr="00C4200C">
        <w:rPr>
          <w:rFonts w:hint="eastAsia"/>
          <w:sz w:val="21"/>
          <w:szCs w:val="21"/>
        </w:rPr>
        <w:t>自主</w:t>
      </w:r>
      <w:r w:rsidR="0019603C" w:rsidRPr="00C4200C">
        <w:rPr>
          <w:rFonts w:hint="eastAsia"/>
          <w:sz w:val="21"/>
          <w:szCs w:val="21"/>
        </w:rPr>
        <w:t>新的增长动力。</w:t>
      </w:r>
    </w:p>
    <w:p w:rsidR="0019603C" w:rsidRPr="00C4200C" w:rsidRDefault="00056FC9" w:rsidP="0019603C">
      <w:pPr>
        <w:pStyle w:val="a4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近年</w:t>
      </w:r>
      <w:r w:rsidR="0019603C" w:rsidRPr="00C4200C">
        <w:rPr>
          <w:sz w:val="21"/>
          <w:szCs w:val="21"/>
        </w:rPr>
        <w:t>，我国</w:t>
      </w:r>
      <w:r w:rsidRPr="00C4200C">
        <w:rPr>
          <w:rFonts w:hint="eastAsia"/>
          <w:sz w:val="21"/>
          <w:szCs w:val="21"/>
        </w:rPr>
        <w:t>逐渐</w:t>
      </w:r>
      <w:r w:rsidR="0019603C" w:rsidRPr="00C4200C">
        <w:rPr>
          <w:sz w:val="21"/>
          <w:szCs w:val="21"/>
        </w:rPr>
        <w:t>将发展新能源汽车上升</w:t>
      </w:r>
      <w:proofErr w:type="gramStart"/>
      <w:r w:rsidR="0019603C" w:rsidRPr="00C4200C">
        <w:rPr>
          <w:sz w:val="21"/>
          <w:szCs w:val="21"/>
        </w:rPr>
        <w:t>至战略</w:t>
      </w:r>
      <w:proofErr w:type="gramEnd"/>
      <w:r w:rsidR="0019603C" w:rsidRPr="00C4200C">
        <w:rPr>
          <w:sz w:val="21"/>
          <w:szCs w:val="21"/>
        </w:rPr>
        <w:t>高度，</w:t>
      </w:r>
      <w:r w:rsidRPr="00C4200C">
        <w:rPr>
          <w:rFonts w:hint="eastAsia"/>
          <w:sz w:val="21"/>
          <w:szCs w:val="21"/>
        </w:rPr>
        <w:t>相配套的</w:t>
      </w:r>
      <w:r w:rsidR="0019603C" w:rsidRPr="00C4200C">
        <w:rPr>
          <w:sz w:val="21"/>
          <w:szCs w:val="21"/>
        </w:rPr>
        <w:t>政策体系</w:t>
      </w:r>
      <w:r w:rsidRPr="00C4200C">
        <w:rPr>
          <w:rFonts w:hint="eastAsia"/>
          <w:sz w:val="21"/>
          <w:szCs w:val="21"/>
        </w:rPr>
        <w:t>、奖励制度</w:t>
      </w:r>
      <w:r w:rsidR="0019603C" w:rsidRPr="00C4200C">
        <w:rPr>
          <w:sz w:val="21"/>
          <w:szCs w:val="21"/>
        </w:rPr>
        <w:t>初步形成</w:t>
      </w:r>
      <w:r w:rsidR="0019603C" w:rsidRPr="00C4200C">
        <w:rPr>
          <w:rFonts w:hint="eastAsia"/>
          <w:sz w:val="21"/>
          <w:szCs w:val="21"/>
        </w:rPr>
        <w:t>，在这种背景下，电动车市场迎来了一波快速发展的浪潮，而自主因产品供给丰富，价格相对较低，获得了</w:t>
      </w:r>
      <w:r w:rsidRPr="00C4200C">
        <w:rPr>
          <w:rFonts w:hint="eastAsia"/>
          <w:sz w:val="21"/>
          <w:szCs w:val="21"/>
        </w:rPr>
        <w:t>快速</w:t>
      </w:r>
      <w:r w:rsidR="0019603C" w:rsidRPr="00C4200C">
        <w:rPr>
          <w:rFonts w:hint="eastAsia"/>
          <w:sz w:val="21"/>
          <w:szCs w:val="21"/>
        </w:rPr>
        <w:t>的发展，未来有望成为拉动自主成长的</w:t>
      </w:r>
      <w:r w:rsidRPr="00C4200C">
        <w:rPr>
          <w:rFonts w:hint="eastAsia"/>
          <w:sz w:val="21"/>
          <w:szCs w:val="21"/>
        </w:rPr>
        <w:t>新</w:t>
      </w:r>
      <w:r w:rsidR="0019603C" w:rsidRPr="00C4200C">
        <w:rPr>
          <w:rFonts w:hint="eastAsia"/>
          <w:sz w:val="21"/>
          <w:szCs w:val="21"/>
        </w:rPr>
        <w:t>动力。</w:t>
      </w:r>
    </w:p>
    <w:p w:rsidR="0019603C" w:rsidRPr="00C016F1" w:rsidRDefault="0019603C" w:rsidP="00C016F1">
      <w:pPr>
        <w:jc w:val="center"/>
        <w:rPr>
          <w:b/>
          <w:sz w:val="21"/>
          <w:szCs w:val="21"/>
        </w:rPr>
      </w:pPr>
      <w:r w:rsidRPr="00C016F1">
        <w:rPr>
          <w:rFonts w:hint="eastAsia"/>
          <w:b/>
          <w:sz w:val="21"/>
          <w:szCs w:val="21"/>
        </w:rPr>
        <w:t>图</w:t>
      </w:r>
      <w:r w:rsidR="00824325" w:rsidRPr="00C016F1">
        <w:rPr>
          <w:rFonts w:hint="eastAsia"/>
          <w:b/>
          <w:sz w:val="21"/>
          <w:szCs w:val="21"/>
        </w:rPr>
        <w:t>12</w:t>
      </w:r>
      <w:r w:rsidRPr="00C016F1">
        <w:rPr>
          <w:rFonts w:hint="eastAsia"/>
          <w:b/>
          <w:sz w:val="21"/>
          <w:szCs w:val="21"/>
        </w:rPr>
        <w:t xml:space="preserve"> 自主品牌</w:t>
      </w:r>
      <w:r w:rsidR="00056FC9" w:rsidRPr="00C016F1">
        <w:rPr>
          <w:rFonts w:hint="eastAsia"/>
          <w:b/>
          <w:sz w:val="21"/>
          <w:szCs w:val="21"/>
        </w:rPr>
        <w:t>部分</w:t>
      </w:r>
      <w:r w:rsidRPr="00C016F1">
        <w:rPr>
          <w:rFonts w:hint="eastAsia"/>
          <w:b/>
          <w:sz w:val="21"/>
          <w:szCs w:val="21"/>
        </w:rPr>
        <w:t>电动车销量</w:t>
      </w:r>
    </w:p>
    <w:p w:rsidR="0019603C" w:rsidRPr="00C4200C" w:rsidRDefault="0019603C" w:rsidP="0019603C">
      <w:pPr>
        <w:pStyle w:val="a4"/>
        <w:ind w:firstLineChars="0" w:firstLine="0"/>
        <w:rPr>
          <w:sz w:val="21"/>
          <w:szCs w:val="21"/>
        </w:rPr>
      </w:pPr>
      <w:r w:rsidRPr="00C4200C">
        <w:rPr>
          <w:rFonts w:hint="eastAsia"/>
          <w:noProof/>
          <w:sz w:val="21"/>
          <w:szCs w:val="21"/>
        </w:rPr>
        <w:drawing>
          <wp:inline distT="0" distB="0" distL="0" distR="0" wp14:anchorId="0F9A661C" wp14:editId="314C0B67">
            <wp:extent cx="5270740" cy="1690777"/>
            <wp:effectExtent l="0" t="0" r="25400" b="24130"/>
            <wp:docPr id="1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9603C" w:rsidRPr="00C4200C" w:rsidRDefault="0019603C" w:rsidP="00892B0A">
      <w:pPr>
        <w:ind w:firstLineChars="150" w:firstLine="316"/>
        <w:rPr>
          <w:b/>
          <w:sz w:val="21"/>
          <w:szCs w:val="21"/>
        </w:rPr>
      </w:pPr>
      <w:r w:rsidRPr="00C4200C">
        <w:rPr>
          <w:rFonts w:hint="eastAsia"/>
          <w:b/>
          <w:sz w:val="21"/>
          <w:szCs w:val="21"/>
        </w:rPr>
        <w:t>总结：</w:t>
      </w:r>
    </w:p>
    <w:p w:rsidR="0019603C" w:rsidRPr="00C4200C" w:rsidRDefault="008F1835" w:rsidP="008F1835">
      <w:pPr>
        <w:tabs>
          <w:tab w:val="left" w:pos="6263"/>
        </w:tabs>
        <w:ind w:firstLineChars="200" w:firstLine="420"/>
        <w:rPr>
          <w:sz w:val="21"/>
          <w:szCs w:val="21"/>
        </w:rPr>
      </w:pPr>
      <w:r w:rsidRPr="00C4200C">
        <w:rPr>
          <w:rFonts w:hint="eastAsia"/>
          <w:sz w:val="21"/>
          <w:szCs w:val="21"/>
        </w:rPr>
        <w:t>未来，自主品牌所面临的严峻的外部环境不但不会改善，还将继续恶化，</w:t>
      </w:r>
      <w:r w:rsidR="00044A25">
        <w:rPr>
          <w:rFonts w:hint="eastAsia"/>
          <w:sz w:val="21"/>
          <w:szCs w:val="21"/>
        </w:rPr>
        <w:t>但与此同时</w:t>
      </w:r>
      <w:r w:rsidRPr="00C4200C">
        <w:rPr>
          <w:rFonts w:hint="eastAsia"/>
          <w:sz w:val="21"/>
          <w:szCs w:val="21"/>
        </w:rPr>
        <w:t>，</w:t>
      </w:r>
      <w:r w:rsidR="00044A25">
        <w:rPr>
          <w:rFonts w:hint="eastAsia"/>
          <w:sz w:val="21"/>
          <w:szCs w:val="21"/>
        </w:rPr>
        <w:t>在</w:t>
      </w:r>
      <w:r w:rsidRPr="00C4200C">
        <w:rPr>
          <w:rFonts w:hint="eastAsia"/>
          <w:sz w:val="21"/>
          <w:szCs w:val="21"/>
        </w:rPr>
        <w:t>经历了与国际市场接轨后十余年的起起落落</w:t>
      </w:r>
      <w:r w:rsidR="00044A25">
        <w:rPr>
          <w:rFonts w:hint="eastAsia"/>
          <w:sz w:val="21"/>
          <w:szCs w:val="21"/>
        </w:rPr>
        <w:t>后</w:t>
      </w:r>
      <w:r w:rsidRPr="00C4200C">
        <w:rPr>
          <w:rFonts w:hint="eastAsia"/>
          <w:sz w:val="21"/>
          <w:szCs w:val="21"/>
        </w:rPr>
        <w:t>，自主品牌已经有了长足进步，主流企业正在扭转颓势、步入良性循环。而随着新一代消费群的兴起，以及电动车、互联网和技术变革所带来的新元素，促使市场上新的消费理念逐步形成，个性化需求如雨后春笋般层出不穷，为乘用车市场注入了新活力，也为自主品牌未来发展提供了坚实的市场基础和新的市场机遇。与此同时，自主企业必须要持之以恒地贯彻正向研发思路，采用与品牌发展阶段相适应的产品战略，深入把握产品发展趋势，积极探索不同消费群的核心需求并对未来变化做出准确判断，努力打造以市场需求为导向、差异化的引领性产品，通过不懈努力慢慢提升品牌，才有可能在未来严酷的竞争环境中保留立足之地。</w:t>
      </w:r>
    </w:p>
    <w:p w:rsidR="00DF272C" w:rsidRDefault="00DF272C" w:rsidP="00DF272C">
      <w:pPr>
        <w:rPr>
          <w:sz w:val="20"/>
        </w:rPr>
      </w:pPr>
      <w:r w:rsidRPr="001A1F4B">
        <w:rPr>
          <w:rFonts w:hint="eastAsia"/>
          <w:sz w:val="20"/>
        </w:rPr>
        <w:t>注：数据来源为国家信息中心乘用车数据库。数据口径为国内批发量</w:t>
      </w:r>
      <w:r>
        <w:rPr>
          <w:rFonts w:hint="eastAsia"/>
          <w:sz w:val="20"/>
        </w:rPr>
        <w:t>。</w:t>
      </w:r>
    </w:p>
    <w:p w:rsidR="008F1835" w:rsidRPr="00DF272C" w:rsidRDefault="008F1835" w:rsidP="00436736">
      <w:pPr>
        <w:tabs>
          <w:tab w:val="left" w:pos="6263"/>
        </w:tabs>
        <w:rPr>
          <w:sz w:val="21"/>
          <w:szCs w:val="21"/>
        </w:rPr>
      </w:pPr>
    </w:p>
    <w:p w:rsidR="004A48E1" w:rsidRDefault="00DF272C" w:rsidP="00436736">
      <w:pPr>
        <w:tabs>
          <w:tab w:val="left" w:pos="6263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>参考文献：</w:t>
      </w:r>
    </w:p>
    <w:p w:rsidR="00DF272C" w:rsidRDefault="00DF272C" w:rsidP="00DF272C">
      <w:pPr>
        <w:tabs>
          <w:tab w:val="left" w:pos="6263"/>
        </w:tabs>
        <w:rPr>
          <w:sz w:val="20"/>
        </w:rPr>
      </w:pPr>
      <w:r w:rsidRPr="00DF272C">
        <w:rPr>
          <w:rFonts w:hint="eastAsia"/>
          <w:sz w:val="20"/>
        </w:rPr>
        <w:t>【1】</w:t>
      </w:r>
      <w:r w:rsidRPr="00DF272C">
        <w:rPr>
          <w:sz w:val="20"/>
        </w:rPr>
        <w:t>赵英</w:t>
      </w:r>
      <w:r w:rsidRPr="00DF272C">
        <w:rPr>
          <w:rFonts w:hint="eastAsia"/>
          <w:sz w:val="20"/>
        </w:rPr>
        <w:t>.</w:t>
      </w:r>
      <w:r w:rsidRPr="00DF272C">
        <w:rPr>
          <w:sz w:val="20"/>
        </w:rPr>
        <w:t xml:space="preserve"> 走向世界的中国汽车工业</w:t>
      </w:r>
      <w:r w:rsidRPr="00DF272C">
        <w:rPr>
          <w:rFonts w:hint="eastAsia"/>
          <w:sz w:val="20"/>
        </w:rPr>
        <w:t>（中）在改革开放进程中的跨越式发展[N].中国工业报，</w:t>
      </w:r>
      <w:r w:rsidR="008376A8" w:rsidRPr="008376A8">
        <w:rPr>
          <w:sz w:val="20"/>
        </w:rPr>
        <w:t>2009年10月23日</w:t>
      </w:r>
    </w:p>
    <w:p w:rsidR="00A40322" w:rsidRDefault="00A40322" w:rsidP="00DF272C">
      <w:pPr>
        <w:tabs>
          <w:tab w:val="left" w:pos="6263"/>
        </w:tabs>
        <w:rPr>
          <w:sz w:val="20"/>
        </w:rPr>
      </w:pPr>
    </w:p>
    <w:p w:rsidR="00A40322" w:rsidRDefault="00A40322" w:rsidP="00DF272C">
      <w:pPr>
        <w:tabs>
          <w:tab w:val="left" w:pos="6263"/>
        </w:tabs>
        <w:rPr>
          <w:sz w:val="20"/>
        </w:rPr>
      </w:pPr>
    </w:p>
    <w:p w:rsidR="00A40322" w:rsidRDefault="00A40322" w:rsidP="00DF272C">
      <w:pPr>
        <w:tabs>
          <w:tab w:val="left" w:pos="6263"/>
        </w:tabs>
        <w:rPr>
          <w:sz w:val="20"/>
        </w:rPr>
      </w:pPr>
    </w:p>
    <w:p w:rsidR="00A40322" w:rsidRPr="00A40322" w:rsidRDefault="00A40322" w:rsidP="00DF272C">
      <w:pPr>
        <w:tabs>
          <w:tab w:val="left" w:pos="6263"/>
        </w:tabs>
        <w:rPr>
          <w:sz w:val="20"/>
        </w:rPr>
      </w:pPr>
      <w:r>
        <w:rPr>
          <w:rFonts w:hint="eastAsia"/>
          <w:sz w:val="20"/>
        </w:rPr>
        <w:t>注：</w:t>
      </w:r>
      <w:bookmarkStart w:id="0" w:name="_GoBack"/>
      <w:r>
        <w:rPr>
          <w:rFonts w:hint="eastAsia"/>
          <w:sz w:val="20"/>
        </w:rPr>
        <w:t>本文发表于《汽车纵横》2015年8月刊（总第53期）</w:t>
      </w:r>
      <w:bookmarkEnd w:id="0"/>
      <w:r>
        <w:rPr>
          <w:rFonts w:hint="eastAsia"/>
          <w:sz w:val="20"/>
        </w:rPr>
        <w:t>。</w:t>
      </w:r>
    </w:p>
    <w:sectPr w:rsidR="00A40322" w:rsidRPr="00A4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7B" w:rsidRDefault="0051677B" w:rsidP="00F1785F">
      <w:r>
        <w:separator/>
      </w:r>
    </w:p>
  </w:endnote>
  <w:endnote w:type="continuationSeparator" w:id="0">
    <w:p w:rsidR="0051677B" w:rsidRDefault="0051677B" w:rsidP="00F1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7B" w:rsidRDefault="0051677B" w:rsidP="00F1785F">
      <w:r>
        <w:separator/>
      </w:r>
    </w:p>
  </w:footnote>
  <w:footnote w:type="continuationSeparator" w:id="0">
    <w:p w:rsidR="0051677B" w:rsidRDefault="0051677B" w:rsidP="00F17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45B9"/>
    <w:multiLevelType w:val="hybridMultilevel"/>
    <w:tmpl w:val="05E8FA1A"/>
    <w:lvl w:ilvl="0" w:tplc="C70236A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42A86722"/>
    <w:multiLevelType w:val="hybridMultilevel"/>
    <w:tmpl w:val="D7603FC0"/>
    <w:lvl w:ilvl="0" w:tplc="6FA6BEA8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3EE1DC6"/>
    <w:multiLevelType w:val="hybridMultilevel"/>
    <w:tmpl w:val="A64A0A2A"/>
    <w:lvl w:ilvl="0" w:tplc="1D64C64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6CE01D1E"/>
    <w:multiLevelType w:val="hybridMultilevel"/>
    <w:tmpl w:val="D7603FC0"/>
    <w:lvl w:ilvl="0" w:tplc="6FA6BEA8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1CF5B10"/>
    <w:multiLevelType w:val="hybridMultilevel"/>
    <w:tmpl w:val="C4AC96A4"/>
    <w:lvl w:ilvl="0" w:tplc="CCB035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A6E2AAE"/>
    <w:multiLevelType w:val="hybridMultilevel"/>
    <w:tmpl w:val="76CE415C"/>
    <w:lvl w:ilvl="0" w:tplc="A17E0D0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2E"/>
    <w:rsid w:val="000034F9"/>
    <w:rsid w:val="00005DE8"/>
    <w:rsid w:val="00015859"/>
    <w:rsid w:val="0002449C"/>
    <w:rsid w:val="00031A79"/>
    <w:rsid w:val="00035DED"/>
    <w:rsid w:val="00044A25"/>
    <w:rsid w:val="00047608"/>
    <w:rsid w:val="00056FC9"/>
    <w:rsid w:val="00065E1D"/>
    <w:rsid w:val="000752E9"/>
    <w:rsid w:val="00083427"/>
    <w:rsid w:val="00084CBD"/>
    <w:rsid w:val="0008707C"/>
    <w:rsid w:val="00095B0B"/>
    <w:rsid w:val="00096B56"/>
    <w:rsid w:val="000B161A"/>
    <w:rsid w:val="000B7B6F"/>
    <w:rsid w:val="000C4300"/>
    <w:rsid w:val="000D1887"/>
    <w:rsid w:val="000E7823"/>
    <w:rsid w:val="000E7EFA"/>
    <w:rsid w:val="000F2E6E"/>
    <w:rsid w:val="000F4126"/>
    <w:rsid w:val="000F5506"/>
    <w:rsid w:val="001006F3"/>
    <w:rsid w:val="001021AE"/>
    <w:rsid w:val="00145E56"/>
    <w:rsid w:val="001514CD"/>
    <w:rsid w:val="00157DE4"/>
    <w:rsid w:val="001639AA"/>
    <w:rsid w:val="00181279"/>
    <w:rsid w:val="00182AAE"/>
    <w:rsid w:val="00192AAE"/>
    <w:rsid w:val="0019603C"/>
    <w:rsid w:val="001978A8"/>
    <w:rsid w:val="001A1297"/>
    <w:rsid w:val="001A1F4B"/>
    <w:rsid w:val="001B3B8F"/>
    <w:rsid w:val="001B5C21"/>
    <w:rsid w:val="001C26CC"/>
    <w:rsid w:val="001C5E80"/>
    <w:rsid w:val="001D445B"/>
    <w:rsid w:val="001F61CB"/>
    <w:rsid w:val="00210A38"/>
    <w:rsid w:val="00210A5D"/>
    <w:rsid w:val="00215E0A"/>
    <w:rsid w:val="002330DB"/>
    <w:rsid w:val="00237B49"/>
    <w:rsid w:val="00247EBE"/>
    <w:rsid w:val="002562C0"/>
    <w:rsid w:val="00256DA2"/>
    <w:rsid w:val="002625D0"/>
    <w:rsid w:val="00277153"/>
    <w:rsid w:val="00280C7E"/>
    <w:rsid w:val="002813C0"/>
    <w:rsid w:val="00284B5C"/>
    <w:rsid w:val="00286749"/>
    <w:rsid w:val="0029275E"/>
    <w:rsid w:val="002A35AA"/>
    <w:rsid w:val="002B141D"/>
    <w:rsid w:val="002B5F3D"/>
    <w:rsid w:val="002C3470"/>
    <w:rsid w:val="002D26ED"/>
    <w:rsid w:val="002E084B"/>
    <w:rsid w:val="002E6911"/>
    <w:rsid w:val="00307402"/>
    <w:rsid w:val="003121F8"/>
    <w:rsid w:val="00315242"/>
    <w:rsid w:val="0032502E"/>
    <w:rsid w:val="00342EF0"/>
    <w:rsid w:val="00343DEE"/>
    <w:rsid w:val="00346E8A"/>
    <w:rsid w:val="0036331D"/>
    <w:rsid w:val="00365F20"/>
    <w:rsid w:val="00370B4C"/>
    <w:rsid w:val="00376BA6"/>
    <w:rsid w:val="003932E7"/>
    <w:rsid w:val="003A55CC"/>
    <w:rsid w:val="003A673D"/>
    <w:rsid w:val="003B6387"/>
    <w:rsid w:val="003B74D2"/>
    <w:rsid w:val="003D37BA"/>
    <w:rsid w:val="00406B36"/>
    <w:rsid w:val="0041262B"/>
    <w:rsid w:val="00414558"/>
    <w:rsid w:val="004160C5"/>
    <w:rsid w:val="00425EE6"/>
    <w:rsid w:val="004263D7"/>
    <w:rsid w:val="0043267F"/>
    <w:rsid w:val="00436736"/>
    <w:rsid w:val="0044265E"/>
    <w:rsid w:val="00455456"/>
    <w:rsid w:val="00472107"/>
    <w:rsid w:val="00484CA4"/>
    <w:rsid w:val="004A48E1"/>
    <w:rsid w:val="004A6304"/>
    <w:rsid w:val="004A639F"/>
    <w:rsid w:val="004B155E"/>
    <w:rsid w:val="004C2C52"/>
    <w:rsid w:val="004E1E67"/>
    <w:rsid w:val="004E7B3E"/>
    <w:rsid w:val="004F714A"/>
    <w:rsid w:val="0050256D"/>
    <w:rsid w:val="00513AB0"/>
    <w:rsid w:val="005154CD"/>
    <w:rsid w:val="0051677B"/>
    <w:rsid w:val="0052366E"/>
    <w:rsid w:val="005240E3"/>
    <w:rsid w:val="005375A0"/>
    <w:rsid w:val="005428AB"/>
    <w:rsid w:val="00547333"/>
    <w:rsid w:val="0056615C"/>
    <w:rsid w:val="005721C4"/>
    <w:rsid w:val="00580CA0"/>
    <w:rsid w:val="005822CA"/>
    <w:rsid w:val="005A00AD"/>
    <w:rsid w:val="005B0139"/>
    <w:rsid w:val="005B68E4"/>
    <w:rsid w:val="005B6C0A"/>
    <w:rsid w:val="005C20F0"/>
    <w:rsid w:val="005D1E58"/>
    <w:rsid w:val="005D4D7E"/>
    <w:rsid w:val="005D5578"/>
    <w:rsid w:val="005E3752"/>
    <w:rsid w:val="005E5A0E"/>
    <w:rsid w:val="005F5518"/>
    <w:rsid w:val="00604ED5"/>
    <w:rsid w:val="00625911"/>
    <w:rsid w:val="00626C01"/>
    <w:rsid w:val="00630C67"/>
    <w:rsid w:val="006337B0"/>
    <w:rsid w:val="00640550"/>
    <w:rsid w:val="006408E7"/>
    <w:rsid w:val="00640958"/>
    <w:rsid w:val="00643BB0"/>
    <w:rsid w:val="00656918"/>
    <w:rsid w:val="00660F5B"/>
    <w:rsid w:val="0066262C"/>
    <w:rsid w:val="00662F24"/>
    <w:rsid w:val="006641D9"/>
    <w:rsid w:val="006674CC"/>
    <w:rsid w:val="00674A2D"/>
    <w:rsid w:val="006756A4"/>
    <w:rsid w:val="006865A3"/>
    <w:rsid w:val="0068790D"/>
    <w:rsid w:val="006929B0"/>
    <w:rsid w:val="006A6D37"/>
    <w:rsid w:val="006B4765"/>
    <w:rsid w:val="006E7326"/>
    <w:rsid w:val="006F6A43"/>
    <w:rsid w:val="00703875"/>
    <w:rsid w:val="00712563"/>
    <w:rsid w:val="007210AA"/>
    <w:rsid w:val="0072243C"/>
    <w:rsid w:val="00723422"/>
    <w:rsid w:val="007276A0"/>
    <w:rsid w:val="00732E4A"/>
    <w:rsid w:val="00734BE0"/>
    <w:rsid w:val="0074734F"/>
    <w:rsid w:val="007526F5"/>
    <w:rsid w:val="0075376E"/>
    <w:rsid w:val="00755E08"/>
    <w:rsid w:val="00762BB0"/>
    <w:rsid w:val="00763A67"/>
    <w:rsid w:val="00786FBD"/>
    <w:rsid w:val="007A0B96"/>
    <w:rsid w:val="007A78F2"/>
    <w:rsid w:val="007B2D2A"/>
    <w:rsid w:val="007B3F64"/>
    <w:rsid w:val="007C37B3"/>
    <w:rsid w:val="007C4AC6"/>
    <w:rsid w:val="007C5CDC"/>
    <w:rsid w:val="007D1002"/>
    <w:rsid w:val="007D2870"/>
    <w:rsid w:val="007D319E"/>
    <w:rsid w:val="007D37BD"/>
    <w:rsid w:val="007D6036"/>
    <w:rsid w:val="007D7FEA"/>
    <w:rsid w:val="007E7441"/>
    <w:rsid w:val="007F184C"/>
    <w:rsid w:val="008118EB"/>
    <w:rsid w:val="00814541"/>
    <w:rsid w:val="00815549"/>
    <w:rsid w:val="00822BC9"/>
    <w:rsid w:val="00824325"/>
    <w:rsid w:val="008376A8"/>
    <w:rsid w:val="00842FFC"/>
    <w:rsid w:val="008519A1"/>
    <w:rsid w:val="008556E6"/>
    <w:rsid w:val="00865622"/>
    <w:rsid w:val="00866A64"/>
    <w:rsid w:val="008915BF"/>
    <w:rsid w:val="00892B0A"/>
    <w:rsid w:val="008A2D98"/>
    <w:rsid w:val="008A3C64"/>
    <w:rsid w:val="008A4256"/>
    <w:rsid w:val="008A5837"/>
    <w:rsid w:val="008B5907"/>
    <w:rsid w:val="008B7BF2"/>
    <w:rsid w:val="008D031A"/>
    <w:rsid w:val="008D476A"/>
    <w:rsid w:val="008F1835"/>
    <w:rsid w:val="008F463E"/>
    <w:rsid w:val="008F64C6"/>
    <w:rsid w:val="008F7455"/>
    <w:rsid w:val="00902258"/>
    <w:rsid w:val="0091232D"/>
    <w:rsid w:val="00915B99"/>
    <w:rsid w:val="00915C0A"/>
    <w:rsid w:val="009166E4"/>
    <w:rsid w:val="00927A40"/>
    <w:rsid w:val="0093151A"/>
    <w:rsid w:val="0094308B"/>
    <w:rsid w:val="0095429B"/>
    <w:rsid w:val="00970F21"/>
    <w:rsid w:val="0098720E"/>
    <w:rsid w:val="00990829"/>
    <w:rsid w:val="009912A3"/>
    <w:rsid w:val="009A1BB2"/>
    <w:rsid w:val="009A5833"/>
    <w:rsid w:val="009B5284"/>
    <w:rsid w:val="009B53A7"/>
    <w:rsid w:val="009B6CC8"/>
    <w:rsid w:val="009B7FBB"/>
    <w:rsid w:val="009C5927"/>
    <w:rsid w:val="009D45E3"/>
    <w:rsid w:val="009E1385"/>
    <w:rsid w:val="009F3A8F"/>
    <w:rsid w:val="009F7F4F"/>
    <w:rsid w:val="00A03B8B"/>
    <w:rsid w:val="00A07096"/>
    <w:rsid w:val="00A15E7D"/>
    <w:rsid w:val="00A266D9"/>
    <w:rsid w:val="00A36154"/>
    <w:rsid w:val="00A40322"/>
    <w:rsid w:val="00A56F88"/>
    <w:rsid w:val="00A7036E"/>
    <w:rsid w:val="00A7052C"/>
    <w:rsid w:val="00A77C06"/>
    <w:rsid w:val="00A90875"/>
    <w:rsid w:val="00A912BD"/>
    <w:rsid w:val="00A93536"/>
    <w:rsid w:val="00A97243"/>
    <w:rsid w:val="00AC0743"/>
    <w:rsid w:val="00AC73DC"/>
    <w:rsid w:val="00AE5824"/>
    <w:rsid w:val="00AE6356"/>
    <w:rsid w:val="00AF20C1"/>
    <w:rsid w:val="00AF2CFD"/>
    <w:rsid w:val="00B00BBE"/>
    <w:rsid w:val="00B01DDB"/>
    <w:rsid w:val="00B1478E"/>
    <w:rsid w:val="00B22297"/>
    <w:rsid w:val="00B25C76"/>
    <w:rsid w:val="00B31656"/>
    <w:rsid w:val="00B319E0"/>
    <w:rsid w:val="00B54D4D"/>
    <w:rsid w:val="00B57DF7"/>
    <w:rsid w:val="00B627DB"/>
    <w:rsid w:val="00B670EB"/>
    <w:rsid w:val="00B72779"/>
    <w:rsid w:val="00B82457"/>
    <w:rsid w:val="00B83E90"/>
    <w:rsid w:val="00B90080"/>
    <w:rsid w:val="00B9351B"/>
    <w:rsid w:val="00BA3D59"/>
    <w:rsid w:val="00BC6E6F"/>
    <w:rsid w:val="00BC7C4E"/>
    <w:rsid w:val="00BD3DCA"/>
    <w:rsid w:val="00BD78D8"/>
    <w:rsid w:val="00BE2E0B"/>
    <w:rsid w:val="00BF208E"/>
    <w:rsid w:val="00BF2A6F"/>
    <w:rsid w:val="00BF3CA9"/>
    <w:rsid w:val="00C00FCB"/>
    <w:rsid w:val="00C016F1"/>
    <w:rsid w:val="00C128BC"/>
    <w:rsid w:val="00C22120"/>
    <w:rsid w:val="00C23B27"/>
    <w:rsid w:val="00C4200C"/>
    <w:rsid w:val="00C512E0"/>
    <w:rsid w:val="00C51D41"/>
    <w:rsid w:val="00C62CBF"/>
    <w:rsid w:val="00C669A4"/>
    <w:rsid w:val="00C701DE"/>
    <w:rsid w:val="00C709F8"/>
    <w:rsid w:val="00C811DC"/>
    <w:rsid w:val="00C832EC"/>
    <w:rsid w:val="00C83A83"/>
    <w:rsid w:val="00C97CF0"/>
    <w:rsid w:val="00CA0B3D"/>
    <w:rsid w:val="00CA59F1"/>
    <w:rsid w:val="00CA5CEF"/>
    <w:rsid w:val="00CB222E"/>
    <w:rsid w:val="00CC2775"/>
    <w:rsid w:val="00CD07F5"/>
    <w:rsid w:val="00CE224D"/>
    <w:rsid w:val="00CE3D82"/>
    <w:rsid w:val="00CE73C7"/>
    <w:rsid w:val="00CF6A43"/>
    <w:rsid w:val="00D00748"/>
    <w:rsid w:val="00D02005"/>
    <w:rsid w:val="00D04643"/>
    <w:rsid w:val="00D130B9"/>
    <w:rsid w:val="00D1572E"/>
    <w:rsid w:val="00D24177"/>
    <w:rsid w:val="00D30297"/>
    <w:rsid w:val="00D4035A"/>
    <w:rsid w:val="00D50D1D"/>
    <w:rsid w:val="00D50DCB"/>
    <w:rsid w:val="00D57141"/>
    <w:rsid w:val="00D60353"/>
    <w:rsid w:val="00D63E58"/>
    <w:rsid w:val="00D805A1"/>
    <w:rsid w:val="00D8084B"/>
    <w:rsid w:val="00D82023"/>
    <w:rsid w:val="00D92CED"/>
    <w:rsid w:val="00DA6766"/>
    <w:rsid w:val="00DB4709"/>
    <w:rsid w:val="00DB6E54"/>
    <w:rsid w:val="00DC6094"/>
    <w:rsid w:val="00DD1819"/>
    <w:rsid w:val="00DD7553"/>
    <w:rsid w:val="00DF272C"/>
    <w:rsid w:val="00DF60EC"/>
    <w:rsid w:val="00E04581"/>
    <w:rsid w:val="00E13B73"/>
    <w:rsid w:val="00E2130C"/>
    <w:rsid w:val="00E25D6E"/>
    <w:rsid w:val="00E27DDA"/>
    <w:rsid w:val="00E309F7"/>
    <w:rsid w:val="00E35237"/>
    <w:rsid w:val="00E46063"/>
    <w:rsid w:val="00E46D86"/>
    <w:rsid w:val="00E511DB"/>
    <w:rsid w:val="00E52D38"/>
    <w:rsid w:val="00E54E5C"/>
    <w:rsid w:val="00E71658"/>
    <w:rsid w:val="00E86527"/>
    <w:rsid w:val="00E87149"/>
    <w:rsid w:val="00EB66CE"/>
    <w:rsid w:val="00EC2142"/>
    <w:rsid w:val="00EE0332"/>
    <w:rsid w:val="00EE68C5"/>
    <w:rsid w:val="00F02FCE"/>
    <w:rsid w:val="00F07279"/>
    <w:rsid w:val="00F1785F"/>
    <w:rsid w:val="00F17A8D"/>
    <w:rsid w:val="00F21D02"/>
    <w:rsid w:val="00F34112"/>
    <w:rsid w:val="00F36EEA"/>
    <w:rsid w:val="00F461BA"/>
    <w:rsid w:val="00F51062"/>
    <w:rsid w:val="00F602CD"/>
    <w:rsid w:val="00F60429"/>
    <w:rsid w:val="00F71AE1"/>
    <w:rsid w:val="00F732EC"/>
    <w:rsid w:val="00F7577C"/>
    <w:rsid w:val="00F8575D"/>
    <w:rsid w:val="00F957B3"/>
    <w:rsid w:val="00FA0F32"/>
    <w:rsid w:val="00FA490D"/>
    <w:rsid w:val="00FB7FDE"/>
    <w:rsid w:val="00FC1BC1"/>
    <w:rsid w:val="00FC257E"/>
    <w:rsid w:val="00FD1910"/>
    <w:rsid w:val="00FD5F73"/>
    <w:rsid w:val="00FD772A"/>
    <w:rsid w:val="00FE1C8A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2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10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10AA"/>
    <w:rPr>
      <w:rFonts w:ascii="宋体" w:eastAsia="宋体" w:hAnsi="宋体" w:cs="宋体"/>
      <w:kern w:val="0"/>
      <w:sz w:val="18"/>
      <w:szCs w:val="18"/>
    </w:rPr>
  </w:style>
  <w:style w:type="paragraph" w:styleId="a4">
    <w:name w:val="List Paragraph"/>
    <w:basedOn w:val="a"/>
    <w:uiPriority w:val="34"/>
    <w:qFormat/>
    <w:rsid w:val="00DB6E54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17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1785F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178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1785F"/>
    <w:rPr>
      <w:rFonts w:ascii="宋体" w:eastAsia="宋体" w:hAnsi="宋体" w:cs="宋体"/>
      <w:kern w:val="0"/>
      <w:sz w:val="18"/>
      <w:szCs w:val="18"/>
    </w:rPr>
  </w:style>
  <w:style w:type="character" w:styleId="a7">
    <w:name w:val="Strong"/>
    <w:basedOn w:val="a0"/>
    <w:uiPriority w:val="22"/>
    <w:qFormat/>
    <w:rsid w:val="001C5E80"/>
    <w:rPr>
      <w:b/>
      <w:bCs/>
    </w:rPr>
  </w:style>
  <w:style w:type="character" w:customStyle="1" w:styleId="apple-converted-space">
    <w:name w:val="apple-converted-space"/>
    <w:basedOn w:val="a0"/>
    <w:rsid w:val="00EE68C5"/>
  </w:style>
  <w:style w:type="paragraph" w:styleId="a8">
    <w:name w:val="Normal (Web)"/>
    <w:basedOn w:val="a"/>
    <w:uiPriority w:val="99"/>
    <w:semiHidden/>
    <w:unhideWhenUsed/>
    <w:rsid w:val="00F36EEA"/>
    <w:pPr>
      <w:spacing w:before="100" w:beforeAutospacing="1" w:after="100" w:afterAutospacing="1"/>
    </w:pPr>
  </w:style>
  <w:style w:type="table" w:styleId="-1">
    <w:name w:val="Light Shading Accent 1"/>
    <w:basedOn w:val="a1"/>
    <w:uiPriority w:val="60"/>
    <w:rsid w:val="0019603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2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10A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10AA"/>
    <w:rPr>
      <w:rFonts w:ascii="宋体" w:eastAsia="宋体" w:hAnsi="宋体" w:cs="宋体"/>
      <w:kern w:val="0"/>
      <w:sz w:val="18"/>
      <w:szCs w:val="18"/>
    </w:rPr>
  </w:style>
  <w:style w:type="paragraph" w:styleId="a4">
    <w:name w:val="List Paragraph"/>
    <w:basedOn w:val="a"/>
    <w:uiPriority w:val="34"/>
    <w:qFormat/>
    <w:rsid w:val="00DB6E54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F17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1785F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178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1785F"/>
    <w:rPr>
      <w:rFonts w:ascii="宋体" w:eastAsia="宋体" w:hAnsi="宋体" w:cs="宋体"/>
      <w:kern w:val="0"/>
      <w:sz w:val="18"/>
      <w:szCs w:val="18"/>
    </w:rPr>
  </w:style>
  <w:style w:type="character" w:styleId="a7">
    <w:name w:val="Strong"/>
    <w:basedOn w:val="a0"/>
    <w:uiPriority w:val="22"/>
    <w:qFormat/>
    <w:rsid w:val="001C5E80"/>
    <w:rPr>
      <w:b/>
      <w:bCs/>
    </w:rPr>
  </w:style>
  <w:style w:type="character" w:customStyle="1" w:styleId="apple-converted-space">
    <w:name w:val="apple-converted-space"/>
    <w:basedOn w:val="a0"/>
    <w:rsid w:val="00EE68C5"/>
  </w:style>
  <w:style w:type="paragraph" w:styleId="a8">
    <w:name w:val="Normal (Web)"/>
    <w:basedOn w:val="a"/>
    <w:uiPriority w:val="99"/>
    <w:semiHidden/>
    <w:unhideWhenUsed/>
    <w:rsid w:val="00F36EEA"/>
    <w:pPr>
      <w:spacing w:before="100" w:beforeAutospacing="1" w:after="100" w:afterAutospacing="1"/>
    </w:pPr>
  </w:style>
  <w:style w:type="table" w:styleId="-1">
    <w:name w:val="Light Shading Accent 1"/>
    <w:basedOn w:val="a1"/>
    <w:uiPriority w:val="60"/>
    <w:rsid w:val="0019603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Sheet1!$D$13</c:f>
              <c:strCache>
                <c:ptCount val="1"/>
                <c:pt idx="0">
                  <c:v>年度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marker>
            <c:symbol val="circle"/>
            <c:size val="6"/>
            <c:spPr>
              <a:solidFill>
                <a:sysClr val="window" lastClr="FFFFFF"/>
              </a:solidFill>
              <a:ln>
                <a:solidFill>
                  <a:srgbClr val="4F81BD"/>
                </a:solidFill>
              </a:ln>
            </c:spPr>
          </c:marker>
          <c:dLbls>
            <c:dLbl>
              <c:idx val="14"/>
              <c:layout>
                <c:manualLayout>
                  <c:x val="-5.7365131516833772E-4"/>
                  <c:y val="-9.34997375328083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%" sourceLinked="0"/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Sheet1!$E$13:$S$13</c:f>
              <c:numCache>
                <c:formatCode>General</c:formatCod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numCache>
            </c:numRef>
          </c:cat>
          <c:val>
            <c:numRef>
              <c:f>Sheet1!$E$14:$S$14</c:f>
              <c:numCache>
                <c:formatCode>0.00%</c:formatCode>
                <c:ptCount val="15"/>
                <c:pt idx="0">
                  <c:v>0.20007350097332621</c:v>
                </c:pt>
                <c:pt idx="1">
                  <c:v>0.22395048834634015</c:v>
                </c:pt>
                <c:pt idx="2">
                  <c:v>0.23156571656307243</c:v>
                </c:pt>
                <c:pt idx="3">
                  <c:v>0.23758848564778348</c:v>
                </c:pt>
                <c:pt idx="4">
                  <c:v>0.21691720455471447</c:v>
                </c:pt>
                <c:pt idx="5">
                  <c:v>0.25597154209147827</c:v>
                </c:pt>
                <c:pt idx="6">
                  <c:v>0.24687860188165289</c:v>
                </c:pt>
                <c:pt idx="7">
                  <c:v>0.24755013245909141</c:v>
                </c:pt>
                <c:pt idx="8">
                  <c:v>0.22837743791474815</c:v>
                </c:pt>
                <c:pt idx="9">
                  <c:v>0.29166950637465483</c:v>
                </c:pt>
                <c:pt idx="10">
                  <c:v>0.30514073741554681</c:v>
                </c:pt>
                <c:pt idx="11">
                  <c:v>0.28001090756909575</c:v>
                </c:pt>
                <c:pt idx="12">
                  <c:v>0.26170135973809872</c:v>
                </c:pt>
                <c:pt idx="13">
                  <c:v>0.25706653680056424</c:v>
                </c:pt>
                <c:pt idx="14">
                  <c:v>0.20811382416582652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4458240"/>
        <c:axId val="354468224"/>
      </c:lineChart>
      <c:catAx>
        <c:axId val="35445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4468224"/>
        <c:crosses val="autoZero"/>
        <c:auto val="1"/>
        <c:lblAlgn val="ctr"/>
        <c:lblOffset val="100"/>
        <c:noMultiLvlLbl val="0"/>
      </c:catAx>
      <c:valAx>
        <c:axId val="354468224"/>
        <c:scaling>
          <c:orientation val="minMax"/>
          <c:min val="0.2"/>
        </c:scaling>
        <c:delete val="1"/>
        <c:axPos val="l"/>
        <c:numFmt formatCode="0.00%" sourceLinked="1"/>
        <c:majorTickMark val="out"/>
        <c:minorTickMark val="none"/>
        <c:tickLblPos val="nextTo"/>
        <c:crossAx val="35445824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txPr>
    <a:bodyPr/>
    <a:lstStyle/>
    <a:p>
      <a:pPr>
        <a:defRPr sz="700" b="1">
          <a:latin typeface="Arial" panose="020B0604020202020204" pitchFamily="34" charset="0"/>
          <a:cs typeface="Arial" panose="020B0604020202020204" pitchFamily="34" charset="0"/>
        </a:defRPr>
      </a:pPr>
      <a:endParaRPr lang="zh-CN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6504817160398729E-2"/>
          <c:y val="4.5362592259459739E-2"/>
          <c:w val="0.84973370924348401"/>
          <c:h val="0.791540949966728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合资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numFmt formatCode="#,##0_);[Red]\(#,##0\)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Sheet1!$A$2:$A$9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Sheet1!$B$2:$B$9</c:f>
              <c:numCache>
                <c:formatCode>General</c:formatCode>
                <c:ptCount val="8"/>
                <c:pt idx="0">
                  <c:v>5837</c:v>
                </c:pt>
                <c:pt idx="1">
                  <c:v>4968</c:v>
                </c:pt>
                <c:pt idx="2">
                  <c:v>27991</c:v>
                </c:pt>
                <c:pt idx="3">
                  <c:v>57172</c:v>
                </c:pt>
                <c:pt idx="4">
                  <c:v>42953</c:v>
                </c:pt>
                <c:pt idx="5">
                  <c:v>46101</c:v>
                </c:pt>
                <c:pt idx="6">
                  <c:v>137125</c:v>
                </c:pt>
                <c:pt idx="7">
                  <c:v>334253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自主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numFmt formatCode="#,##0_);[Red]\(#,##0\)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Sheet1!$A$2:$A$9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Sheet1!$C$2:$C$9</c:f>
              <c:numCache>
                <c:formatCode>General</c:formatCode>
                <c:ptCount val="8"/>
                <c:pt idx="0">
                  <c:v>174519</c:v>
                </c:pt>
                <c:pt idx="1">
                  <c:v>150282</c:v>
                </c:pt>
                <c:pt idx="2">
                  <c:v>195594</c:v>
                </c:pt>
                <c:pt idx="3">
                  <c:v>347710</c:v>
                </c:pt>
                <c:pt idx="4">
                  <c:v>435378</c:v>
                </c:pt>
                <c:pt idx="5">
                  <c:v>638024</c:v>
                </c:pt>
                <c:pt idx="6">
                  <c:v>1016721</c:v>
                </c:pt>
                <c:pt idx="7">
                  <c:v>1624780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356687232"/>
        <c:axId val="356697216"/>
      </c:barChart>
      <c:catAx>
        <c:axId val="356687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6697216"/>
        <c:crosses val="autoZero"/>
        <c:auto val="1"/>
        <c:lblAlgn val="ctr"/>
        <c:lblOffset val="100"/>
        <c:noMultiLvlLbl val="0"/>
      </c:catAx>
      <c:valAx>
        <c:axId val="356697216"/>
        <c:scaling>
          <c:orientation val="minMax"/>
          <c:max val="2000000"/>
        </c:scaling>
        <c:delete val="1"/>
        <c:axPos val="l"/>
        <c:numFmt formatCode="General" sourceLinked="1"/>
        <c:majorTickMark val="out"/>
        <c:minorTickMark val="none"/>
        <c:tickLblPos val="nextTo"/>
        <c:crossAx val="356687232"/>
        <c:crosses val="autoZero"/>
        <c:crossBetween val="between"/>
        <c:dispUnits>
          <c:builtInUnit val="tenThousands"/>
          <c:dispUnitsLbl/>
        </c:dispUnits>
      </c:valAx>
    </c:plotArea>
    <c:legend>
      <c:legendPos val="r"/>
      <c:layout>
        <c:manualLayout>
          <c:xMode val="edge"/>
          <c:yMode val="edge"/>
          <c:x val="0.89849983114325505"/>
          <c:y val="0.48146466354282402"/>
          <c:w val="8.9115190656340479E-2"/>
          <c:h val="0.2112862069584153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6504817160398729E-2"/>
          <c:y val="4.5362592259459739E-2"/>
          <c:w val="0.84973370924348401"/>
          <c:h val="0.8047744312230029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合资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numFmt formatCode="#,##0_);[Red]\(#,##0\)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Sheet1!$A$2:$A$9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Sheet1!$B$2:$B$9</c:f>
              <c:numCache>
                <c:formatCode>General</c:formatCode>
                <c:ptCount val="8"/>
                <c:pt idx="0">
                  <c:v>54316</c:v>
                </c:pt>
                <c:pt idx="1">
                  <c:v>74229</c:v>
                </c:pt>
                <c:pt idx="2">
                  <c:v>107600</c:v>
                </c:pt>
                <c:pt idx="3">
                  <c:v>131080</c:v>
                </c:pt>
                <c:pt idx="4">
                  <c:v>119937</c:v>
                </c:pt>
                <c:pt idx="5">
                  <c:v>106519</c:v>
                </c:pt>
                <c:pt idx="6">
                  <c:v>103217</c:v>
                </c:pt>
                <c:pt idx="7">
                  <c:v>113873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自主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numFmt formatCode="#,##0_);[Red]\(#,##0\)" sourceLinked="0"/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Sheet1!$A$2:$A$9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Sheet1!$C$2:$C$9</c:f>
              <c:numCache>
                <c:formatCode>General</c:formatCode>
                <c:ptCount val="8"/>
                <c:pt idx="0">
                  <c:v>73602</c:v>
                </c:pt>
                <c:pt idx="1">
                  <c:v>76924</c:v>
                </c:pt>
                <c:pt idx="2">
                  <c:v>104404</c:v>
                </c:pt>
                <c:pt idx="3">
                  <c:v>259045</c:v>
                </c:pt>
                <c:pt idx="4">
                  <c:v>286888</c:v>
                </c:pt>
                <c:pt idx="5">
                  <c:v>306948</c:v>
                </c:pt>
                <c:pt idx="6">
                  <c:v>324854</c:v>
                </c:pt>
                <c:pt idx="7">
                  <c:v>415067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355150848"/>
        <c:axId val="355152640"/>
      </c:barChart>
      <c:catAx>
        <c:axId val="35515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5152640"/>
        <c:crosses val="autoZero"/>
        <c:auto val="1"/>
        <c:lblAlgn val="ctr"/>
        <c:lblOffset val="100"/>
        <c:noMultiLvlLbl val="0"/>
      </c:catAx>
      <c:valAx>
        <c:axId val="355152640"/>
        <c:scaling>
          <c:orientation val="minMax"/>
          <c:max val="800000"/>
        </c:scaling>
        <c:delete val="1"/>
        <c:axPos val="l"/>
        <c:numFmt formatCode="General" sourceLinked="1"/>
        <c:majorTickMark val="out"/>
        <c:minorTickMark val="none"/>
        <c:tickLblPos val="nextTo"/>
        <c:crossAx val="355150848"/>
        <c:crosses val="autoZero"/>
        <c:crossBetween val="between"/>
        <c:dispUnits>
          <c:builtInUnit val="tenThousands"/>
          <c:dispUnitsLbl/>
        </c:dispUnits>
      </c:valAx>
    </c:plotArea>
    <c:legend>
      <c:legendPos val="r"/>
      <c:layout>
        <c:manualLayout>
          <c:xMode val="edge"/>
          <c:yMode val="edge"/>
          <c:x val="0.89849983114325505"/>
          <c:y val="0.48146466354282402"/>
          <c:w val="8.9115190656340479E-2"/>
          <c:h val="0.2112862069584153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6506024096385541E-2"/>
          <c:y val="7.1359065844956215E-2"/>
          <c:w val="0.94698795180722894"/>
          <c:h val="0.69836027733675421"/>
        </c:manualLayout>
      </c:layout>
      <c:lineChart>
        <c:grouping val="standard"/>
        <c:varyColors val="0"/>
        <c:ser>
          <c:idx val="2"/>
          <c:order val="0"/>
          <c:tx>
            <c:strRef>
              <c:f>Sheet1!$C$1</c:f>
              <c:strCache>
                <c:ptCount val="1"/>
                <c:pt idx="0">
                  <c:v>秦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Sheet1!$A$2:$B$18</c:f>
              <c:multiLvlStrCache>
                <c:ptCount val="17"/>
                <c:lvl>
                  <c:pt idx="0">
                    <c:v>1 </c:v>
                  </c:pt>
                  <c:pt idx="1">
                    <c:v>2 </c:v>
                  </c:pt>
                  <c:pt idx="2">
                    <c:v>3 </c:v>
                  </c:pt>
                  <c:pt idx="3">
                    <c:v>4 </c:v>
                  </c:pt>
                  <c:pt idx="4">
                    <c:v>5 </c:v>
                  </c:pt>
                  <c:pt idx="5">
                    <c:v>6 </c:v>
                  </c:pt>
                  <c:pt idx="6">
                    <c:v>7 </c:v>
                  </c:pt>
                  <c:pt idx="7">
                    <c:v>8 </c:v>
                  </c:pt>
                  <c:pt idx="8">
                    <c:v>9 </c:v>
                  </c:pt>
                  <c:pt idx="9">
                    <c:v>10 </c:v>
                  </c:pt>
                  <c:pt idx="10">
                    <c:v>11 </c:v>
                  </c:pt>
                  <c:pt idx="11">
                    <c:v>12 </c:v>
                  </c:pt>
                  <c:pt idx="12">
                    <c:v>1 </c:v>
                  </c:pt>
                  <c:pt idx="13">
                    <c:v>2 </c:v>
                  </c:pt>
                  <c:pt idx="14">
                    <c:v>3 </c:v>
                  </c:pt>
                  <c:pt idx="15">
                    <c:v>4 </c:v>
                  </c:pt>
                  <c:pt idx="16">
                    <c:v>5 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</c:lvl>
              </c:multiLvlStrCache>
            </c:multiLvlStrRef>
          </c:cat>
          <c:val>
            <c:numRef>
              <c:f>Sheet1!$C$2:$C$18</c:f>
              <c:numCache>
                <c:formatCode>General</c:formatCode>
                <c:ptCount val="17"/>
                <c:pt idx="0">
                  <c:v>673</c:v>
                </c:pt>
                <c:pt idx="1">
                  <c:v>834</c:v>
                </c:pt>
                <c:pt idx="2">
                  <c:v>875</c:v>
                </c:pt>
                <c:pt idx="3">
                  <c:v>909</c:v>
                </c:pt>
                <c:pt idx="4">
                  <c:v>1008</c:v>
                </c:pt>
                <c:pt idx="5">
                  <c:v>1053</c:v>
                </c:pt>
                <c:pt idx="6">
                  <c:v>1097</c:v>
                </c:pt>
                <c:pt idx="7">
                  <c:v>1316</c:v>
                </c:pt>
                <c:pt idx="8">
                  <c:v>1700</c:v>
                </c:pt>
                <c:pt idx="9">
                  <c:v>1702</c:v>
                </c:pt>
                <c:pt idx="10">
                  <c:v>1753</c:v>
                </c:pt>
                <c:pt idx="11">
                  <c:v>1819</c:v>
                </c:pt>
                <c:pt idx="12">
                  <c:v>1910</c:v>
                </c:pt>
                <c:pt idx="13">
                  <c:v>1932</c:v>
                </c:pt>
                <c:pt idx="14">
                  <c:v>2475</c:v>
                </c:pt>
                <c:pt idx="15">
                  <c:v>2625</c:v>
                </c:pt>
                <c:pt idx="16">
                  <c:v>3518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Sheet1!$D$1</c:f>
              <c:strCache>
                <c:ptCount val="1"/>
                <c:pt idx="0">
                  <c:v>北汽E系EV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Sheet1!$A$2:$B$18</c:f>
              <c:multiLvlStrCache>
                <c:ptCount val="17"/>
                <c:lvl>
                  <c:pt idx="0">
                    <c:v>1 </c:v>
                  </c:pt>
                  <c:pt idx="1">
                    <c:v>2 </c:v>
                  </c:pt>
                  <c:pt idx="2">
                    <c:v>3 </c:v>
                  </c:pt>
                  <c:pt idx="3">
                    <c:v>4 </c:v>
                  </c:pt>
                  <c:pt idx="4">
                    <c:v>5 </c:v>
                  </c:pt>
                  <c:pt idx="5">
                    <c:v>6 </c:v>
                  </c:pt>
                  <c:pt idx="6">
                    <c:v>7 </c:v>
                  </c:pt>
                  <c:pt idx="7">
                    <c:v>8 </c:v>
                  </c:pt>
                  <c:pt idx="8">
                    <c:v>9 </c:v>
                  </c:pt>
                  <c:pt idx="9">
                    <c:v>10 </c:v>
                  </c:pt>
                  <c:pt idx="10">
                    <c:v>11 </c:v>
                  </c:pt>
                  <c:pt idx="11">
                    <c:v>12 </c:v>
                  </c:pt>
                  <c:pt idx="12">
                    <c:v>1 </c:v>
                  </c:pt>
                  <c:pt idx="13">
                    <c:v>2 </c:v>
                  </c:pt>
                  <c:pt idx="14">
                    <c:v>3 </c:v>
                  </c:pt>
                  <c:pt idx="15">
                    <c:v>4 </c:v>
                  </c:pt>
                  <c:pt idx="16">
                    <c:v>5 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</c:lvl>
              </c:multiLvlStrCache>
            </c:multiLvlStrRef>
          </c:cat>
          <c:val>
            <c:numRef>
              <c:f>Sheet1!$D$2:$D$18</c:f>
              <c:numCache>
                <c:formatCode>General</c:formatCode>
                <c:ptCount val="17"/>
                <c:pt idx="4">
                  <c:v>36</c:v>
                </c:pt>
                <c:pt idx="5">
                  <c:v>353</c:v>
                </c:pt>
                <c:pt idx="6">
                  <c:v>21</c:v>
                </c:pt>
                <c:pt idx="7">
                  <c:v>204</c:v>
                </c:pt>
                <c:pt idx="8">
                  <c:v>267</c:v>
                </c:pt>
                <c:pt idx="9">
                  <c:v>696</c:v>
                </c:pt>
                <c:pt idx="10">
                  <c:v>1040</c:v>
                </c:pt>
                <c:pt idx="11">
                  <c:v>2615</c:v>
                </c:pt>
                <c:pt idx="12">
                  <c:v>132</c:v>
                </c:pt>
                <c:pt idx="13">
                  <c:v>387</c:v>
                </c:pt>
                <c:pt idx="14">
                  <c:v>1431</c:v>
                </c:pt>
                <c:pt idx="15">
                  <c:v>847</c:v>
                </c:pt>
                <c:pt idx="16">
                  <c:v>1500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Sheet1!$E$1</c:f>
              <c:strCache>
                <c:ptCount val="1"/>
                <c:pt idx="0">
                  <c:v>众泰云100</c:v>
                </c:pt>
              </c:strCache>
            </c:strRef>
          </c:tx>
          <c:marker>
            <c:symbol val="none"/>
          </c:marker>
          <c:cat>
            <c:multiLvlStrRef>
              <c:f>Sheet1!$A$2:$B$18</c:f>
              <c:multiLvlStrCache>
                <c:ptCount val="17"/>
                <c:lvl>
                  <c:pt idx="0">
                    <c:v>1 </c:v>
                  </c:pt>
                  <c:pt idx="1">
                    <c:v>2 </c:v>
                  </c:pt>
                  <c:pt idx="2">
                    <c:v>3 </c:v>
                  </c:pt>
                  <c:pt idx="3">
                    <c:v>4 </c:v>
                  </c:pt>
                  <c:pt idx="4">
                    <c:v>5 </c:v>
                  </c:pt>
                  <c:pt idx="5">
                    <c:v>6 </c:v>
                  </c:pt>
                  <c:pt idx="6">
                    <c:v>7 </c:v>
                  </c:pt>
                  <c:pt idx="7">
                    <c:v>8 </c:v>
                  </c:pt>
                  <c:pt idx="8">
                    <c:v>9 </c:v>
                  </c:pt>
                  <c:pt idx="9">
                    <c:v>10 </c:v>
                  </c:pt>
                  <c:pt idx="10">
                    <c:v>11 </c:v>
                  </c:pt>
                  <c:pt idx="11">
                    <c:v>12 </c:v>
                  </c:pt>
                  <c:pt idx="12">
                    <c:v>1 </c:v>
                  </c:pt>
                  <c:pt idx="13">
                    <c:v>2 </c:v>
                  </c:pt>
                  <c:pt idx="14">
                    <c:v>3 </c:v>
                  </c:pt>
                  <c:pt idx="15">
                    <c:v>4 </c:v>
                  </c:pt>
                  <c:pt idx="16">
                    <c:v>5 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</c:lvl>
              </c:multiLvlStrCache>
            </c:multiLvlStrRef>
          </c:cat>
          <c:val>
            <c:numRef>
              <c:f>Sheet1!$E$2:$E$18</c:f>
              <c:numCache>
                <c:formatCode>General</c:formatCode>
                <c:ptCount val="17"/>
                <c:pt idx="9">
                  <c:v>18</c:v>
                </c:pt>
                <c:pt idx="10">
                  <c:v>69</c:v>
                </c:pt>
                <c:pt idx="11">
                  <c:v>2224</c:v>
                </c:pt>
                <c:pt idx="12">
                  <c:v>184</c:v>
                </c:pt>
                <c:pt idx="13">
                  <c:v>140</c:v>
                </c:pt>
                <c:pt idx="14">
                  <c:v>1202</c:v>
                </c:pt>
                <c:pt idx="15">
                  <c:v>447</c:v>
                </c:pt>
                <c:pt idx="16">
                  <c:v>1160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Sheet1!$F$1</c:f>
              <c:strCache>
                <c:ptCount val="1"/>
                <c:pt idx="0">
                  <c:v>众泰E20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none"/>
          </c:marker>
          <c:cat>
            <c:multiLvlStrRef>
              <c:f>Sheet1!$A$2:$B$18</c:f>
              <c:multiLvlStrCache>
                <c:ptCount val="17"/>
                <c:lvl>
                  <c:pt idx="0">
                    <c:v>1 </c:v>
                  </c:pt>
                  <c:pt idx="1">
                    <c:v>2 </c:v>
                  </c:pt>
                  <c:pt idx="2">
                    <c:v>3 </c:v>
                  </c:pt>
                  <c:pt idx="3">
                    <c:v>4 </c:v>
                  </c:pt>
                  <c:pt idx="4">
                    <c:v>5 </c:v>
                  </c:pt>
                  <c:pt idx="5">
                    <c:v>6 </c:v>
                  </c:pt>
                  <c:pt idx="6">
                    <c:v>7 </c:v>
                  </c:pt>
                  <c:pt idx="7">
                    <c:v>8 </c:v>
                  </c:pt>
                  <c:pt idx="8">
                    <c:v>9 </c:v>
                  </c:pt>
                  <c:pt idx="9">
                    <c:v>10 </c:v>
                  </c:pt>
                  <c:pt idx="10">
                    <c:v>11 </c:v>
                  </c:pt>
                  <c:pt idx="11">
                    <c:v>12 </c:v>
                  </c:pt>
                  <c:pt idx="12">
                    <c:v>1 </c:v>
                  </c:pt>
                  <c:pt idx="13">
                    <c:v>2 </c:v>
                  </c:pt>
                  <c:pt idx="14">
                    <c:v>3 </c:v>
                  </c:pt>
                  <c:pt idx="15">
                    <c:v>4 </c:v>
                  </c:pt>
                  <c:pt idx="16">
                    <c:v>5 </c:v>
                  </c:pt>
                </c:lvl>
                <c:lvl>
                  <c:pt idx="0">
                    <c:v>2014</c:v>
                  </c:pt>
                  <c:pt idx="12">
                    <c:v>2015</c:v>
                  </c:pt>
                </c:lvl>
              </c:multiLvlStrCache>
            </c:multiLvlStrRef>
          </c:cat>
          <c:val>
            <c:numRef>
              <c:f>Sheet1!$F$2:$F$18</c:f>
              <c:numCache>
                <c:formatCode>General</c:formatCode>
                <c:ptCount val="17"/>
                <c:pt idx="2">
                  <c:v>142</c:v>
                </c:pt>
                <c:pt idx="3">
                  <c:v>254</c:v>
                </c:pt>
                <c:pt idx="4">
                  <c:v>252</c:v>
                </c:pt>
                <c:pt idx="5">
                  <c:v>780</c:v>
                </c:pt>
                <c:pt idx="6">
                  <c:v>703</c:v>
                </c:pt>
                <c:pt idx="7">
                  <c:v>690</c:v>
                </c:pt>
                <c:pt idx="8">
                  <c:v>1621</c:v>
                </c:pt>
                <c:pt idx="9">
                  <c:v>1021</c:v>
                </c:pt>
                <c:pt idx="10">
                  <c:v>381</c:v>
                </c:pt>
                <c:pt idx="11">
                  <c:v>1497</c:v>
                </c:pt>
                <c:pt idx="12">
                  <c:v>408</c:v>
                </c:pt>
                <c:pt idx="13">
                  <c:v>368</c:v>
                </c:pt>
                <c:pt idx="14">
                  <c:v>1151</c:v>
                </c:pt>
                <c:pt idx="15">
                  <c:v>1131</c:v>
                </c:pt>
                <c:pt idx="16">
                  <c:v>1079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6789248"/>
        <c:axId val="356791040"/>
      </c:lineChart>
      <c:catAx>
        <c:axId val="356789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6791040"/>
        <c:crosses val="autoZero"/>
        <c:auto val="1"/>
        <c:lblAlgn val="ctr"/>
        <c:lblOffset val="100"/>
        <c:noMultiLvlLbl val="1"/>
      </c:catAx>
      <c:valAx>
        <c:axId val="356791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3567892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9.6143615507499891E-2"/>
          <c:y val="6.4911209809445244E-2"/>
          <c:w val="0.66991822407741197"/>
          <c:h val="0.1358596047019291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6486876956417049E-2"/>
          <c:y val="9.9588655553150038E-2"/>
          <c:w val="0.9470262460871659"/>
          <c:h val="0.812679568983299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Sheet1!$E$11</c:f>
              <c:strCache>
                <c:ptCount val="1"/>
                <c:pt idx="0">
                  <c:v>销量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invertIfNegative val="0"/>
          <c:dLbls>
            <c:dLbl>
              <c:idx val="8"/>
              <c:layout>
                <c:manualLayout>
                  <c:x val="2.4067388688327317E-3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8.8246072431041104E-17"/>
                  <c:y val="9.2592592592592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4067388688326433E-3"/>
                  <c:y val="-2.4691358024691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_);[Red]\(#,##0\)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Sheet1!$F$10:$T$10</c:f>
              <c:numCache>
                <c:formatCode>General</c:formatCod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numCache>
            </c:numRef>
          </c:cat>
          <c:val>
            <c:numRef>
              <c:f>Sheet1!$F$11:$T$11</c:f>
              <c:numCache>
                <c:formatCode>General</c:formatCode>
                <c:ptCount val="15"/>
                <c:pt idx="0">
                  <c:v>146779</c:v>
                </c:pt>
                <c:pt idx="1">
                  <c:v>202208</c:v>
                </c:pt>
                <c:pt idx="2">
                  <c:v>338481</c:v>
                </c:pt>
                <c:pt idx="3">
                  <c:v>607407</c:v>
                </c:pt>
                <c:pt idx="4">
                  <c:v>628305</c:v>
                </c:pt>
                <c:pt idx="5">
                  <c:v>904764</c:v>
                </c:pt>
                <c:pt idx="6">
                  <c:v>1130812</c:v>
                </c:pt>
                <c:pt idx="7">
                  <c:v>1390750</c:v>
                </c:pt>
                <c:pt idx="8">
                  <c:v>1332741</c:v>
                </c:pt>
                <c:pt idx="9">
                  <c:v>2472051</c:v>
                </c:pt>
                <c:pt idx="10">
                  <c:v>3519188</c:v>
                </c:pt>
                <c:pt idx="11">
                  <c:v>3532134</c:v>
                </c:pt>
                <c:pt idx="12">
                  <c:v>3724821</c:v>
                </c:pt>
                <c:pt idx="13">
                  <c:v>4431424</c:v>
                </c:pt>
                <c:pt idx="14">
                  <c:v>4697863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6"/>
        <c:axId val="354653312"/>
        <c:axId val="354654848"/>
      </c:barChart>
      <c:lineChart>
        <c:grouping val="standard"/>
        <c:varyColors val="0"/>
        <c:ser>
          <c:idx val="1"/>
          <c:order val="1"/>
          <c:tx>
            <c:strRef>
              <c:f>Sheet1!$E$12</c:f>
              <c:strCache>
                <c:ptCount val="1"/>
                <c:pt idx="0">
                  <c:v>份额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marker>
            <c:symbol val="circle"/>
            <c:size val="6"/>
            <c:spPr>
              <a:solidFill>
                <a:sysClr val="window" lastClr="FFFFFF"/>
              </a:solidFill>
              <a:ln>
                <a:solidFill>
                  <a:srgbClr val="4F81BD"/>
                </a:solidFill>
              </a:ln>
            </c:spPr>
          </c:marker>
          <c:dLbls>
            <c:dLbl>
              <c:idx val="10"/>
              <c:layout>
                <c:manualLayout>
                  <c:x val="-4.8965197039900696E-2"/>
                  <c:y val="-4.998444638864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%" sourceLinked="0"/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Sheet1!$F$10:$T$10</c:f>
              <c:numCache>
                <c:formatCode>General</c:formatCod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</c:numCache>
            </c:numRef>
          </c:cat>
          <c:val>
            <c:numRef>
              <c:f>Sheet1!$F$12:$T$12</c:f>
              <c:numCache>
                <c:formatCode>0.00%</c:formatCode>
                <c:ptCount val="15"/>
                <c:pt idx="0">
                  <c:v>0.22209999999999999</c:v>
                </c:pt>
                <c:pt idx="1">
                  <c:v>0.24779999999999999</c:v>
                </c:pt>
                <c:pt idx="2">
                  <c:v>0.26219999999999999</c:v>
                </c:pt>
                <c:pt idx="3">
                  <c:v>0.27589999999999998</c:v>
                </c:pt>
                <c:pt idx="4">
                  <c:v>0.25019999999999998</c:v>
                </c:pt>
                <c:pt idx="5">
                  <c:v>0.28310000000000002</c:v>
                </c:pt>
                <c:pt idx="6">
                  <c:v>0.27160000000000001</c:v>
                </c:pt>
                <c:pt idx="7">
                  <c:v>0.27400000000000002</c:v>
                </c:pt>
                <c:pt idx="8">
                  <c:v>0.24940000000000001</c:v>
                </c:pt>
                <c:pt idx="9">
                  <c:v>0.2994</c:v>
                </c:pt>
                <c:pt idx="10">
                  <c:v>0.317</c:v>
                </c:pt>
                <c:pt idx="11">
                  <c:v>0.2959</c:v>
                </c:pt>
                <c:pt idx="12">
                  <c:v>0.29289999999999999</c:v>
                </c:pt>
                <c:pt idx="13">
                  <c:v>0.29299999999999998</c:v>
                </c:pt>
                <c:pt idx="14">
                  <c:v>0.27810000000000001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4814208"/>
        <c:axId val="354812672"/>
      </c:lineChart>
      <c:catAx>
        <c:axId val="354653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4654848"/>
        <c:crosses val="autoZero"/>
        <c:auto val="1"/>
        <c:lblAlgn val="ctr"/>
        <c:lblOffset val="100"/>
        <c:noMultiLvlLbl val="0"/>
      </c:catAx>
      <c:valAx>
        <c:axId val="354654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>
            <a:noFill/>
          </a:ln>
        </c:spPr>
        <c:crossAx val="354653312"/>
        <c:crosses val="autoZero"/>
        <c:crossBetween val="between"/>
        <c:dispUnits>
          <c:builtInUnit val="tenThousands"/>
        </c:dispUnits>
      </c:valAx>
      <c:valAx>
        <c:axId val="354812672"/>
        <c:scaling>
          <c:orientation val="minMax"/>
          <c:max val="0.35000000000000003"/>
          <c:min val="0.2"/>
        </c:scaling>
        <c:delete val="0"/>
        <c:axPos val="r"/>
        <c:numFmt formatCode="0.00%" sourceLinked="1"/>
        <c:majorTickMark val="none"/>
        <c:minorTickMark val="none"/>
        <c:tickLblPos val="none"/>
        <c:spPr>
          <a:ln>
            <a:noFill/>
          </a:ln>
        </c:spPr>
        <c:crossAx val="354814208"/>
        <c:crosses val="max"/>
        <c:crossBetween val="between"/>
      </c:valAx>
      <c:catAx>
        <c:axId val="3548142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54812672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zh-CN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6506024096385541E-2"/>
          <c:y val="7.0739549839228297E-2"/>
          <c:w val="0.60244701641210507"/>
          <c:h val="0.6316268843357930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任何时候都买自主品牌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Sheet1!$A$2:$A$3</c:f>
              <c:numCache>
                <c:formatCode>General</c:formatCode>
                <c:ptCount val="2"/>
                <c:pt idx="0" formatCode="#,##0">
                  <c:v>2009</c:v>
                </c:pt>
                <c:pt idx="1">
                  <c:v>2014</c:v>
                </c:pt>
              </c:numCache>
            </c:numRef>
          </c:cat>
          <c:val>
            <c:numRef>
              <c:f>Sheet1!$B$2:$B$3</c:f>
              <c:numCache>
                <c:formatCode>0%</c:formatCode>
                <c:ptCount val="2"/>
                <c:pt idx="0">
                  <c:v>0.24299999999999999</c:v>
                </c:pt>
                <c:pt idx="1">
                  <c:v>0.19264278799612777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当自主品牌比合资品牌便宜时,会选择自主品牌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Sheet1!$A$2:$A$3</c:f>
              <c:numCache>
                <c:formatCode>General</c:formatCode>
                <c:ptCount val="2"/>
                <c:pt idx="0" formatCode="#,##0">
                  <c:v>2009</c:v>
                </c:pt>
                <c:pt idx="1">
                  <c:v>2014</c:v>
                </c:pt>
              </c:numCache>
            </c:numRef>
          </c:cat>
          <c:val>
            <c:numRef>
              <c:f>Sheet1!$C$2:$C$3</c:f>
              <c:numCache>
                <c:formatCode>0%</c:formatCode>
                <c:ptCount val="2"/>
                <c:pt idx="0">
                  <c:v>0.35699999999999998</c:v>
                </c:pt>
                <c:pt idx="1">
                  <c:v>0.35624394966118106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任何时候都不选择自主品牌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Sheet1!$A$2:$A$3</c:f>
              <c:numCache>
                <c:formatCode>General</c:formatCode>
                <c:ptCount val="2"/>
                <c:pt idx="0" formatCode="#,##0">
                  <c:v>2009</c:v>
                </c:pt>
                <c:pt idx="1">
                  <c:v>2014</c:v>
                </c:pt>
              </c:numCache>
            </c:numRef>
          </c:cat>
          <c:val>
            <c:numRef>
              <c:f>Sheet1!$D$2:$D$3</c:f>
              <c:numCache>
                <c:formatCode>0%</c:formatCode>
                <c:ptCount val="2"/>
                <c:pt idx="0">
                  <c:v>0.39900000000000002</c:v>
                </c:pt>
                <c:pt idx="1">
                  <c:v>0.45111326234269122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54873728"/>
        <c:axId val="354875264"/>
      </c:barChart>
      <c:catAx>
        <c:axId val="354873728"/>
        <c:scaling>
          <c:orientation val="minMax"/>
        </c:scaling>
        <c:delete val="0"/>
        <c:axPos val="b"/>
        <c:numFmt formatCode="#,##0" sourceLinked="1"/>
        <c:majorTickMark val="out"/>
        <c:minorTickMark val="none"/>
        <c:tickLblPos val="nextTo"/>
        <c:crossAx val="354875264"/>
        <c:crosses val="autoZero"/>
        <c:auto val="1"/>
        <c:lblAlgn val="ctr"/>
        <c:lblOffset val="100"/>
        <c:noMultiLvlLbl val="0"/>
      </c:catAx>
      <c:valAx>
        <c:axId val="35487526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354873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525138471615096"/>
          <c:y val="8.6395954432397518E-2"/>
          <c:w val="0.33028206917173331"/>
          <c:h val="0.7294763023731981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000">
          <a:solidFill>
            <a:sysClr val="windowText" lastClr="000000"/>
          </a:solidFill>
        </a:defRPr>
      </a:pPr>
      <a:endParaRPr lang="zh-CN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chemeClr val="accent1"/>
                </a:solidFill>
              </a:ln>
            </c:spPr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Sheet1!$B$2:$B$6</c:f>
              <c:numCache>
                <c:formatCode>0%</c:formatCode>
                <c:ptCount val="5"/>
                <c:pt idx="0">
                  <c:v>6.1429033301002266E-2</c:v>
                </c:pt>
                <c:pt idx="1">
                  <c:v>7.1391752577319584E-2</c:v>
                </c:pt>
                <c:pt idx="2">
                  <c:v>8.6842731382345939E-2</c:v>
                </c:pt>
                <c:pt idx="3">
                  <c:v>0.1227080394922426</c:v>
                </c:pt>
                <c:pt idx="4">
                  <c:v>0.14374445430346053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5023104"/>
        <c:axId val="355041280"/>
      </c:lineChart>
      <c:catAx>
        <c:axId val="35502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5041280"/>
        <c:crosses val="autoZero"/>
        <c:auto val="1"/>
        <c:lblAlgn val="ctr"/>
        <c:lblOffset val="100"/>
        <c:noMultiLvlLbl val="0"/>
      </c:catAx>
      <c:valAx>
        <c:axId val="35504128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355023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自主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Sheet1!$A$2:$A$7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Sheet1!$C$2:$C$7</c:f>
              <c:numCache>
                <c:formatCode>0%</c:formatCode>
                <c:ptCount val="6"/>
                <c:pt idx="0">
                  <c:v>0.22127365547802053</c:v>
                </c:pt>
                <c:pt idx="1">
                  <c:v>0.22575161072153205</c:v>
                </c:pt>
                <c:pt idx="2">
                  <c:v>0.13696622703881675</c:v>
                </c:pt>
                <c:pt idx="3">
                  <c:v>0.14393529944194466</c:v>
                </c:pt>
                <c:pt idx="4">
                  <c:v>0.13999710948844826</c:v>
                </c:pt>
                <c:pt idx="5">
                  <c:v>0.17896843041351712</c:v>
                </c:pt>
              </c:numCache>
            </c:numRef>
          </c:val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合资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Sheet1!$A$2:$A$7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Sheet1!$B$2:$B$7</c:f>
              <c:numCache>
                <c:formatCode>0%</c:formatCode>
                <c:ptCount val="6"/>
                <c:pt idx="0">
                  <c:v>0.77872634452197942</c:v>
                </c:pt>
                <c:pt idx="1">
                  <c:v>0.77424838927846795</c:v>
                </c:pt>
                <c:pt idx="2">
                  <c:v>0.86303377296118322</c:v>
                </c:pt>
                <c:pt idx="3">
                  <c:v>0.85606470055805539</c:v>
                </c:pt>
                <c:pt idx="4">
                  <c:v>0.86000289051155177</c:v>
                </c:pt>
                <c:pt idx="5">
                  <c:v>0.82103156958648293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354423552"/>
        <c:axId val="354425088"/>
      </c:barChart>
      <c:catAx>
        <c:axId val="354423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4425088"/>
        <c:crosses val="autoZero"/>
        <c:auto val="1"/>
        <c:lblAlgn val="ctr"/>
        <c:lblOffset val="100"/>
        <c:noMultiLvlLbl val="0"/>
      </c:catAx>
      <c:valAx>
        <c:axId val="35442508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354423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262532395830563E-2"/>
          <c:y val="3.8931545040123576E-2"/>
          <c:w val="0.89733574442435204"/>
          <c:h val="0.71503088882532129"/>
        </c:manualLayout>
      </c:layout>
      <c:lineChart>
        <c:grouping val="standard"/>
        <c:varyColors val="0"/>
        <c:ser>
          <c:idx val="2"/>
          <c:order val="0"/>
          <c:tx>
            <c:strRef>
              <c:f>Sheet1!$C$1</c:f>
              <c:strCache>
                <c:ptCount val="1"/>
                <c:pt idx="0">
                  <c:v>新捷达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Sheet1!$A$2:$B$30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</c:lvl>
              </c:multiLvlStrCache>
            </c:multiLvlStrRef>
          </c:cat>
          <c:val>
            <c:numRef>
              <c:f>Sheet1!$C$2:$C$30</c:f>
              <c:numCache>
                <c:formatCode>General</c:formatCode>
                <c:ptCount val="29"/>
                <c:pt idx="2" formatCode="0">
                  <c:v>103581.96010407632</c:v>
                </c:pt>
                <c:pt idx="3" formatCode="0">
                  <c:v>106448.48768319302</c:v>
                </c:pt>
                <c:pt idx="4" formatCode="0">
                  <c:v>104496.63180768708</c:v>
                </c:pt>
                <c:pt idx="5" formatCode="0">
                  <c:v>87630.691950270004</c:v>
                </c:pt>
                <c:pt idx="6" formatCode="0">
                  <c:v>93295.521377057012</c:v>
                </c:pt>
                <c:pt idx="7" formatCode="0">
                  <c:v>93482.268987773277</c:v>
                </c:pt>
                <c:pt idx="8" formatCode="0">
                  <c:v>92710.897079018672</c:v>
                </c:pt>
                <c:pt idx="9" formatCode="0">
                  <c:v>92638.493452144743</c:v>
                </c:pt>
                <c:pt idx="10" formatCode="0">
                  <c:v>91390.686355386904</c:v>
                </c:pt>
                <c:pt idx="11" formatCode="0">
                  <c:v>91053.251543913459</c:v>
                </c:pt>
                <c:pt idx="12" formatCode="0">
                  <c:v>91378.751689127501</c:v>
                </c:pt>
                <c:pt idx="13" formatCode="0">
                  <c:v>91655.575392776984</c:v>
                </c:pt>
                <c:pt idx="14" formatCode="0">
                  <c:v>90668.665855055864</c:v>
                </c:pt>
                <c:pt idx="15" formatCode="0">
                  <c:v>90714.782575350866</c:v>
                </c:pt>
                <c:pt idx="16" formatCode="0">
                  <c:v>90809.90318527825</c:v>
                </c:pt>
                <c:pt idx="17" formatCode="0">
                  <c:v>89923.196841419733</c:v>
                </c:pt>
                <c:pt idx="18" formatCode="0">
                  <c:v>89795.59937651793</c:v>
                </c:pt>
                <c:pt idx="19" formatCode="0">
                  <c:v>90935.754049642128</c:v>
                </c:pt>
                <c:pt idx="20" formatCode="0">
                  <c:v>92632.515777395296</c:v>
                </c:pt>
                <c:pt idx="21" formatCode="0">
                  <c:v>91820.898719057615</c:v>
                </c:pt>
                <c:pt idx="22" formatCode="0">
                  <c:v>90637.042558959074</c:v>
                </c:pt>
                <c:pt idx="23" formatCode="0">
                  <c:v>89840.911761250143</c:v>
                </c:pt>
                <c:pt idx="24" formatCode="0">
                  <c:v>90704.294984914901</c:v>
                </c:pt>
                <c:pt idx="25" formatCode="0">
                  <c:v>91180.187768240343</c:v>
                </c:pt>
                <c:pt idx="26" formatCode="0">
                  <c:v>90788.368749561676</c:v>
                </c:pt>
                <c:pt idx="27" formatCode="0">
                  <c:v>87024.759729005833</c:v>
                </c:pt>
                <c:pt idx="28" formatCode="0">
                  <c:v>85507.217870362394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Sheet1!$D$1</c:f>
              <c:strCache>
                <c:ptCount val="1"/>
                <c:pt idx="0">
                  <c:v>桑塔纳 尚纳</c:v>
                </c:pt>
              </c:strCache>
            </c:strRef>
          </c:tx>
          <c:spPr>
            <a:ln>
              <a:solidFill>
                <a:schemeClr val="tx2">
                  <a:lumMod val="40000"/>
                  <a:lumOff val="60000"/>
                </a:schemeClr>
              </a:solidFill>
            </a:ln>
          </c:spPr>
          <c:marker>
            <c:symbol val="none"/>
          </c:marker>
          <c:cat>
            <c:multiLvlStrRef>
              <c:f>Sheet1!$A$2:$B$30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</c:lvl>
              </c:multiLvlStrCache>
            </c:multiLvlStrRef>
          </c:cat>
          <c:val>
            <c:numRef>
              <c:f>Sheet1!$D$2:$D$30</c:f>
              <c:numCache>
                <c:formatCode>0</c:formatCode>
                <c:ptCount val="29"/>
                <c:pt idx="0">
                  <c:v>97652.216810290993</c:v>
                </c:pt>
                <c:pt idx="1">
                  <c:v>98175.120643431641</c:v>
                </c:pt>
                <c:pt idx="2">
                  <c:v>96669.545318127246</c:v>
                </c:pt>
                <c:pt idx="3">
                  <c:v>95872.278093572371</c:v>
                </c:pt>
                <c:pt idx="4">
                  <c:v>92293.036544850504</c:v>
                </c:pt>
                <c:pt idx="5">
                  <c:v>93847.386172006751</c:v>
                </c:pt>
                <c:pt idx="6">
                  <c:v>93448.66483055921</c:v>
                </c:pt>
                <c:pt idx="7">
                  <c:v>90879.927937915738</c:v>
                </c:pt>
                <c:pt idx="8">
                  <c:v>89714.78515625</c:v>
                </c:pt>
                <c:pt idx="9">
                  <c:v>88010.489354587</c:v>
                </c:pt>
                <c:pt idx="10">
                  <c:v>87778.835425383542</c:v>
                </c:pt>
                <c:pt idx="11">
                  <c:v>87576.88537850311</c:v>
                </c:pt>
                <c:pt idx="12">
                  <c:v>87700.975978679722</c:v>
                </c:pt>
                <c:pt idx="13">
                  <c:v>87415.433281515492</c:v>
                </c:pt>
                <c:pt idx="14">
                  <c:v>87580.322831742393</c:v>
                </c:pt>
                <c:pt idx="15">
                  <c:v>87228.14317337636</c:v>
                </c:pt>
                <c:pt idx="16">
                  <c:v>87051.095326839903</c:v>
                </c:pt>
                <c:pt idx="17">
                  <c:v>87303.907782259557</c:v>
                </c:pt>
                <c:pt idx="18">
                  <c:v>87084.259623710939</c:v>
                </c:pt>
                <c:pt idx="19">
                  <c:v>94838.217676541302</c:v>
                </c:pt>
                <c:pt idx="20">
                  <c:v>87395.861700707523</c:v>
                </c:pt>
                <c:pt idx="21">
                  <c:v>85799.331125827812</c:v>
                </c:pt>
                <c:pt idx="22">
                  <c:v>84265.782122905031</c:v>
                </c:pt>
                <c:pt idx="23">
                  <c:v>84540.295643832025</c:v>
                </c:pt>
                <c:pt idx="24">
                  <c:v>87285.55285669025</c:v>
                </c:pt>
                <c:pt idx="25">
                  <c:v>87582.773728141401</c:v>
                </c:pt>
                <c:pt idx="26">
                  <c:v>87002.871930821188</c:v>
                </c:pt>
                <c:pt idx="27">
                  <c:v>86289.859901823787</c:v>
                </c:pt>
                <c:pt idx="28">
                  <c:v>83884.983808628429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Sheet1!$E$1</c:f>
              <c:strCache>
                <c:ptCount val="1"/>
                <c:pt idx="0">
                  <c:v>凯越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ymbol val="none"/>
          </c:marker>
          <c:cat>
            <c:multiLvlStrRef>
              <c:f>Sheet1!$A$2:$B$30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</c:lvl>
              </c:multiLvlStrCache>
            </c:multiLvlStrRef>
          </c:cat>
          <c:val>
            <c:numRef>
              <c:f>Sheet1!$E$2:$E$30</c:f>
              <c:numCache>
                <c:formatCode>0</c:formatCode>
                <c:ptCount val="29"/>
                <c:pt idx="0">
                  <c:v>85328.092783505155</c:v>
                </c:pt>
                <c:pt idx="1">
                  <c:v>95649.839052119714</c:v>
                </c:pt>
                <c:pt idx="2">
                  <c:v>91250.259414225948</c:v>
                </c:pt>
                <c:pt idx="3">
                  <c:v>88049.778970634667</c:v>
                </c:pt>
                <c:pt idx="4">
                  <c:v>86380.336080142195</c:v>
                </c:pt>
                <c:pt idx="5">
                  <c:v>84289.912378241337</c:v>
                </c:pt>
                <c:pt idx="6">
                  <c:v>83220.292201054253</c:v>
                </c:pt>
                <c:pt idx="7">
                  <c:v>82584.244523497473</c:v>
                </c:pt>
                <c:pt idx="8">
                  <c:v>82384.271627906972</c:v>
                </c:pt>
                <c:pt idx="9">
                  <c:v>82654.046797084768</c:v>
                </c:pt>
                <c:pt idx="10">
                  <c:v>82509.753437463485</c:v>
                </c:pt>
                <c:pt idx="11">
                  <c:v>81770</c:v>
                </c:pt>
                <c:pt idx="12">
                  <c:v>82030.218858357257</c:v>
                </c:pt>
                <c:pt idx="13">
                  <c:v>82679.862511457381</c:v>
                </c:pt>
                <c:pt idx="14">
                  <c:v>81609.885583524025</c:v>
                </c:pt>
                <c:pt idx="15">
                  <c:v>83410.327079528477</c:v>
                </c:pt>
                <c:pt idx="16">
                  <c:v>83209.882445141062</c:v>
                </c:pt>
                <c:pt idx="17">
                  <c:v>80809.94723300336</c:v>
                </c:pt>
                <c:pt idx="18">
                  <c:v>80810.151063215628</c:v>
                </c:pt>
                <c:pt idx="19">
                  <c:v>79540.336749633963</c:v>
                </c:pt>
                <c:pt idx="20">
                  <c:v>79539.805069545502</c:v>
                </c:pt>
                <c:pt idx="21">
                  <c:v>78470.412128977157</c:v>
                </c:pt>
                <c:pt idx="22">
                  <c:v>77869.935050391941</c:v>
                </c:pt>
                <c:pt idx="23">
                  <c:v>77670.039260886799</c:v>
                </c:pt>
                <c:pt idx="24">
                  <c:v>79270.036519105721</c:v>
                </c:pt>
                <c:pt idx="25">
                  <c:v>79269.879980270736</c:v>
                </c:pt>
                <c:pt idx="26">
                  <c:v>78869.988530648654</c:v>
                </c:pt>
                <c:pt idx="27">
                  <c:v>80902.863602110025</c:v>
                </c:pt>
                <c:pt idx="28">
                  <c:v>80300.126943827359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Sheet1!$F$1</c:f>
              <c:strCache>
                <c:ptCount val="1"/>
                <c:pt idx="0">
                  <c:v>新阳光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Sheet1!$A$2:$B$30</c:f>
              <c:multiLvlStrCache>
                <c:ptCount val="2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</c:lvl>
              </c:multiLvlStrCache>
            </c:multiLvlStrRef>
          </c:cat>
          <c:val>
            <c:numRef>
              <c:f>Sheet1!$F$2:$F$30</c:f>
              <c:numCache>
                <c:formatCode>0</c:formatCode>
                <c:ptCount val="29"/>
                <c:pt idx="0">
                  <c:v>82347.572815533975</c:v>
                </c:pt>
                <c:pt idx="1">
                  <c:v>83624.043096115682</c:v>
                </c:pt>
                <c:pt idx="2">
                  <c:v>83447.450024378355</c:v>
                </c:pt>
                <c:pt idx="3">
                  <c:v>82961.997111615434</c:v>
                </c:pt>
                <c:pt idx="4">
                  <c:v>83519.548709047522</c:v>
                </c:pt>
                <c:pt idx="5">
                  <c:v>82488.791208791212</c:v>
                </c:pt>
                <c:pt idx="6">
                  <c:v>82469.513406156897</c:v>
                </c:pt>
                <c:pt idx="7">
                  <c:v>82928.758056087783</c:v>
                </c:pt>
                <c:pt idx="8">
                  <c:v>81328.963757018893</c:v>
                </c:pt>
                <c:pt idx="9">
                  <c:v>82095.758740838646</c:v>
                </c:pt>
                <c:pt idx="10">
                  <c:v>81562.43526054328</c:v>
                </c:pt>
                <c:pt idx="11">
                  <c:v>81019.063351779958</c:v>
                </c:pt>
                <c:pt idx="12">
                  <c:v>85917.969888295294</c:v>
                </c:pt>
                <c:pt idx="13">
                  <c:v>84785.688102882414</c:v>
                </c:pt>
                <c:pt idx="14">
                  <c:v>89508.124253285539</c:v>
                </c:pt>
                <c:pt idx="15">
                  <c:v>84621.759549154667</c:v>
                </c:pt>
                <c:pt idx="16">
                  <c:v>82643.738656987291</c:v>
                </c:pt>
                <c:pt idx="17">
                  <c:v>81997.547062179117</c:v>
                </c:pt>
                <c:pt idx="18">
                  <c:v>79082.710858273553</c:v>
                </c:pt>
                <c:pt idx="19">
                  <c:v>78479.967558799675</c:v>
                </c:pt>
                <c:pt idx="20">
                  <c:v>79540.810087886886</c:v>
                </c:pt>
                <c:pt idx="21">
                  <c:v>80824.106427312072</c:v>
                </c:pt>
                <c:pt idx="22">
                  <c:v>77110.814553695076</c:v>
                </c:pt>
                <c:pt idx="23">
                  <c:v>75942.790316921994</c:v>
                </c:pt>
                <c:pt idx="24">
                  <c:v>76405.721773312951</c:v>
                </c:pt>
                <c:pt idx="25">
                  <c:v>76042.447321655243</c:v>
                </c:pt>
                <c:pt idx="26">
                  <c:v>75162.593595666724</c:v>
                </c:pt>
                <c:pt idx="27">
                  <c:v>76109.695290858726</c:v>
                </c:pt>
                <c:pt idx="28">
                  <c:v>72188.553215077613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6643584"/>
        <c:axId val="356645120"/>
      </c:lineChart>
      <c:catAx>
        <c:axId val="356643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6645120"/>
        <c:crosses val="autoZero"/>
        <c:auto val="1"/>
        <c:lblAlgn val="ctr"/>
        <c:lblOffset val="100"/>
        <c:noMultiLvlLbl val="0"/>
      </c:catAx>
      <c:valAx>
        <c:axId val="356645120"/>
        <c:scaling>
          <c:orientation val="minMax"/>
          <c:min val="70000"/>
        </c:scaling>
        <c:delete val="0"/>
        <c:axPos val="l"/>
        <c:numFmt formatCode="General" sourceLinked="1"/>
        <c:majorTickMark val="out"/>
        <c:minorTickMark val="none"/>
        <c:tickLblPos val="nextTo"/>
        <c:crossAx val="356643584"/>
        <c:crosses val="autoZero"/>
        <c:crossBetween val="between"/>
        <c:majorUnit val="10000"/>
      </c:valAx>
    </c:plotArea>
    <c:legend>
      <c:legendPos val="r"/>
      <c:layout>
        <c:manualLayout>
          <c:xMode val="edge"/>
          <c:yMode val="edge"/>
          <c:x val="0.32952450699522262"/>
          <c:y val="4.8895178733633438E-3"/>
          <c:w val="0.61023727218568935"/>
          <c:h val="0.1883191766756895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6504817160398729E-2"/>
          <c:y val="4.5362592259459739E-2"/>
          <c:w val="0.84973370924348401"/>
          <c:h val="0.8183132605287990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5万以下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Sheet1!$A$2:$A$9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Sheet1!$B$2:$B$9</c:f>
              <c:numCache>
                <c:formatCode>0.0%</c:formatCode>
                <c:ptCount val="8"/>
                <c:pt idx="0">
                  <c:v>0.29770483552040267</c:v>
                </c:pt>
                <c:pt idx="1">
                  <c:v>0.24834682807837383</c:v>
                </c:pt>
                <c:pt idx="2">
                  <c:v>0.24555844519388961</c:v>
                </c:pt>
                <c:pt idx="3">
                  <c:v>0.23700609345110293</c:v>
                </c:pt>
                <c:pt idx="4">
                  <c:v>0.22521144441292432</c:v>
                </c:pt>
                <c:pt idx="5">
                  <c:v>0.17612363117583368</c:v>
                </c:pt>
                <c:pt idx="6">
                  <c:v>0.12510696335985905</c:v>
                </c:pt>
                <c:pt idx="7">
                  <c:v>8.0825047473713052E-2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5-15万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Sheet1!$A$2:$A$9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Sheet1!$C$2:$C$9</c:f>
              <c:numCache>
                <c:formatCode>0.0%</c:formatCode>
                <c:ptCount val="8"/>
                <c:pt idx="0">
                  <c:v>0.64945461082149913</c:v>
                </c:pt>
                <c:pt idx="1">
                  <c:v>0.68643569905930713</c:v>
                </c:pt>
                <c:pt idx="2">
                  <c:v>0.70530300548006497</c:v>
                </c:pt>
                <c:pt idx="3">
                  <c:v>0.73202511488445632</c:v>
                </c:pt>
                <c:pt idx="4">
                  <c:v>0.74695495697501846</c:v>
                </c:pt>
                <c:pt idx="5">
                  <c:v>0.78962989093972569</c:v>
                </c:pt>
                <c:pt idx="6">
                  <c:v>0.84058465179590125</c:v>
                </c:pt>
                <c:pt idx="7">
                  <c:v>0.87989177206742719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15万以上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Sheet1!$A$2:$A$9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Sheet1!$D$2:$D$9</c:f>
              <c:numCache>
                <c:formatCode>0.0%</c:formatCode>
                <c:ptCount val="8"/>
                <c:pt idx="0">
                  <c:v>5.2840553658098151E-2</c:v>
                </c:pt>
                <c:pt idx="1">
                  <c:v>6.521747286231909E-2</c:v>
                </c:pt>
                <c:pt idx="2">
                  <c:v>4.9138549326045458E-2</c:v>
                </c:pt>
                <c:pt idx="3">
                  <c:v>3.0968791664440772E-2</c:v>
                </c:pt>
                <c:pt idx="4">
                  <c:v>2.7833598612057187E-2</c:v>
                </c:pt>
                <c:pt idx="5">
                  <c:v>3.4246477884440622E-2</c:v>
                </c:pt>
                <c:pt idx="6">
                  <c:v>3.4308384844239689E-2</c:v>
                </c:pt>
                <c:pt idx="7">
                  <c:v>3.9283180458859701E-2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355287808"/>
        <c:axId val="355289344"/>
      </c:barChart>
      <c:catAx>
        <c:axId val="355287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5289344"/>
        <c:crosses val="autoZero"/>
        <c:auto val="1"/>
        <c:lblAlgn val="ctr"/>
        <c:lblOffset val="100"/>
        <c:noMultiLvlLbl val="0"/>
      </c:catAx>
      <c:valAx>
        <c:axId val="355289344"/>
        <c:scaling>
          <c:orientation val="minMax"/>
          <c:max val="1"/>
        </c:scaling>
        <c:delete val="1"/>
        <c:axPos val="l"/>
        <c:numFmt formatCode="0.0%" sourceLinked="1"/>
        <c:majorTickMark val="out"/>
        <c:minorTickMark val="none"/>
        <c:tickLblPos val="nextTo"/>
        <c:crossAx val="355287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94736981903874"/>
          <c:y val="0.13672184165833762"/>
          <c:w val="0.13764310134819779"/>
          <c:h val="0.7580991395833237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6504817160398729E-2"/>
          <c:y val="4.5362592259459739E-2"/>
          <c:w val="0.82795262145353399"/>
          <c:h val="0.8513275945486957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5万以下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Sheet1!$A$2:$A$9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Sheet1!$B$2:$B$9</c:f>
              <c:numCache>
                <c:formatCode>0.0%</c:formatCode>
                <c:ptCount val="8"/>
                <c:pt idx="0">
                  <c:v>0.10189857018581772</c:v>
                </c:pt>
                <c:pt idx="1">
                  <c:v>8.7661047169641848E-2</c:v>
                </c:pt>
                <c:pt idx="2">
                  <c:v>9.6903789303625087E-2</c:v>
                </c:pt>
                <c:pt idx="3">
                  <c:v>9.3440879869202978E-2</c:v>
                </c:pt>
                <c:pt idx="4">
                  <c:v>8.2595346878343676E-2</c:v>
                </c:pt>
                <c:pt idx="5">
                  <c:v>6.4927833107707361E-2</c:v>
                </c:pt>
                <c:pt idx="6">
                  <c:v>4.4128634056779616E-2</c:v>
                </c:pt>
                <c:pt idx="7">
                  <c:v>2.7730329339614227E-2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5-15万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Sheet1!$A$2:$A$9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Sheet1!$C$2:$C$9</c:f>
              <c:numCache>
                <c:formatCode>0.0%</c:formatCode>
                <c:ptCount val="8"/>
                <c:pt idx="0">
                  <c:v>0.58189604808542039</c:v>
                </c:pt>
                <c:pt idx="1">
                  <c:v>0.59881963615241363</c:v>
                </c:pt>
                <c:pt idx="2">
                  <c:v>0.65056671821769874</c:v>
                </c:pt>
                <c:pt idx="3">
                  <c:v>0.64251331847342108</c:v>
                </c:pt>
                <c:pt idx="4">
                  <c:v>0.62939686391146132</c:v>
                </c:pt>
                <c:pt idx="5">
                  <c:v>0.6326307594674645</c:v>
                </c:pt>
                <c:pt idx="6">
                  <c:v>0.63865981736624167</c:v>
                </c:pt>
                <c:pt idx="7">
                  <c:v>0.65206661600895988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15万以上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Sheet1!$A$2:$A$9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Sheet1!$D$2:$D$9</c:f>
              <c:numCache>
                <c:formatCode>0.0%</c:formatCode>
                <c:ptCount val="8"/>
                <c:pt idx="0">
                  <c:v>0.31620538172876189</c:v>
                </c:pt>
                <c:pt idx="1">
                  <c:v>0.31351931667794458</c:v>
                </c:pt>
                <c:pt idx="2">
                  <c:v>0.25252949247867618</c:v>
                </c:pt>
                <c:pt idx="3">
                  <c:v>0.26404580165737601</c:v>
                </c:pt>
                <c:pt idx="4">
                  <c:v>0.28800778921019488</c:v>
                </c:pt>
                <c:pt idx="5">
                  <c:v>0.30244140742482811</c:v>
                </c:pt>
                <c:pt idx="6">
                  <c:v>0.3172115485769787</c:v>
                </c:pt>
                <c:pt idx="7">
                  <c:v>0.32020305465142579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356508416"/>
        <c:axId val="356509952"/>
      </c:barChart>
      <c:catAx>
        <c:axId val="356508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6509952"/>
        <c:crosses val="autoZero"/>
        <c:auto val="1"/>
        <c:lblAlgn val="ctr"/>
        <c:lblOffset val="100"/>
        <c:noMultiLvlLbl val="0"/>
      </c:catAx>
      <c:valAx>
        <c:axId val="356509952"/>
        <c:scaling>
          <c:orientation val="minMax"/>
          <c:max val="1"/>
        </c:scaling>
        <c:delete val="1"/>
        <c:axPos val="l"/>
        <c:numFmt formatCode="0.0%" sourceLinked="1"/>
        <c:majorTickMark val="out"/>
        <c:minorTickMark val="none"/>
        <c:tickLblPos val="nextTo"/>
        <c:crossAx val="356508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94736981903874"/>
          <c:y val="0.13672184165833762"/>
          <c:w val="0.13764312746277135"/>
          <c:h val="0.649117606429227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Car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Sheet1!$A$2:$A$9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Sheet1!$B$2:$B$9</c:f>
              <c:numCache>
                <c:formatCode>0%</c:formatCode>
                <c:ptCount val="8"/>
                <c:pt idx="0">
                  <c:v>0.72529557841920489</c:v>
                </c:pt>
                <c:pt idx="1">
                  <c:v>0.75164427479747842</c:v>
                </c:pt>
                <c:pt idx="2">
                  <c:v>0.8279379081124949</c:v>
                </c:pt>
                <c:pt idx="3">
                  <c:v>0.76447071464450222</c:v>
                </c:pt>
                <c:pt idx="4">
                  <c:v>0.72624277719555252</c:v>
                </c:pt>
                <c:pt idx="5">
                  <c:v>0.67871536738031368</c:v>
                </c:pt>
                <c:pt idx="6">
                  <c:v>0.63984438066495264</c:v>
                </c:pt>
                <c:pt idx="7">
                  <c:v>0.50652177962561062</c:v>
                </c:pt>
              </c:numCache>
            </c:numRef>
          </c:val>
        </c:ser>
        <c:ser>
          <c:idx val="2"/>
          <c:order val="1"/>
          <c:tx>
            <c:strRef>
              <c:f>Sheet1!$C$1</c:f>
              <c:strCache>
                <c:ptCount val="1"/>
                <c:pt idx="0">
                  <c:v>MPV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Sheet1!$A$2:$A$9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Sheet1!$C$2:$C$9</c:f>
              <c:numCache>
                <c:formatCode>0%</c:formatCode>
                <c:ptCount val="8"/>
                <c:pt idx="0">
                  <c:v>8.1487640454414104E-2</c:v>
                </c:pt>
                <c:pt idx="1">
                  <c:v>8.4084556769974242E-2</c:v>
                </c:pt>
                <c:pt idx="2">
                  <c:v>5.9880301340085859E-2</c:v>
                </c:pt>
                <c:pt idx="3">
                  <c:v>0.10055571643400538</c:v>
                </c:pt>
                <c:pt idx="4">
                  <c:v>0.1087378640776699</c:v>
                </c:pt>
                <c:pt idx="5">
                  <c:v>0.10436042064034434</c:v>
                </c:pt>
                <c:pt idx="6">
                  <c:v>8.7209431871842769E-2</c:v>
                </c:pt>
                <c:pt idx="7">
                  <c:v>0.10041269001848505</c:v>
                </c:pt>
              </c:numCache>
            </c:numRef>
          </c:val>
        </c:ser>
        <c:ser>
          <c:idx val="3"/>
          <c:order val="2"/>
          <c:tx>
            <c:strRef>
              <c:f>Sheet1!$D$1</c:f>
              <c:strCache>
                <c:ptCount val="1"/>
                <c:pt idx="0">
                  <c:v>SUV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Sheet1!$A$2:$A$9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Sheet1!$D$2:$D$9</c:f>
              <c:numCache>
                <c:formatCode>0%</c:formatCode>
                <c:ptCount val="8"/>
                <c:pt idx="0">
                  <c:v>0.19321678112638102</c:v>
                </c:pt>
                <c:pt idx="1">
                  <c:v>0.1642711684325473</c:v>
                </c:pt>
                <c:pt idx="2">
                  <c:v>0.1121817905474192</c:v>
                </c:pt>
                <c:pt idx="3">
                  <c:v>0.13497356892149243</c:v>
                </c:pt>
                <c:pt idx="4">
                  <c:v>0.16501935872677759</c:v>
                </c:pt>
                <c:pt idx="5">
                  <c:v>0.21692421197934197</c:v>
                </c:pt>
                <c:pt idx="6">
                  <c:v>0.27294618746320459</c:v>
                </c:pt>
                <c:pt idx="7">
                  <c:v>0.3930655303559043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356410112"/>
        <c:axId val="356411648"/>
      </c:barChart>
      <c:catAx>
        <c:axId val="356410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6411648"/>
        <c:crosses val="autoZero"/>
        <c:auto val="1"/>
        <c:lblAlgn val="ctr"/>
        <c:lblOffset val="100"/>
        <c:noMultiLvlLbl val="0"/>
      </c:catAx>
      <c:valAx>
        <c:axId val="35641164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356410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0.10661</cdr:x>
      <cdr:y>0.83665</cdr:y>
    </cdr:from>
    <cdr:to>
      <cdr:x>0.54637</cdr:x>
      <cdr:y>1</cdr:y>
    </cdr:to>
    <cdr:sp macro="" textlink="">
      <cdr:nvSpPr>
        <cdr:cNvPr id="3" name="文本框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61550" y="1522097"/>
          <a:ext cx="2316358" cy="297178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en-US" altLang="zh-CN"/>
            <a:t>N=6283                                     N=1033</a:t>
          </a:r>
          <a:endParaRPr lang="zh-CN" altLang="en-U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0.27812</cdr:x>
      <cdr:y>0.50754</cdr:y>
    </cdr:from>
    <cdr:to>
      <cdr:x>0.61341</cdr:x>
      <cdr:y>0.65583</cdr:y>
    </cdr:to>
    <cdr:sp macro="" textlink="">
      <cdr:nvSpPr>
        <cdr:cNvPr id="2" name="线形标注 1 1"/>
        <cdr:cNvSpPr/>
      </cdr:nvSpPr>
      <cdr:spPr>
        <a:xfrm xmlns:a="http://schemas.openxmlformats.org/drawingml/2006/main">
          <a:off x="1465844" y="862449"/>
          <a:ext cx="1767145" cy="251976"/>
        </a:xfrm>
        <a:prstGeom xmlns:a="http://schemas.openxmlformats.org/drawingml/2006/main" prst="borderCallout1">
          <a:avLst>
            <a:gd name="adj1" fmla="val 102364"/>
            <a:gd name="adj2" fmla="val 11074"/>
            <a:gd name="adj3" fmla="val 147584"/>
            <a:gd name="adj4" fmla="val -2627"/>
          </a:avLst>
        </a:prstGeom>
        <a:solidFill xmlns:a="http://schemas.openxmlformats.org/drawingml/2006/main">
          <a:srgbClr val="FFC000"/>
        </a:solidFill>
        <a:ln xmlns:a="http://schemas.openxmlformats.org/drawingml/2006/main">
          <a:solidFill>
            <a:srgbClr val="FFC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zh-CN" altLang="en-US">
              <a:solidFill>
                <a:schemeClr val="tx1"/>
              </a:solidFill>
            </a:rPr>
            <a:t>北京</a:t>
          </a:r>
          <a:r>
            <a:rPr lang="en-US" altLang="zh-CN">
              <a:solidFill>
                <a:schemeClr val="tx1"/>
              </a:solidFill>
            </a:rPr>
            <a:t>2010</a:t>
          </a:r>
          <a:r>
            <a:rPr lang="zh-CN" altLang="en-US">
              <a:solidFill>
                <a:schemeClr val="tx1"/>
              </a:solidFill>
            </a:rPr>
            <a:t>年</a:t>
          </a:r>
          <a:r>
            <a:rPr lang="en-US" altLang="zh-CN">
              <a:solidFill>
                <a:schemeClr val="tx1"/>
              </a:solidFill>
            </a:rPr>
            <a:t>12</a:t>
          </a:r>
          <a:r>
            <a:rPr lang="zh-CN" altLang="en-US">
              <a:solidFill>
                <a:schemeClr val="tx1"/>
              </a:solidFill>
            </a:rPr>
            <a:t>月实行限购</a:t>
          </a:r>
          <a:endParaRPr lang="zh-CN">
            <a:solidFill>
              <a:schemeClr val="tx1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6B73-C5F6-4482-BEDD-59E924DB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878</Words>
  <Characters>5006</Characters>
  <Application>Microsoft Office Word</Application>
  <DocSecurity>0</DocSecurity>
  <Lines>41</Lines>
  <Paragraphs>11</Paragraphs>
  <ScaleCrop>false</ScaleCrop>
  <Company>Lenovo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zts</dc:creator>
  <cp:lastModifiedBy>OuYang</cp:lastModifiedBy>
  <cp:revision>3</cp:revision>
  <dcterms:created xsi:type="dcterms:W3CDTF">2015-08-28T02:13:00Z</dcterms:created>
  <dcterms:modified xsi:type="dcterms:W3CDTF">2015-08-28T02:45:00Z</dcterms:modified>
</cp:coreProperties>
</file>